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B9" w:rsidRPr="00405D83" w:rsidRDefault="00E43CF6" w:rsidP="00405D83">
      <w:pPr>
        <w:pStyle w:val="DatasheetH1"/>
        <w:spacing w:after="80"/>
        <w:rPr>
          <w:lang w:val="es-ES"/>
        </w:rPr>
      </w:pPr>
      <w:r w:rsidRPr="00405D83">
        <w:rPr>
          <w:lang w:val="es-ES" w:eastAsia="fr-FR"/>
        </w:rPr>
        <w:drawing>
          <wp:anchor distT="0" distB="0" distL="114300" distR="114300" simplePos="0" relativeHeight="251667456" behindDoc="0" locked="0" layoutInCell="1" allowOverlap="1">
            <wp:simplePos x="0" y="0"/>
            <wp:positionH relativeFrom="column">
              <wp:posOffset>-3003108</wp:posOffset>
            </wp:positionH>
            <wp:positionV relativeFrom="paragraph">
              <wp:posOffset>-43732</wp:posOffset>
            </wp:positionV>
            <wp:extent cx="2790411" cy="1921565"/>
            <wp:effectExtent l="19050" t="0" r="0" b="0"/>
            <wp:wrapNone/>
            <wp:docPr id="12" name="Picture 11" descr="man smiling working casual computer looking deve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 smiling working casual computer looking developer.jpg"/>
                    <pic:cNvPicPr/>
                  </pic:nvPicPr>
                  <pic:blipFill>
                    <a:blip r:embed="rId5"/>
                    <a:srcRect r="2635"/>
                    <a:stretch>
                      <a:fillRect/>
                    </a:stretch>
                  </pic:blipFill>
                  <pic:spPr>
                    <a:xfrm>
                      <a:off x="0" y="0"/>
                      <a:ext cx="2790411" cy="1921565"/>
                    </a:xfrm>
                    <a:prstGeom prst="rect">
                      <a:avLst/>
                    </a:prstGeom>
                  </pic:spPr>
                </pic:pic>
              </a:graphicData>
            </a:graphic>
          </wp:anchor>
        </w:drawing>
      </w:r>
      <w:r w:rsidR="00657478" w:rsidRPr="00405D83">
        <w:rPr>
          <w:lang w:val="es-ES" w:eastAsia="fr-FR"/>
        </w:rPr>
        <w:drawing>
          <wp:anchor distT="0" distB="0" distL="114300" distR="114300" simplePos="0" relativeHeight="251664384" behindDoc="1" locked="1" layoutInCell="1" allowOverlap="1">
            <wp:simplePos x="0" y="0"/>
            <wp:positionH relativeFrom="page">
              <wp:posOffset>224790</wp:posOffset>
            </wp:positionH>
            <wp:positionV relativeFrom="paragraph">
              <wp:posOffset>-713105</wp:posOffset>
            </wp:positionV>
            <wp:extent cx="2517775" cy="397510"/>
            <wp:effectExtent l="0" t="0" r="0" b="0"/>
            <wp:wrapNone/>
            <wp:docPr id="9" name="Picture 6" descr="windows 7 bl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7 bl h.png"/>
                    <pic:cNvPicPr/>
                  </pic:nvPicPr>
                  <pic:blipFill>
                    <a:blip r:embed="rId6" cstate="print"/>
                    <a:stretch>
                      <a:fillRect/>
                    </a:stretch>
                  </pic:blipFill>
                  <pic:spPr>
                    <a:xfrm>
                      <a:off x="0" y="0"/>
                      <a:ext cx="2517775" cy="397510"/>
                    </a:xfrm>
                    <a:prstGeom prst="rect">
                      <a:avLst/>
                    </a:prstGeom>
                  </pic:spPr>
                </pic:pic>
              </a:graphicData>
            </a:graphic>
          </wp:anchor>
        </w:drawing>
      </w:r>
      <w:r w:rsidR="008E05EF" w:rsidRPr="00405D83">
        <w:rPr>
          <w:lang w:val="es-ES" w:eastAsia="fr-FR"/>
        </w:rPr>
        <w:drawing>
          <wp:anchor distT="0" distB="0" distL="114300" distR="114300" simplePos="0" relativeHeight="251665408" behindDoc="1" locked="1" layoutInCell="1" allowOverlap="1">
            <wp:simplePos x="0" y="0"/>
            <wp:positionH relativeFrom="column">
              <wp:posOffset>-2102485</wp:posOffset>
            </wp:positionH>
            <wp:positionV relativeFrom="paragraph">
              <wp:posOffset>-905510</wp:posOffset>
            </wp:positionV>
            <wp:extent cx="1087120" cy="198755"/>
            <wp:effectExtent l="19050" t="0" r="0" b="0"/>
            <wp:wrapNone/>
            <wp:docPr id="10" name="Picture 9" descr="Microsoft corporate Logo wht shadowMS generic 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corporate Logo wht shadowMS generic brand.png"/>
                    <pic:cNvPicPr/>
                  </pic:nvPicPr>
                  <pic:blipFill>
                    <a:blip r:embed="rId7" cstate="print"/>
                    <a:stretch>
                      <a:fillRect/>
                    </a:stretch>
                  </pic:blipFill>
                  <pic:spPr>
                    <a:xfrm>
                      <a:off x="0" y="0"/>
                      <a:ext cx="1087120" cy="198755"/>
                    </a:xfrm>
                    <a:prstGeom prst="rect">
                      <a:avLst/>
                    </a:prstGeom>
                  </pic:spPr>
                </pic:pic>
              </a:graphicData>
            </a:graphic>
          </wp:anchor>
        </w:drawing>
      </w:r>
      <w:r w:rsidR="00917E62" w:rsidRPr="00405D83">
        <w:rPr>
          <w:lang w:val="es-ES" w:eastAsia="fr-FR"/>
        </w:rPr>
        <w:drawing>
          <wp:anchor distT="0" distB="0" distL="114300" distR="114300" simplePos="0" relativeHeight="251660288" behindDoc="1" locked="1" layoutInCell="0" allowOverlap="1">
            <wp:simplePos x="0" y="0"/>
            <wp:positionH relativeFrom="page">
              <wp:posOffset>0</wp:posOffset>
            </wp:positionH>
            <wp:positionV relativeFrom="page">
              <wp:align>top</wp:align>
            </wp:positionV>
            <wp:extent cx="7773035" cy="10058400"/>
            <wp:effectExtent l="19050" t="0" r="0" b="0"/>
            <wp:wrapNone/>
            <wp:docPr id="4" name="Picture 3" descr="Windows7ActivationDataShe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7ActivationDataSheet1.jpg"/>
                    <pic:cNvPicPr/>
                  </pic:nvPicPr>
                  <pic:blipFill>
                    <a:blip r:embed="rId8" cstate="print"/>
                    <a:stretch>
                      <a:fillRect/>
                    </a:stretch>
                  </pic:blipFill>
                  <pic:spPr>
                    <a:xfrm>
                      <a:off x="0" y="0"/>
                      <a:ext cx="7773035" cy="10058400"/>
                    </a:xfrm>
                    <a:prstGeom prst="rect">
                      <a:avLst/>
                    </a:prstGeom>
                  </pic:spPr>
                </pic:pic>
              </a:graphicData>
            </a:graphic>
          </wp:anchor>
        </w:drawing>
      </w:r>
      <w:r w:rsidR="00A1151F" w:rsidRPr="00405D83">
        <w:rPr>
          <w:lang w:val="es-ES"/>
        </w:rPr>
        <w:pict>
          <v:shapetype id="_x0000_t202" coordsize="21600,21600" o:spt="202" path="m,l,21600r21600,l21600,xe">
            <v:stroke joinstyle="miter"/>
            <v:path gradientshapeok="t" o:connecttype="rect"/>
          </v:shapetype>
          <v:shape id="_x0000_s1027" type="#_x0000_t202" style="position:absolute;margin-left:23.05pt;margin-top:92.6pt;width:161.65pt;height:655.2pt;z-index:251659264;mso-position-horizontal-relative:page;mso-position-vertical-relative:page" filled="f" fillcolor="white [3201]" stroked="f" strokecolor="#f79646 [3209]" strokeweight="1pt">
            <v:stroke dashstyle="dash"/>
            <v:shadow color="#868686"/>
            <v:textbox style="mso-next-textbox:#_x0000_s1027">
              <w:txbxContent>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1B4482" w:rsidRDefault="001B4482" w:rsidP="001B4482">
                  <w:pPr>
                    <w:spacing w:before="240"/>
                  </w:pPr>
                </w:p>
                <w:p w:rsidR="003A4D21" w:rsidRDefault="003A4D21" w:rsidP="001B4482">
                  <w:pPr>
                    <w:spacing w:before="240"/>
                  </w:pPr>
                </w:p>
                <w:p w:rsidR="001B4482" w:rsidRDefault="001B4482" w:rsidP="001B4482">
                  <w:pPr>
                    <w:spacing w:before="240"/>
                  </w:pPr>
                </w:p>
                <w:p w:rsidR="001B4482" w:rsidRDefault="006F0D87" w:rsidP="00541FA4">
                  <w:pPr>
                    <w:pStyle w:val="body"/>
                    <w:spacing w:before="120" w:line="440" w:lineRule="atLeast"/>
                    <w:rPr>
                      <w:i/>
                      <w:iCs/>
                      <w:color w:val="007BC2"/>
                      <w:sz w:val="26"/>
                      <w:szCs w:val="26"/>
                    </w:rPr>
                  </w:pPr>
                  <w:r>
                    <w:rPr>
                      <w:i/>
                      <w:iCs/>
                      <w:color w:val="007BC2"/>
                      <w:sz w:val="26"/>
                      <w:szCs w:val="26"/>
                    </w:rPr>
                    <w:t>Cuando usa software original está seguro de que el software es confiable y que es completamente compatible con Microsoft y sus socios, al mismo tiempo que lo protege contra amenazas de seguridad.</w:t>
                  </w:r>
                </w:p>
                <w:p w:rsidR="001B4482" w:rsidRDefault="001B4482" w:rsidP="001B4482">
                  <w:pPr>
                    <w:spacing w:before="240"/>
                  </w:pPr>
                </w:p>
              </w:txbxContent>
            </v:textbox>
            <w10:wrap anchorx="page" anchory="page"/>
            <w10:anchorlock/>
          </v:shape>
        </w:pict>
      </w:r>
      <w:r w:rsidRPr="00405D83">
        <w:rPr>
          <w:lang w:val="es-ES"/>
        </w:rPr>
        <w:t>Mejoras en la activación</w:t>
      </w:r>
      <w:r w:rsidR="00405D83" w:rsidRPr="00405D83">
        <w:rPr>
          <w:lang w:val="es-ES"/>
        </w:rPr>
        <w:t xml:space="preserve"> </w:t>
      </w:r>
      <w:r w:rsidR="00A46F67">
        <w:rPr>
          <w:lang w:val="es-ES"/>
        </w:rPr>
        <w:t xml:space="preserve">de </w:t>
      </w:r>
      <w:r w:rsidR="00405D83" w:rsidRPr="00405D83">
        <w:rPr>
          <w:lang w:val="es-ES"/>
        </w:rPr>
        <w:t>Windows 7</w:t>
      </w:r>
      <w:r w:rsidR="00405D83" w:rsidRPr="00405D83">
        <w:rPr>
          <w:vertAlign w:val="superscript"/>
          <w:lang w:val="es-ES"/>
        </w:rPr>
        <w:t>®</w:t>
      </w:r>
    </w:p>
    <w:p w:rsidR="00FA6AB9" w:rsidRPr="00405D83" w:rsidRDefault="007826BC" w:rsidP="00405D83">
      <w:pPr>
        <w:pStyle w:val="DatasheetBodyText"/>
        <w:spacing w:after="80"/>
        <w:rPr>
          <w:lang w:val="es-ES"/>
        </w:rPr>
      </w:pPr>
      <w:r w:rsidRPr="00405D83">
        <w:rPr>
          <w:lang w:val="es-ES"/>
        </w:rPr>
        <w:t xml:space="preserve">Con el lanzamiento del sistema operativo Windows 7, Microsoft ha mejorado considerablemente las herramientas y tecnologías de </w:t>
      </w:r>
      <w:proofErr w:type="spellStart"/>
      <w:r w:rsidRPr="00405D83">
        <w:rPr>
          <w:lang w:val="es-ES"/>
        </w:rPr>
        <w:t>Volume</w:t>
      </w:r>
      <w:proofErr w:type="spellEnd"/>
      <w:r w:rsidRPr="00405D83">
        <w:rPr>
          <w:lang w:val="es-ES"/>
        </w:rPr>
        <w:t xml:space="preserve"> </w:t>
      </w:r>
      <w:proofErr w:type="spellStart"/>
      <w:r w:rsidRPr="00405D83">
        <w:rPr>
          <w:lang w:val="es-ES"/>
        </w:rPr>
        <w:t>Activation</w:t>
      </w:r>
      <w:proofErr w:type="spellEnd"/>
      <w:r w:rsidRPr="00405D83">
        <w:rPr>
          <w:lang w:val="es-ES"/>
        </w:rPr>
        <w:t xml:space="preserve"> (VA). Además de confirmar la autenticidad del software y garantizar que el software es confiable y completamente compatible con Microsoft y sus socios, la tecnología de activación de Windows 7 incluye las siguientes mejoras:</w:t>
      </w:r>
    </w:p>
    <w:p w:rsidR="007826BC" w:rsidRPr="00405D83" w:rsidRDefault="007826BC" w:rsidP="00002E2A">
      <w:pPr>
        <w:pStyle w:val="DatasheetBullets"/>
        <w:rPr>
          <w:lang w:val="es-ES"/>
        </w:rPr>
      </w:pPr>
      <w:r w:rsidRPr="00405D83">
        <w:rPr>
          <w:lang w:val="es-ES"/>
        </w:rPr>
        <w:t>Interfaces mejoradas para una mayor facilidad de uso y personalización.</w:t>
      </w:r>
    </w:p>
    <w:p w:rsidR="007826BC" w:rsidRPr="00405D83" w:rsidRDefault="007826BC" w:rsidP="007826BC">
      <w:pPr>
        <w:pStyle w:val="DatasheetBullets"/>
        <w:rPr>
          <w:lang w:val="es-ES"/>
        </w:rPr>
      </w:pPr>
      <w:r w:rsidRPr="00405D83">
        <w:rPr>
          <w:lang w:val="es-ES"/>
        </w:rPr>
        <w:t xml:space="preserve">Activación más simple y flexible que reduce los recursos de administración. </w:t>
      </w:r>
    </w:p>
    <w:p w:rsidR="007826BC" w:rsidRPr="00405D83" w:rsidRDefault="007826BC" w:rsidP="007826BC">
      <w:pPr>
        <w:pStyle w:val="DatasheetBullets"/>
        <w:rPr>
          <w:lang w:val="es-ES"/>
        </w:rPr>
      </w:pPr>
      <w:r w:rsidRPr="00405D83">
        <w:rPr>
          <w:lang w:val="es-ES"/>
        </w:rPr>
        <w:t>Integración y capacidad de administración de servicios y claves de activación mejorada para un mayor control administrativo.</w:t>
      </w:r>
    </w:p>
    <w:p w:rsidR="007826BC" w:rsidRPr="00405D83" w:rsidRDefault="002147CA" w:rsidP="00AF0FAF">
      <w:pPr>
        <w:pStyle w:val="DatasheetBullets"/>
        <w:spacing w:after="0"/>
        <w:rPr>
          <w:lang w:val="es-ES"/>
        </w:rPr>
      </w:pPr>
      <w:r w:rsidRPr="00405D83">
        <w:rPr>
          <w:lang w:val="es-ES"/>
        </w:rPr>
        <w:t>Ayuda para mejorar el rendimiento y una superficie de memoria reducida para mayor eficiencia.</w:t>
      </w:r>
    </w:p>
    <w:p w:rsidR="00FA6AB9" w:rsidRPr="00405D83" w:rsidRDefault="007826BC" w:rsidP="00D65A66">
      <w:pPr>
        <w:pStyle w:val="DatasheetBodyText"/>
        <w:spacing w:before="240"/>
        <w:rPr>
          <w:lang w:val="es-ES"/>
        </w:rPr>
      </w:pPr>
      <w:r w:rsidRPr="00405D83">
        <w:rPr>
          <w:lang w:val="es-ES"/>
        </w:rPr>
        <w:t xml:space="preserve">La mayoría de estas mejoras se implementaron gracias a los comentarios que Microsoft recibió de sus clientes y socios. En consecuencia, el importante conjunto de herramientas de VA permanece intacto, así las organizaciones pueden aprovechar al máximo estas mejoras de VA sin tener que modificar sus estructuras de activación actuales. La herramienta </w:t>
      </w:r>
      <w:proofErr w:type="spellStart"/>
      <w:r w:rsidRPr="00405D83">
        <w:rPr>
          <w:lang w:val="es-ES"/>
        </w:rPr>
        <w:t>Volume</w:t>
      </w:r>
      <w:proofErr w:type="spellEnd"/>
      <w:r w:rsidRPr="00405D83">
        <w:rPr>
          <w:lang w:val="es-ES"/>
        </w:rPr>
        <w:t xml:space="preserve"> </w:t>
      </w:r>
      <w:proofErr w:type="spellStart"/>
      <w:r w:rsidRPr="00405D83">
        <w:rPr>
          <w:lang w:val="es-ES"/>
        </w:rPr>
        <w:t>Activation</w:t>
      </w:r>
      <w:proofErr w:type="spellEnd"/>
      <w:r w:rsidRPr="00405D83">
        <w:rPr>
          <w:lang w:val="es-ES"/>
        </w:rPr>
        <w:t xml:space="preserve"> Management </w:t>
      </w:r>
      <w:proofErr w:type="spellStart"/>
      <w:r w:rsidRPr="00405D83">
        <w:rPr>
          <w:lang w:val="es-ES"/>
        </w:rPr>
        <w:t>Tool</w:t>
      </w:r>
      <w:proofErr w:type="spellEnd"/>
      <w:r w:rsidRPr="00405D83">
        <w:rPr>
          <w:lang w:val="es-ES"/>
        </w:rPr>
        <w:t xml:space="preserve"> (VAMT), la clave de activación múltiple (MAK), y el Servicio </w:t>
      </w:r>
      <w:r w:rsidRPr="00405D83">
        <w:rPr>
          <w:spacing w:val="-2"/>
          <w:lang w:val="es-ES"/>
        </w:rPr>
        <w:t>de administración de claves (KMS) contribuyen</w:t>
      </w:r>
      <w:r w:rsidRPr="00405D83">
        <w:rPr>
          <w:lang w:val="es-ES"/>
        </w:rPr>
        <w:t xml:space="preserve"> al cumplimiento de licencias al mismo tiempo que ayudan a reducir los riesgos relacionados con usos de claves no autorizadas.</w:t>
      </w:r>
    </w:p>
    <w:p w:rsidR="00FA6AB9" w:rsidRPr="00405D83" w:rsidRDefault="00FA6AB9" w:rsidP="00541FA4">
      <w:pPr>
        <w:pStyle w:val="DatasheetH1"/>
        <w:spacing w:before="320"/>
        <w:rPr>
          <w:lang w:val="es-ES"/>
        </w:rPr>
      </w:pPr>
      <w:proofErr w:type="spellStart"/>
      <w:r w:rsidRPr="00405D83">
        <w:rPr>
          <w:lang w:val="es-ES"/>
        </w:rPr>
        <w:t>Volume</w:t>
      </w:r>
      <w:proofErr w:type="spellEnd"/>
      <w:r w:rsidRPr="00405D83">
        <w:rPr>
          <w:lang w:val="es-ES"/>
        </w:rPr>
        <w:t xml:space="preserve"> </w:t>
      </w:r>
      <w:proofErr w:type="spellStart"/>
      <w:r w:rsidRPr="00405D83">
        <w:rPr>
          <w:lang w:val="es-ES"/>
        </w:rPr>
        <w:t>Activation</w:t>
      </w:r>
      <w:proofErr w:type="spellEnd"/>
      <w:r w:rsidRPr="00405D83">
        <w:rPr>
          <w:lang w:val="es-ES"/>
        </w:rPr>
        <w:t xml:space="preserve"> </w:t>
      </w:r>
    </w:p>
    <w:p w:rsidR="007826BC" w:rsidRPr="00405D83" w:rsidRDefault="007826BC" w:rsidP="00B331C8">
      <w:pPr>
        <w:pStyle w:val="DatasheetBodyText"/>
        <w:rPr>
          <w:lang w:val="es-ES"/>
        </w:rPr>
      </w:pPr>
      <w:r w:rsidRPr="00405D83">
        <w:rPr>
          <w:lang w:val="es-ES"/>
        </w:rPr>
        <w:t>Las funciones de VA de Windows 7 se basan en los servicios y herramientas de VA presentados en Windows Vista</w:t>
      </w:r>
      <w:r w:rsidRPr="00405D83">
        <w:rPr>
          <w:vertAlign w:val="superscript"/>
          <w:lang w:val="es-ES"/>
        </w:rPr>
        <w:t>®</w:t>
      </w:r>
      <w:r w:rsidRPr="00405D83">
        <w:rPr>
          <w:lang w:val="es-ES"/>
        </w:rPr>
        <w:t>:</w:t>
      </w:r>
    </w:p>
    <w:p w:rsidR="00FA6AB9" w:rsidRPr="00405D83" w:rsidRDefault="00FA6AB9" w:rsidP="00B331C8">
      <w:pPr>
        <w:pStyle w:val="DatasheetBullets"/>
        <w:rPr>
          <w:lang w:val="es-ES"/>
        </w:rPr>
      </w:pPr>
      <w:r w:rsidRPr="00405D83">
        <w:rPr>
          <w:rStyle w:val="H3Bullet"/>
          <w:lang w:val="es-ES"/>
        </w:rPr>
        <w:t>Servicio de administración de claves (KMS).</w:t>
      </w:r>
      <w:r w:rsidRPr="00405D83">
        <w:rPr>
          <w:lang w:val="es-ES"/>
        </w:rPr>
        <w:t xml:space="preserve"> KMS le brinda a las organizaciones la capacidad de hospedar y administrar la activación dentro de un entorno administrado. Las organizaciones que usan KMS reciben una clave KMS que se puede instalar en un host (o hosts) KMS dentro de la organización. Los sistemas se conectan al host KMS y se activan de forma transparente.</w:t>
      </w:r>
    </w:p>
    <w:p w:rsidR="00FA6AB9" w:rsidRPr="00405D83" w:rsidRDefault="007826BC" w:rsidP="007826BC">
      <w:pPr>
        <w:pStyle w:val="DatasheetBullets"/>
        <w:rPr>
          <w:lang w:val="es-ES"/>
        </w:rPr>
      </w:pPr>
      <w:r w:rsidRPr="00405D83">
        <w:rPr>
          <w:rStyle w:val="H3Bullet"/>
          <w:lang w:val="es-ES"/>
        </w:rPr>
        <w:lastRenderedPageBreak/>
        <w:t>Clave de activación múltiple (MAK).</w:t>
      </w:r>
      <w:r w:rsidRPr="00405D83">
        <w:rPr>
          <w:b/>
          <w:bCs/>
          <w:lang w:val="es-ES"/>
        </w:rPr>
        <w:t xml:space="preserve"> </w:t>
      </w:r>
      <w:r w:rsidRPr="00405D83">
        <w:rPr>
          <w:lang w:val="es-ES"/>
        </w:rPr>
        <w:br/>
        <w:t>Con una MAK, las organizaciones usan servicios de activación hospedados de Microsoft para activar cada sistema elegible de la organización. Cada MAK tiene un número predeterminado de activaciones permitidas, que coincide con el número de sistemas elegibles en toda la organización.</w:t>
      </w:r>
    </w:p>
    <w:p w:rsidR="00FA6AB9" w:rsidRPr="00405D83" w:rsidRDefault="00FA6AB9" w:rsidP="00405D83">
      <w:pPr>
        <w:pStyle w:val="DatasheetBullets"/>
        <w:spacing w:after="80"/>
        <w:ind w:left="357" w:hanging="357"/>
        <w:rPr>
          <w:b/>
          <w:bCs/>
          <w:lang w:val="es-ES"/>
        </w:rPr>
      </w:pPr>
      <w:r w:rsidRPr="00405D83">
        <w:rPr>
          <w:rStyle w:val="H3Bullet"/>
          <w:bCs w:val="0"/>
          <w:lang w:val="es-ES"/>
        </w:rPr>
        <w:t>Notificaciones</w:t>
      </w:r>
      <w:r w:rsidRPr="00405D83">
        <w:rPr>
          <w:rStyle w:val="H3Bullet"/>
          <w:lang w:val="es-ES"/>
        </w:rPr>
        <w:t xml:space="preserve">. </w:t>
      </w:r>
      <w:r w:rsidRPr="00405D83">
        <w:rPr>
          <w:lang w:val="es-ES"/>
        </w:rPr>
        <w:t>Si una activación no se realiza dentro de un período de tiempo predeterminado, o si surgen problemas de activación en una instalación existente, cualquier equipo no compatible mostrará notificaciones de forma regular a fin de alertar a los usuarios sobre el problema de activación.</w:t>
      </w:r>
    </w:p>
    <w:p w:rsidR="00E64435" w:rsidRPr="00405D83" w:rsidRDefault="00B331C8" w:rsidP="009962D6">
      <w:pPr>
        <w:pStyle w:val="DatasheetBodyText"/>
        <w:spacing w:before="240"/>
        <w:rPr>
          <w:lang w:val="es-ES"/>
        </w:rPr>
      </w:pPr>
      <w:r w:rsidRPr="00405D83">
        <w:rPr>
          <w:lang w:val="es-ES"/>
        </w:rPr>
        <w:t xml:space="preserve">Para obtener más información acerca de herramientas y servicios de VA existentes, consulte la Guía de planeación de </w:t>
      </w:r>
      <w:proofErr w:type="spellStart"/>
      <w:r w:rsidRPr="00405D83">
        <w:rPr>
          <w:lang w:val="es-ES"/>
        </w:rPr>
        <w:t>Volume</w:t>
      </w:r>
      <w:proofErr w:type="spellEnd"/>
      <w:r w:rsidRPr="00405D83">
        <w:rPr>
          <w:lang w:val="es-ES"/>
        </w:rPr>
        <w:t xml:space="preserve"> </w:t>
      </w:r>
      <w:proofErr w:type="spellStart"/>
      <w:r w:rsidRPr="00405D83">
        <w:rPr>
          <w:lang w:val="es-ES"/>
        </w:rPr>
        <w:t>Activation</w:t>
      </w:r>
      <w:proofErr w:type="spellEnd"/>
      <w:r w:rsidRPr="00405D83">
        <w:rPr>
          <w:lang w:val="es-ES"/>
        </w:rPr>
        <w:t xml:space="preserve"> en </w:t>
      </w:r>
      <w:hyperlink r:id="rId9" w:history="1">
        <w:r w:rsidR="00405D83" w:rsidRPr="00405D83">
          <w:rPr>
            <w:rStyle w:val="Lienhypertexte"/>
            <w:lang w:val="es-ES"/>
          </w:rPr>
          <w:t>http://go.microsoft.com/fwlink/?LinkId=149823</w:t>
        </w:r>
      </w:hyperlink>
    </w:p>
    <w:p w:rsidR="00DE178D" w:rsidRPr="00405D83" w:rsidRDefault="00DE178D" w:rsidP="00405D83">
      <w:pPr>
        <w:pStyle w:val="DatasheetBodyText"/>
        <w:spacing w:before="120" w:after="80" w:line="120" w:lineRule="exact"/>
        <w:rPr>
          <w:lang w:val="es-ES"/>
        </w:rPr>
      </w:pPr>
    </w:p>
    <w:p w:rsidR="00B331C8" w:rsidRPr="00405D83" w:rsidRDefault="00B331C8" w:rsidP="00405D83">
      <w:pPr>
        <w:pStyle w:val="DatasheetH1"/>
        <w:spacing w:before="160"/>
        <w:rPr>
          <w:lang w:val="es-ES"/>
        </w:rPr>
      </w:pPr>
      <w:r w:rsidRPr="00405D83">
        <w:rPr>
          <w:lang w:val="es-ES"/>
        </w:rPr>
        <w:t>Mejoras en la activación</w:t>
      </w:r>
    </w:p>
    <w:p w:rsidR="00B331C8" w:rsidRPr="00405D83" w:rsidRDefault="00B331C8" w:rsidP="00405D83">
      <w:pPr>
        <w:pStyle w:val="DatasheetBodyText"/>
        <w:spacing w:after="80"/>
        <w:rPr>
          <w:lang w:val="es-ES"/>
        </w:rPr>
      </w:pPr>
      <w:r w:rsidRPr="00405D83">
        <w:rPr>
          <w:lang w:val="es-ES"/>
        </w:rPr>
        <w:t>El siguiente resumen de alto nivel resalta las mejoras clave de VA en Windows 7 y en Windows Server</w:t>
      </w:r>
      <w:r w:rsidRPr="00405D83">
        <w:rPr>
          <w:rFonts w:cs="Segoe UI"/>
          <w:lang w:val="es-ES"/>
        </w:rPr>
        <w:t>®</w:t>
      </w:r>
      <w:r w:rsidRPr="00405D83">
        <w:rPr>
          <w:lang w:val="es-ES"/>
        </w:rPr>
        <w:t xml:space="preserve"> 2008 R2.</w:t>
      </w:r>
    </w:p>
    <w:p w:rsidR="00FA6AB9" w:rsidRPr="00405D83" w:rsidRDefault="00FA6AB9" w:rsidP="00405D83">
      <w:pPr>
        <w:pStyle w:val="DatasheetH2"/>
        <w:spacing w:before="120"/>
        <w:rPr>
          <w:lang w:val="es-ES"/>
        </w:rPr>
      </w:pPr>
      <w:r w:rsidRPr="00405D83">
        <w:rPr>
          <w:lang w:val="es-ES"/>
        </w:rPr>
        <w:t>Experiencia del usuario mejorada</w:t>
      </w:r>
    </w:p>
    <w:p w:rsidR="00B331C8" w:rsidRPr="00405D83" w:rsidRDefault="00B331C8" w:rsidP="00B331C8">
      <w:pPr>
        <w:pStyle w:val="DatasheetBodyText"/>
        <w:rPr>
          <w:lang w:val="es-ES"/>
        </w:rPr>
      </w:pPr>
      <w:r w:rsidRPr="00405D83">
        <w:rPr>
          <w:lang w:val="es-ES"/>
        </w:rPr>
        <w:t>Las mejoras en la experiencia del usuario de VA permiten que las organizaciones puedan personalizar la interfaz de forma más precisa, evitar posibles problemas de forma más eficaz y solucionar problemas de activación de forma más rápida:</w:t>
      </w:r>
    </w:p>
    <w:p w:rsidR="00FA6AB9" w:rsidRPr="00405D83" w:rsidRDefault="00FA6AB9" w:rsidP="00B331C8">
      <w:pPr>
        <w:pStyle w:val="DatasheetBullets"/>
        <w:rPr>
          <w:lang w:val="es-ES"/>
        </w:rPr>
      </w:pPr>
      <w:r w:rsidRPr="00405D83">
        <w:rPr>
          <w:rStyle w:val="H3Bullet"/>
          <w:spacing w:val="-4"/>
          <w:lang w:val="es-ES"/>
        </w:rPr>
        <w:t xml:space="preserve">Personalización de la interfaz. </w:t>
      </w:r>
      <w:r w:rsidRPr="00405D83">
        <w:rPr>
          <w:lang w:val="es-ES"/>
        </w:rPr>
        <w:t>Las organizaciones pueden cambiar muchos elementos de la interfaz a fin de proporcionar una experiencia pensada para sus usuarios internos. Por ejemplo, los administradores pueden personalizar una URL para obtener una solución rápida y administrada si se produce un problema relacionado con la activación.</w:t>
      </w:r>
    </w:p>
    <w:p w:rsidR="00D65A66" w:rsidRPr="00405D83" w:rsidRDefault="00FA6AB9" w:rsidP="00B331C8">
      <w:pPr>
        <w:pStyle w:val="DatasheetBullets"/>
        <w:rPr>
          <w:lang w:val="es-ES"/>
        </w:rPr>
      </w:pPr>
      <w:r w:rsidRPr="00405D83">
        <w:rPr>
          <w:rStyle w:val="H3Bullet"/>
          <w:lang w:val="es-ES"/>
        </w:rPr>
        <w:t xml:space="preserve">Mejoras en los mensajes. </w:t>
      </w:r>
      <w:r w:rsidRPr="00405D83">
        <w:rPr>
          <w:lang w:val="es-ES"/>
        </w:rPr>
        <w:t>Los mensajes de error dirigidos a los usuarios finales y a los administradores se han mejorado y clarificado, se incluye más información para la solución de problemas.</w:t>
      </w:r>
    </w:p>
    <w:p w:rsidR="003A4D21" w:rsidRPr="00405D83" w:rsidRDefault="003A4D21" w:rsidP="00E64435">
      <w:pPr>
        <w:pStyle w:val="DatasheetBullets"/>
        <w:rPr>
          <w:lang w:val="es-ES"/>
        </w:rPr>
        <w:sectPr w:rsidR="003A4D21" w:rsidRPr="00405D83" w:rsidSect="00657478">
          <w:pgSz w:w="12240" w:h="15840" w:code="1"/>
          <w:pgMar w:top="1728" w:right="720" w:bottom="576" w:left="4248" w:header="720" w:footer="720" w:gutter="0"/>
          <w:cols w:num="2" w:space="288"/>
          <w:docGrid w:linePitch="360"/>
        </w:sectPr>
      </w:pPr>
      <w:r w:rsidRPr="00405D83">
        <w:rPr>
          <w:b/>
          <w:lang w:val="es-ES"/>
        </w:rPr>
        <w:t>Notificaciones mejoradas.</w:t>
      </w:r>
      <w:r w:rsidRPr="00405D83">
        <w:rPr>
          <w:lang w:val="es-ES"/>
        </w:rPr>
        <w:t xml:space="preserve"> Los cuadros de diálogo de notificación proporcionan más información y opciones prácticas para la rápida resolución de problemas. </w:t>
      </w:r>
    </w:p>
    <w:p w:rsidR="00B331C8" w:rsidRPr="00405D83" w:rsidRDefault="00961753" w:rsidP="00C067BE">
      <w:pPr>
        <w:pStyle w:val="DatasheetH2"/>
        <w:spacing w:before="0" w:after="40"/>
        <w:rPr>
          <w:lang w:val="es-ES"/>
        </w:rPr>
      </w:pPr>
      <w:r w:rsidRPr="00405D83">
        <w:rPr>
          <w:lang w:val="es-ES" w:eastAsia="fr-FR"/>
        </w:rPr>
        <w:lastRenderedPageBreak/>
        <w:drawing>
          <wp:anchor distT="0" distB="0" distL="114300" distR="114300" simplePos="0" relativeHeight="251661312" behindDoc="1" locked="0" layoutInCell="1" allowOverlap="1">
            <wp:simplePos x="0" y="0"/>
            <wp:positionH relativeFrom="page">
              <wp:posOffset>-41275</wp:posOffset>
            </wp:positionH>
            <wp:positionV relativeFrom="page">
              <wp:align>top</wp:align>
            </wp:positionV>
            <wp:extent cx="7770495" cy="10058400"/>
            <wp:effectExtent l="19050" t="0" r="1905" b="0"/>
            <wp:wrapNone/>
            <wp:docPr id="5" name="Picture 4" descr="Windows7ActivationDataShe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7ActivationDataSheet2.jpg"/>
                    <pic:cNvPicPr/>
                  </pic:nvPicPr>
                  <pic:blipFill>
                    <a:blip r:embed="rId10" cstate="print"/>
                    <a:stretch>
                      <a:fillRect/>
                    </a:stretch>
                  </pic:blipFill>
                  <pic:spPr>
                    <a:xfrm>
                      <a:off x="0" y="0"/>
                      <a:ext cx="7770495" cy="10058400"/>
                    </a:xfrm>
                    <a:prstGeom prst="rect">
                      <a:avLst/>
                    </a:prstGeom>
                  </pic:spPr>
                </pic:pic>
              </a:graphicData>
            </a:graphic>
          </wp:anchor>
        </w:drawing>
      </w:r>
      <w:r w:rsidR="00A1151F" w:rsidRPr="00405D83">
        <w:rPr>
          <w:lang w:val="es-ES"/>
        </w:rPr>
        <w:pict>
          <v:shape id="_x0000_s1028" type="#_x0000_t202" style="position:absolute;margin-left:2.8pt;margin-top:-1.4pt;width:600pt;height:43.75pt;z-index:-251653120;mso-position-horizontal-relative:page;mso-position-vertical-relative:page;v-text-anchor:middle" filled="f" stroked="f">
            <v:textbox style="mso-next-textbox:#_x0000_s1028" inset=",0,,0">
              <w:txbxContent>
                <w:p w:rsidR="000F16A6" w:rsidRPr="00405D83" w:rsidRDefault="00F13831" w:rsidP="00F13831">
                  <w:pPr>
                    <w:spacing w:after="0" w:line="240" w:lineRule="auto"/>
                    <w:rPr>
                      <w:rFonts w:ascii="Segoe" w:hAnsi="Segoe"/>
                      <w:sz w:val="32"/>
                      <w:szCs w:val="32"/>
                      <w:lang w:val="es-ES"/>
                    </w:rPr>
                  </w:pPr>
                  <w:r w:rsidRPr="00405D83">
                    <w:rPr>
                      <w:rFonts w:ascii="Segoe" w:hAnsi="Segoe"/>
                      <w:sz w:val="32"/>
                      <w:szCs w:val="32"/>
                      <w:lang w:val="es-ES"/>
                    </w:rPr>
                    <w:t xml:space="preserve">     Hoja de los datos de activación</w:t>
                  </w:r>
                  <w:r w:rsidR="00405D83" w:rsidRPr="00405D83">
                    <w:rPr>
                      <w:rFonts w:ascii="Segoe" w:hAnsi="Segoe"/>
                      <w:sz w:val="32"/>
                      <w:szCs w:val="32"/>
                      <w:lang w:val="es-ES"/>
                    </w:rPr>
                    <w:t xml:space="preserve"> Windows 7</w:t>
                  </w:r>
                  <w:r w:rsidR="00405D83" w:rsidRPr="00405D83">
                    <w:rPr>
                      <w:rFonts w:ascii="Segoe" w:hAnsi="Segoe"/>
                      <w:sz w:val="32"/>
                      <w:szCs w:val="32"/>
                      <w:vertAlign w:val="superscript"/>
                      <w:lang w:val="es-ES"/>
                    </w:rPr>
                    <w:t>®</w:t>
                  </w:r>
                </w:p>
              </w:txbxContent>
            </v:textbox>
            <w10:wrap anchorx="page" anchory="page"/>
            <w10:anchorlock/>
          </v:shape>
        </w:pict>
      </w:r>
      <w:r w:rsidR="000F16A6" w:rsidRPr="00405D83">
        <w:rPr>
          <w:lang w:val="es-ES" w:eastAsia="fr-FR"/>
        </w:rPr>
        <w:drawing>
          <wp:anchor distT="0" distB="0" distL="114300" distR="114300" simplePos="0" relativeHeight="251662336" behindDoc="0" locked="0" layoutInCell="1" allowOverlap="1">
            <wp:simplePos x="0" y="0"/>
            <wp:positionH relativeFrom="column">
              <wp:posOffset>-2357120</wp:posOffset>
            </wp:positionH>
            <wp:positionV relativeFrom="paragraph">
              <wp:posOffset>13335</wp:posOffset>
            </wp:positionV>
            <wp:extent cx="1828800" cy="1129030"/>
            <wp:effectExtent l="0" t="0" r="0" b="0"/>
            <wp:wrapThrough wrapText="bothSides">
              <wp:wrapPolygon edited="0">
                <wp:start x="10350" y="729"/>
                <wp:lineTo x="9675" y="1093"/>
                <wp:lineTo x="8325" y="5102"/>
                <wp:lineTo x="8325" y="6560"/>
                <wp:lineTo x="7200" y="12391"/>
                <wp:lineTo x="1350" y="14214"/>
                <wp:lineTo x="450" y="14943"/>
                <wp:lineTo x="1350" y="20409"/>
                <wp:lineTo x="19800" y="20409"/>
                <wp:lineTo x="21375" y="15672"/>
                <wp:lineTo x="20475" y="14214"/>
                <wp:lineTo x="16425" y="12391"/>
                <wp:lineTo x="17550" y="6925"/>
                <wp:lineTo x="18225" y="3280"/>
                <wp:lineTo x="17325" y="2187"/>
                <wp:lineTo x="12600" y="729"/>
                <wp:lineTo x="10350" y="729"/>
              </wp:wrapPolygon>
            </wp:wrapThrough>
            <wp:docPr id="6" name="Picture 5" descr="windows 7 bl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7 bl v.png"/>
                    <pic:cNvPicPr/>
                  </pic:nvPicPr>
                  <pic:blipFill>
                    <a:blip r:embed="rId11" cstate="print"/>
                    <a:stretch>
                      <a:fillRect/>
                    </a:stretch>
                  </pic:blipFill>
                  <pic:spPr>
                    <a:xfrm>
                      <a:off x="0" y="0"/>
                      <a:ext cx="1828800" cy="1129030"/>
                    </a:xfrm>
                    <a:prstGeom prst="rect">
                      <a:avLst/>
                    </a:prstGeom>
                  </pic:spPr>
                </pic:pic>
              </a:graphicData>
            </a:graphic>
          </wp:anchor>
        </w:drawing>
      </w:r>
      <w:r w:rsidR="00A1151F" w:rsidRPr="00405D83">
        <w:rPr>
          <w:lang w:val="es-ES"/>
        </w:rPr>
        <w:pict>
          <v:shape id="_x0000_s1026" type="#_x0000_t202" style="position:absolute;margin-left:22.3pt;margin-top:54pt;width:173.35pt;height:705.6pt;z-index:251658240;mso-position-horizontal-relative:page;mso-position-vertical-relative:page" filled="f" fillcolor="white [3201]" stroked="f" strokecolor="#f79646 [3209]" strokeweight="1pt">
            <v:stroke dashstyle="dash"/>
            <v:shadow color="#868686"/>
            <v:textbox style="mso-next-textbox:#_x0000_s1026">
              <w:txbxContent>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1363C4" w:rsidRPr="00405D83" w:rsidRDefault="001363C4" w:rsidP="00D65A66">
                  <w:pPr>
                    <w:spacing w:before="240"/>
                    <w:rPr>
                      <w:lang w:val="es-ES"/>
                    </w:rPr>
                  </w:pPr>
                </w:p>
                <w:p w:rsidR="001363C4" w:rsidRPr="00405D83" w:rsidRDefault="001363C4"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D65A66" w:rsidRPr="00405D83" w:rsidRDefault="00D65A66" w:rsidP="00D65A66">
                  <w:pPr>
                    <w:spacing w:before="240"/>
                    <w:rPr>
                      <w:lang w:val="es-ES"/>
                    </w:rPr>
                  </w:pPr>
                </w:p>
                <w:p w:rsidR="001363C4" w:rsidRPr="00405D83" w:rsidRDefault="001363C4" w:rsidP="00D65A66">
                  <w:pPr>
                    <w:pStyle w:val="DatasheetH1"/>
                    <w:spacing w:before="240"/>
                    <w:rPr>
                      <w:rFonts w:ascii="Segoe UI" w:hAnsi="Segoe UI" w:cstheme="minorBidi"/>
                      <w:color w:val="auto"/>
                      <w:sz w:val="22"/>
                      <w:szCs w:val="22"/>
                      <w:lang w:val="es-ES"/>
                    </w:rPr>
                  </w:pPr>
                </w:p>
                <w:p w:rsidR="00D65A66" w:rsidRPr="00405D83" w:rsidRDefault="001B4482" w:rsidP="001363C4">
                  <w:pPr>
                    <w:pStyle w:val="DatasheetH1"/>
                    <w:spacing w:before="240" w:after="0"/>
                    <w:rPr>
                      <w:lang w:val="es-ES"/>
                    </w:rPr>
                  </w:pPr>
                  <w:r w:rsidRPr="00405D83">
                    <w:rPr>
                      <w:lang w:val="es-ES"/>
                    </w:rPr>
                    <w:t xml:space="preserve">Recursos adicionales </w:t>
                  </w:r>
                </w:p>
                <w:p w:rsidR="00D65A66" w:rsidRPr="00405D83" w:rsidRDefault="00D65A66" w:rsidP="001363C4">
                  <w:pPr>
                    <w:pStyle w:val="DatasheetBullets"/>
                    <w:spacing w:before="120"/>
                    <w:rPr>
                      <w:sz w:val="20"/>
                      <w:szCs w:val="20"/>
                      <w:lang w:val="es-ES"/>
                    </w:rPr>
                  </w:pPr>
                  <w:r w:rsidRPr="00405D83">
                    <w:rPr>
                      <w:szCs w:val="20"/>
                      <w:lang w:val="es-ES"/>
                    </w:rPr>
                    <w:t>Más información acerca de la activación por volumen:</w:t>
                  </w:r>
                  <w:r w:rsidRPr="00405D83">
                    <w:rPr>
                      <w:sz w:val="16"/>
                      <w:lang w:val="es-ES"/>
                    </w:rPr>
                    <w:t xml:space="preserve"> </w:t>
                  </w:r>
                  <w:hyperlink r:id="rId12" w:history="1">
                    <w:r w:rsidR="00405D83" w:rsidRPr="004C3692">
                      <w:rPr>
                        <w:rStyle w:val="Lienhypertexte"/>
                        <w:i/>
                        <w:szCs w:val="20"/>
                      </w:rPr>
                      <w:t>http://technet.microsoft.com/volumeactivation</w:t>
                    </w:r>
                  </w:hyperlink>
                </w:p>
                <w:p w:rsidR="00D65A66" w:rsidRPr="00405D83" w:rsidRDefault="00D65A66" w:rsidP="00D65A66">
                  <w:pPr>
                    <w:pStyle w:val="DatasheetBullets"/>
                    <w:spacing w:before="240"/>
                    <w:rPr>
                      <w:lang w:val="es-ES"/>
                    </w:rPr>
                  </w:pPr>
                  <w:r w:rsidRPr="00405D83">
                    <w:rPr>
                      <w:lang w:val="es-ES"/>
                    </w:rPr>
                    <w:t xml:space="preserve">Visite el sitio de licencias por volumen: </w:t>
                  </w:r>
                  <w:hyperlink r:id="rId13" w:history="1">
                    <w:r w:rsidR="00405D83" w:rsidRPr="00633E07">
                      <w:rPr>
                        <w:rStyle w:val="Lienhypertexte"/>
                        <w:i/>
                        <w:szCs w:val="20"/>
                      </w:rPr>
                      <w:t>http://microsoft.com/licensin</w:t>
                    </w:r>
                    <w:r w:rsidR="00405D83" w:rsidRPr="00633E07">
                      <w:rPr>
                        <w:rStyle w:val="Lienhypertexte"/>
                        <w:szCs w:val="20"/>
                      </w:rPr>
                      <w:t>g</w:t>
                    </w:r>
                  </w:hyperlink>
                </w:p>
                <w:p w:rsidR="00D65A66" w:rsidRPr="00405D83" w:rsidRDefault="00D65A66" w:rsidP="00D65A66">
                  <w:pPr>
                    <w:pStyle w:val="DatasheetBullets"/>
                    <w:spacing w:before="240"/>
                    <w:rPr>
                      <w:noProof/>
                      <w:lang w:val="es-ES"/>
                    </w:rPr>
                  </w:pPr>
                  <w:r w:rsidRPr="00405D83">
                    <w:rPr>
                      <w:lang w:val="es-ES"/>
                    </w:rPr>
                    <w:t xml:space="preserve">Más información acerca del kit de instalación automatizada de Windows (AIK): </w:t>
                  </w:r>
                  <w:r w:rsidRPr="00405D83">
                    <w:rPr>
                      <w:lang w:val="es-ES"/>
                    </w:rPr>
                    <w:br/>
                  </w:r>
                  <w:hyperlink r:id="rId14" w:history="1">
                    <w:r w:rsidR="00405D83" w:rsidRPr="004C3692">
                      <w:rPr>
                        <w:rStyle w:val="Lienhypertexte"/>
                        <w:i/>
                        <w:szCs w:val="20"/>
                      </w:rPr>
                      <w:t>http://technet.microsoft.com/en-us/library/cc748933.aspx</w:t>
                    </w:r>
                  </w:hyperlink>
                </w:p>
                <w:p w:rsidR="00D65A66" w:rsidRPr="00405D83" w:rsidRDefault="00D65A66" w:rsidP="00D65A66">
                  <w:pPr>
                    <w:pStyle w:val="DatasheetBullets"/>
                    <w:spacing w:before="240"/>
                    <w:rPr>
                      <w:rStyle w:val="DatasheetURL"/>
                      <w:lang w:val="es-ES"/>
                    </w:rPr>
                  </w:pPr>
                  <w:r w:rsidRPr="00405D83">
                    <w:rPr>
                      <w:lang w:val="es-ES"/>
                    </w:rPr>
                    <w:t xml:space="preserve">Obtenga información acerca de Windows 7 Enterprise </w:t>
                  </w:r>
                  <w:proofErr w:type="spellStart"/>
                  <w:r w:rsidRPr="00405D83">
                    <w:rPr>
                      <w:lang w:val="es-ES"/>
                    </w:rPr>
                    <w:t>Edition</w:t>
                  </w:r>
                  <w:proofErr w:type="spellEnd"/>
                  <w:r w:rsidRPr="00405D83">
                    <w:rPr>
                      <w:lang w:val="es-ES"/>
                    </w:rPr>
                    <w:t xml:space="preserve">: </w:t>
                  </w:r>
                  <w:hyperlink r:id="rId15" w:history="1">
                    <w:r w:rsidR="00405D83" w:rsidRPr="00633E07">
                      <w:rPr>
                        <w:rStyle w:val="Lienhypertexte"/>
                        <w:i/>
                        <w:szCs w:val="20"/>
                      </w:rPr>
                      <w:t>http://microsoft.com/windows/enterprise/products/</w:t>
                    </w:r>
                  </w:hyperlink>
                </w:p>
                <w:p w:rsidR="00D65A66" w:rsidRPr="00405D83" w:rsidRDefault="00D65A66" w:rsidP="00D65A66">
                  <w:pPr>
                    <w:spacing w:before="240"/>
                    <w:rPr>
                      <w:lang w:val="es-ES"/>
                    </w:rPr>
                  </w:pPr>
                </w:p>
              </w:txbxContent>
            </v:textbox>
            <w10:wrap anchorx="page" anchory="page"/>
            <w10:anchorlock/>
          </v:shape>
        </w:pict>
      </w:r>
      <w:r w:rsidRPr="00405D83">
        <w:rPr>
          <w:lang w:val="es-ES"/>
        </w:rPr>
        <w:t xml:space="preserve">Activación mejorada como parte de la implementación </w:t>
      </w:r>
    </w:p>
    <w:p w:rsidR="00B331C8" w:rsidRPr="00405D83" w:rsidRDefault="00B331C8" w:rsidP="00D97441">
      <w:pPr>
        <w:pStyle w:val="DatasheetBodyText"/>
        <w:spacing w:after="80"/>
        <w:rPr>
          <w:lang w:val="es-ES"/>
        </w:rPr>
      </w:pPr>
      <w:r w:rsidRPr="00405D83">
        <w:rPr>
          <w:lang w:val="es-ES"/>
        </w:rPr>
        <w:t xml:space="preserve">Las tecnologías de VA también se han mejorado para lograr una mejor integración con la infraestructura de TI actual de un cliente de las siguientes maneras: </w:t>
      </w:r>
    </w:p>
    <w:p w:rsidR="00B331C8" w:rsidRPr="00405D83" w:rsidRDefault="00B331C8" w:rsidP="00C067BE">
      <w:pPr>
        <w:pStyle w:val="DatasheetBullets"/>
        <w:spacing w:after="80" w:line="220" w:lineRule="atLeast"/>
        <w:ind w:left="357" w:hanging="357"/>
        <w:rPr>
          <w:lang w:val="es-ES"/>
        </w:rPr>
      </w:pPr>
      <w:r w:rsidRPr="00405D83">
        <w:rPr>
          <w:b/>
          <w:lang w:val="es-ES"/>
        </w:rPr>
        <w:t xml:space="preserve">Recuento de sistemas virtuales. </w:t>
      </w:r>
      <w:r w:rsidRPr="00405D83">
        <w:rPr>
          <w:lang w:val="es-ES"/>
        </w:rPr>
        <w:t xml:space="preserve">Con el lanzamiento de KMS de Windows Vista, las organizaciones podían activar sistemas virtuales cuando había un número suficiente de equipos físicos. Con Windows 7, KMS ahora cuenta </w:t>
      </w:r>
      <w:r w:rsidRPr="00405D83">
        <w:rPr>
          <w:i/>
          <w:lang w:val="es-ES"/>
        </w:rPr>
        <w:t>ambos</w:t>
      </w:r>
      <w:r w:rsidRPr="00405D83">
        <w:rPr>
          <w:lang w:val="es-ES"/>
        </w:rPr>
        <w:t xml:space="preserve"> sistemas, físico y virtual, para el umbral mínimo requerido para la activación de KMS. De esta manera KMS se convierte en una buena opción para las organizaciones que dependen mucho de la </w:t>
      </w:r>
      <w:proofErr w:type="spellStart"/>
      <w:r w:rsidRPr="00405D83">
        <w:rPr>
          <w:lang w:val="es-ES"/>
        </w:rPr>
        <w:t>virtualización</w:t>
      </w:r>
      <w:proofErr w:type="spellEnd"/>
      <w:r w:rsidRPr="00405D83">
        <w:rPr>
          <w:lang w:val="es-ES"/>
        </w:rPr>
        <w:t xml:space="preserve"> de la infraestructura.</w:t>
      </w:r>
    </w:p>
    <w:p w:rsidR="00B331C8" w:rsidRPr="00405D83" w:rsidRDefault="00B331C8" w:rsidP="00C067BE">
      <w:pPr>
        <w:pStyle w:val="DatasheetBullets"/>
        <w:spacing w:after="80" w:line="220" w:lineRule="atLeast"/>
        <w:ind w:left="357" w:hanging="357"/>
        <w:rPr>
          <w:lang w:val="es-ES"/>
        </w:rPr>
      </w:pPr>
      <w:r w:rsidRPr="00405D83">
        <w:rPr>
          <w:b/>
          <w:lang w:val="es-ES"/>
        </w:rPr>
        <w:t>DNS mejorado.</w:t>
      </w:r>
      <w:r w:rsidRPr="00405D83">
        <w:rPr>
          <w:lang w:val="es-ES"/>
        </w:rPr>
        <w:t xml:space="preserve"> Desde el inicio de KMS, el proceso de activación de KMS a cliente se ha automatizado y es transparente (tanto para los usuarios finales como para los administradores) a través del uso de registros de “SRV A”. Windows 7 les proporciona a los administradores más control sobre cómo KMS y los clientes interactúan a través de sus entornos de Sistema de nombres de dominio (DNS), para: </w:t>
      </w:r>
    </w:p>
    <w:p w:rsidR="00B331C8" w:rsidRPr="00405D83" w:rsidRDefault="00B331C8" w:rsidP="00C067BE">
      <w:pPr>
        <w:pStyle w:val="DatasheetBulletsLevel2"/>
        <w:spacing w:after="80" w:line="220" w:lineRule="atLeast"/>
        <w:ind w:left="714" w:hanging="357"/>
        <w:rPr>
          <w:lang w:val="es-ES"/>
        </w:rPr>
      </w:pPr>
      <w:r w:rsidRPr="00405D83">
        <w:rPr>
          <w:lang w:val="es-ES"/>
        </w:rPr>
        <w:t xml:space="preserve">Habilitar la instalación de KMS en un único host en una zona, aunque los clientes estén ubicados a lo largo de las diversas zonas DNS. </w:t>
      </w:r>
    </w:p>
    <w:p w:rsidR="00B331C8" w:rsidRPr="00405D83" w:rsidRDefault="00B331C8" w:rsidP="00C067BE">
      <w:pPr>
        <w:pStyle w:val="DatasheetBulletsLevel2"/>
        <w:spacing w:after="80" w:line="220" w:lineRule="atLeast"/>
        <w:ind w:left="714" w:hanging="357"/>
        <w:rPr>
          <w:lang w:val="es-ES"/>
        </w:rPr>
      </w:pPr>
      <w:r w:rsidRPr="00405D83">
        <w:rPr>
          <w:lang w:val="es-ES"/>
        </w:rPr>
        <w:t>Equilibrar el tráfico entre varios hosts KMS mediante el registro DNS SVR para conocer la prioridad e importancia de los hosts y así permitir que los administradores mejoren el comportamiento del cliente KMS a través de entornos distribuidos.</w:t>
      </w:r>
    </w:p>
    <w:p w:rsidR="00B331C8" w:rsidRPr="00405D83" w:rsidRDefault="00B331C8" w:rsidP="00C067BE">
      <w:pPr>
        <w:pStyle w:val="DatasheetBullets"/>
        <w:spacing w:line="220" w:lineRule="atLeast"/>
        <w:ind w:left="357" w:hanging="357"/>
        <w:rPr>
          <w:lang w:val="es-ES"/>
        </w:rPr>
      </w:pPr>
      <w:r w:rsidRPr="00405D83">
        <w:rPr>
          <w:b/>
          <w:lang w:val="es-ES"/>
        </w:rPr>
        <w:t xml:space="preserve">Activación basada en </w:t>
      </w:r>
      <w:proofErr w:type="spellStart"/>
      <w:r w:rsidRPr="00405D83">
        <w:rPr>
          <w:b/>
          <w:lang w:val="es-ES"/>
        </w:rPr>
        <w:t>token</w:t>
      </w:r>
      <w:proofErr w:type="spellEnd"/>
      <w:r w:rsidRPr="00405D83">
        <w:rPr>
          <w:b/>
          <w:lang w:val="es-ES"/>
        </w:rPr>
        <w:t>.</w:t>
      </w:r>
      <w:r w:rsidRPr="00405D83">
        <w:rPr>
          <w:lang w:val="es-ES"/>
        </w:rPr>
        <w:t xml:space="preserve"> En situaciones únicas en las cuales los sistemas requieren una activación pero se encuentran en un entorno sin conexión (sin red ni acceso telefónico). La activación basada en </w:t>
      </w:r>
      <w:proofErr w:type="spellStart"/>
      <w:r w:rsidRPr="00405D83">
        <w:rPr>
          <w:lang w:val="es-ES"/>
        </w:rPr>
        <w:t>token</w:t>
      </w:r>
      <w:proofErr w:type="spellEnd"/>
      <w:r w:rsidRPr="00405D83">
        <w:rPr>
          <w:lang w:val="es-ES"/>
        </w:rPr>
        <w:t xml:space="preserve"> es una opción de activación alternativa para clientes aprobados de Licencias por Volumen de Microsoft (VL). Esta opción permite que los clientes usen sus propias infraestructuras de claves públicas (PKI) y certificados digitales (los "</w:t>
      </w:r>
      <w:proofErr w:type="spellStart"/>
      <w:r w:rsidRPr="00405D83">
        <w:rPr>
          <w:lang w:val="es-ES"/>
        </w:rPr>
        <w:t>tokens</w:t>
      </w:r>
      <w:proofErr w:type="spellEnd"/>
      <w:r w:rsidRPr="00405D83">
        <w:rPr>
          <w:lang w:val="es-ES"/>
        </w:rPr>
        <w:t>", generalmente almacenados en tarjetas inteligentes) para activar Windows 7 de forma local, sin necesidad de ponerse en contacto con los servicios de activación de Microsoft ni ninguna infraestructura de cliente interno.</w:t>
      </w:r>
    </w:p>
    <w:p w:rsidR="00B331C8" w:rsidRPr="00405D83" w:rsidRDefault="00B331C8" w:rsidP="00C067BE">
      <w:pPr>
        <w:pStyle w:val="DatasheetH2"/>
        <w:spacing w:after="40"/>
        <w:rPr>
          <w:lang w:val="es-ES"/>
        </w:rPr>
      </w:pPr>
      <w:r w:rsidRPr="00405D83">
        <w:rPr>
          <w:lang w:val="es-ES"/>
        </w:rPr>
        <w:lastRenderedPageBreak/>
        <w:t>Administración mejorada</w:t>
      </w:r>
    </w:p>
    <w:p w:rsidR="00B331C8" w:rsidRPr="00405D83" w:rsidRDefault="00B331C8" w:rsidP="00B331C8">
      <w:pPr>
        <w:pStyle w:val="DatasheetBodyText"/>
        <w:rPr>
          <w:lang w:val="es-ES"/>
        </w:rPr>
      </w:pPr>
      <w:r w:rsidRPr="00405D83">
        <w:rPr>
          <w:lang w:val="es-ES"/>
        </w:rPr>
        <w:t>Muchas mejoras ayudan a los administradores a gestionar mejor sus implementaciones de servicios de activación y sus claves:</w:t>
      </w:r>
    </w:p>
    <w:p w:rsidR="00B331C8" w:rsidRPr="00405D83" w:rsidRDefault="00B331C8" w:rsidP="00C067BE">
      <w:pPr>
        <w:pStyle w:val="DatasheetBullets"/>
        <w:spacing w:line="220" w:lineRule="atLeast"/>
        <w:ind w:left="357" w:hanging="357"/>
        <w:rPr>
          <w:lang w:val="es-ES"/>
        </w:rPr>
      </w:pPr>
      <w:r w:rsidRPr="00405D83">
        <w:rPr>
          <w:b/>
          <w:lang w:val="es-ES"/>
        </w:rPr>
        <w:t>Expansión de las propiedades del Instrumental de administración de Windows (WMI).</w:t>
      </w:r>
      <w:r w:rsidRPr="00405D83">
        <w:rPr>
          <w:lang w:val="es-ES"/>
        </w:rPr>
        <w:t xml:space="preserve"> Con Windows 7, las propiedades y métodos de WMI de la clase del Servicio de licencias de software se mejoró a fin proporcionar una mayor flexibilidad y un mayor control. Por ejemplo, los administradores pueden tener acceso al número de reinstalaciones restantes, y así evitar una situación en la cual desconozcan que el número de reinstalaciones es bajo.</w:t>
      </w:r>
    </w:p>
    <w:p w:rsidR="00B331C8" w:rsidRPr="00405D83" w:rsidRDefault="00B331C8" w:rsidP="00C067BE">
      <w:pPr>
        <w:pStyle w:val="DatasheetBullets"/>
        <w:spacing w:line="220" w:lineRule="atLeast"/>
        <w:ind w:left="357" w:hanging="357"/>
        <w:rPr>
          <w:lang w:val="es-ES"/>
        </w:rPr>
      </w:pPr>
      <w:r w:rsidRPr="00405D83">
        <w:rPr>
          <w:b/>
          <w:lang w:val="es-ES"/>
        </w:rPr>
        <w:t>Valores de tolerancia de hardware modificados.</w:t>
      </w:r>
      <w:r w:rsidRPr="00405D83">
        <w:rPr>
          <w:lang w:val="es-ES"/>
        </w:rPr>
        <w:t xml:space="preserve"> Con Windows 7, es menos probable que una reactivación sea necesaria debido a una condición de fuera de tolerancia. </w:t>
      </w:r>
    </w:p>
    <w:p w:rsidR="00B331C8" w:rsidRPr="00405D83" w:rsidRDefault="00B331C8" w:rsidP="00C067BE">
      <w:pPr>
        <w:pStyle w:val="DatasheetBullets"/>
        <w:spacing w:line="220" w:lineRule="atLeast"/>
        <w:ind w:left="357" w:hanging="357"/>
        <w:rPr>
          <w:lang w:val="es-ES"/>
        </w:rPr>
      </w:pPr>
      <w:r w:rsidRPr="00405D83">
        <w:rPr>
          <w:b/>
          <w:lang w:val="es-ES"/>
        </w:rPr>
        <w:t>Portal de administración consolidado.</w:t>
      </w:r>
      <w:r w:rsidRPr="00405D83">
        <w:rPr>
          <w:lang w:val="es-ES"/>
        </w:rPr>
        <w:t xml:space="preserve"> Todos los portales de VL anteriores se consolidaron en el Centro de Servicios de Licencias por Volumen (VLSC) mejorado. Este portal viene con muchas mejoras diseñadas para ayudar a la organización a identificar, realizar un seguimiento y organizar todas sus claves desde una ubicación única y de fácil acceso.</w:t>
      </w:r>
    </w:p>
    <w:p w:rsidR="00B331C8" w:rsidRPr="00405D83" w:rsidRDefault="00B331C8" w:rsidP="00C067BE">
      <w:pPr>
        <w:pStyle w:val="DatasheetBullets"/>
        <w:spacing w:line="220" w:lineRule="atLeast"/>
        <w:ind w:left="357" w:hanging="357"/>
        <w:rPr>
          <w:lang w:val="es-ES"/>
        </w:rPr>
      </w:pPr>
      <w:r w:rsidRPr="00405D83">
        <w:rPr>
          <w:b/>
          <w:lang w:val="es-ES"/>
        </w:rPr>
        <w:t>Administración del límite de MAK transparente.</w:t>
      </w:r>
      <w:r w:rsidRPr="00405D83">
        <w:rPr>
          <w:lang w:val="es-ES"/>
        </w:rPr>
        <w:t xml:space="preserve"> Con Windows 7, si el uso de MAK de un cliente alcanza el límite actual de MAK, el servicio back-</w:t>
      </w:r>
      <w:proofErr w:type="spellStart"/>
      <w:r w:rsidRPr="00405D83">
        <w:rPr>
          <w:lang w:val="es-ES"/>
        </w:rPr>
        <w:t>end</w:t>
      </w:r>
      <w:proofErr w:type="spellEnd"/>
      <w:r w:rsidRPr="00405D83">
        <w:rPr>
          <w:lang w:val="es-ES"/>
        </w:rPr>
        <w:t xml:space="preserve"> hospedado por Microsoft revisa automáticamente el límite, de esta manera se reduce el tiempo de administración manual.</w:t>
      </w:r>
    </w:p>
    <w:p w:rsidR="00B331C8" w:rsidRPr="00405D83" w:rsidRDefault="00B331C8" w:rsidP="00B331C8">
      <w:pPr>
        <w:pStyle w:val="DatasheetH2"/>
        <w:rPr>
          <w:lang w:val="es-ES"/>
        </w:rPr>
      </w:pPr>
      <w:r w:rsidRPr="00405D83">
        <w:rPr>
          <w:lang w:val="es-ES"/>
        </w:rPr>
        <w:t>Eficiencia mejorada</w:t>
      </w:r>
    </w:p>
    <w:p w:rsidR="00B331C8" w:rsidRPr="00405D83" w:rsidRDefault="00B331C8" w:rsidP="00B331C8">
      <w:pPr>
        <w:pStyle w:val="DatasheetBodyText"/>
        <w:rPr>
          <w:lang w:val="es-ES"/>
        </w:rPr>
      </w:pPr>
      <w:r w:rsidRPr="00405D83">
        <w:rPr>
          <w:lang w:val="es-ES"/>
        </w:rPr>
        <w:t xml:space="preserve">Además de las mejoras en las funciones anteriormente mencionadas, las herramientas y tecnologías de VA de Windows 7 funcionan mejor y requieren menos recursos del sistema como resultado de la ejecución de un servicio optimizado y una superficie de memoria y una E/S de disco reducidas, lo que proporciona una experiencia de activación más segura y flexible. </w:t>
      </w:r>
    </w:p>
    <w:p w:rsidR="00526A2B" w:rsidRPr="00405D83" w:rsidRDefault="00B331C8" w:rsidP="00B331C8">
      <w:pPr>
        <w:pStyle w:val="DatasheetBodyText"/>
        <w:rPr>
          <w:rStyle w:val="Lienhypertexte"/>
          <w:lang w:val="es-ES"/>
        </w:rPr>
      </w:pPr>
      <w:r w:rsidRPr="00405D83">
        <w:rPr>
          <w:lang w:val="es-ES"/>
        </w:rPr>
        <w:t xml:space="preserve">Para obtener información adicional acerca de Windows 7 para clientes empresariales, visite </w:t>
      </w:r>
      <w:hyperlink r:id="rId16" w:history="1">
        <w:r w:rsidR="00405D83" w:rsidRPr="00405D83">
          <w:rPr>
            <w:rStyle w:val="Lienhypertexte"/>
            <w:lang w:val="es-ES"/>
          </w:rPr>
          <w:t>http://microsoft.com/windows/enterprise</w:t>
        </w:r>
      </w:hyperlink>
    </w:p>
    <w:p w:rsidR="00002E2A" w:rsidRPr="00405D83" w:rsidRDefault="00002E2A" w:rsidP="00B331C8">
      <w:pPr>
        <w:pStyle w:val="DatasheetBodyText"/>
        <w:rPr>
          <w:lang w:val="es-ES"/>
        </w:rPr>
      </w:pPr>
    </w:p>
    <w:p w:rsidR="00002E2A" w:rsidRPr="00405D83" w:rsidRDefault="00002E2A" w:rsidP="00B331C8">
      <w:pPr>
        <w:pStyle w:val="DatasheetBodyText"/>
        <w:rPr>
          <w:lang w:val="es-ES"/>
        </w:rPr>
      </w:pPr>
    </w:p>
    <w:p w:rsidR="00002E2A" w:rsidRPr="00405D83" w:rsidRDefault="00002E2A" w:rsidP="00B331C8">
      <w:pPr>
        <w:pStyle w:val="DatasheetBodyText"/>
        <w:rPr>
          <w:lang w:val="es-ES"/>
        </w:rPr>
      </w:pPr>
    </w:p>
    <w:p w:rsidR="00002E2A" w:rsidRPr="00405D83" w:rsidRDefault="00002E2A" w:rsidP="00B331C8">
      <w:pPr>
        <w:pStyle w:val="DatasheetBodyText"/>
        <w:rPr>
          <w:lang w:val="es-ES"/>
        </w:rPr>
      </w:pPr>
    </w:p>
    <w:p w:rsidR="00002E2A" w:rsidRPr="00405D83" w:rsidRDefault="00002E2A" w:rsidP="00B331C8">
      <w:pPr>
        <w:pStyle w:val="DatasheetBodyText"/>
        <w:rPr>
          <w:lang w:val="es-ES"/>
        </w:rPr>
      </w:pPr>
    </w:p>
    <w:sectPr w:rsidR="00002E2A" w:rsidRPr="00405D83" w:rsidSect="00D65A66">
      <w:pgSz w:w="12240" w:h="15840" w:code="1"/>
      <w:pgMar w:top="1080" w:right="720" w:bottom="576" w:left="4248" w:header="720" w:footer="720" w:gutter="0"/>
      <w:cols w:num="2" w:space="28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w:altName w:val="Times New Roman"/>
    <w:panose1 w:val="00000000000000000000"/>
    <w:charset w:val="00"/>
    <w:family w:val="roman"/>
    <w:notTrueType/>
    <w:pitch w:val="default"/>
    <w:sig w:usb0="00000000" w:usb1="00000000" w:usb2="00000000" w:usb3="00000000" w:csb0="00000000" w:csb1="00000000"/>
  </w:font>
  <w:font w:name="Segoe Light">
    <w:altName w:val="Segoe UI"/>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044"/>
    <w:multiLevelType w:val="hybridMultilevel"/>
    <w:tmpl w:val="3B7EA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82A97"/>
    <w:multiLevelType w:val="hybridMultilevel"/>
    <w:tmpl w:val="3D2A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6476D"/>
    <w:multiLevelType w:val="hybridMultilevel"/>
    <w:tmpl w:val="AB0C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42A74"/>
    <w:multiLevelType w:val="hybridMultilevel"/>
    <w:tmpl w:val="C7EAF286"/>
    <w:lvl w:ilvl="0" w:tplc="7DCC8E32">
      <w:start w:val="1"/>
      <w:numFmt w:val="bullet"/>
      <w:pStyle w:val="DatasheetBullets"/>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838B5"/>
    <w:multiLevelType w:val="hybridMultilevel"/>
    <w:tmpl w:val="791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0268A"/>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00EFE"/>
    <w:multiLevelType w:val="hybridMultilevel"/>
    <w:tmpl w:val="C298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237DE"/>
    <w:multiLevelType w:val="hybridMultilevel"/>
    <w:tmpl w:val="33489E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7"/>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rsids>
    <w:rsidRoot w:val="00EC6A7E"/>
    <w:rsid w:val="00002E2A"/>
    <w:rsid w:val="000060D9"/>
    <w:rsid w:val="00094DB9"/>
    <w:rsid w:val="000F16A6"/>
    <w:rsid w:val="000F4EDF"/>
    <w:rsid w:val="001363C4"/>
    <w:rsid w:val="001B4482"/>
    <w:rsid w:val="001F4DF0"/>
    <w:rsid w:val="0020020A"/>
    <w:rsid w:val="002147CA"/>
    <w:rsid w:val="00217202"/>
    <w:rsid w:val="002453FA"/>
    <w:rsid w:val="00256CD8"/>
    <w:rsid w:val="003778F8"/>
    <w:rsid w:val="003A4D21"/>
    <w:rsid w:val="00405D83"/>
    <w:rsid w:val="00410D0F"/>
    <w:rsid w:val="0043697D"/>
    <w:rsid w:val="004C0E5B"/>
    <w:rsid w:val="004C3692"/>
    <w:rsid w:val="004D3340"/>
    <w:rsid w:val="004F08A1"/>
    <w:rsid w:val="00526A2B"/>
    <w:rsid w:val="00531A98"/>
    <w:rsid w:val="00541FA4"/>
    <w:rsid w:val="00562423"/>
    <w:rsid w:val="00657478"/>
    <w:rsid w:val="00692338"/>
    <w:rsid w:val="006C09D9"/>
    <w:rsid w:val="006C4693"/>
    <w:rsid w:val="006F0D87"/>
    <w:rsid w:val="007300F3"/>
    <w:rsid w:val="007826BC"/>
    <w:rsid w:val="00791663"/>
    <w:rsid w:val="00807137"/>
    <w:rsid w:val="008E05EF"/>
    <w:rsid w:val="00917E62"/>
    <w:rsid w:val="00961753"/>
    <w:rsid w:val="00991811"/>
    <w:rsid w:val="009962D6"/>
    <w:rsid w:val="009A72A5"/>
    <w:rsid w:val="00A1151F"/>
    <w:rsid w:val="00A46F67"/>
    <w:rsid w:val="00AF0FAF"/>
    <w:rsid w:val="00B331C8"/>
    <w:rsid w:val="00C067BE"/>
    <w:rsid w:val="00CF76DA"/>
    <w:rsid w:val="00D65A66"/>
    <w:rsid w:val="00D97441"/>
    <w:rsid w:val="00DA142A"/>
    <w:rsid w:val="00DA146A"/>
    <w:rsid w:val="00DE178D"/>
    <w:rsid w:val="00DF7A00"/>
    <w:rsid w:val="00E43CF6"/>
    <w:rsid w:val="00E64435"/>
    <w:rsid w:val="00EC6A7E"/>
    <w:rsid w:val="00F10521"/>
    <w:rsid w:val="00F13831"/>
    <w:rsid w:val="00FA6AB9"/>
    <w:rsid w:val="00FB3459"/>
    <w:rsid w:val="00FC202C"/>
    <w:rsid w:val="00FD7314"/>
    <w:rsid w:val="00FE13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A4"/>
    <w:rPr>
      <w:rFonts w:ascii="Segoe UI" w:hAnsi="Segoe UI"/>
    </w:rPr>
  </w:style>
  <w:style w:type="paragraph" w:styleId="Titre2">
    <w:name w:val="heading 2"/>
    <w:basedOn w:val="Normal"/>
    <w:next w:val="Normal"/>
    <w:link w:val="Titre2Car"/>
    <w:uiPriority w:val="9"/>
    <w:unhideWhenUsed/>
    <w:qFormat/>
    <w:rsid w:val="00B331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33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6A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6AB9"/>
    <w:rPr>
      <w:rFonts w:ascii="Tahoma" w:hAnsi="Tahoma" w:cs="Tahoma"/>
      <w:sz w:val="16"/>
      <w:szCs w:val="16"/>
    </w:rPr>
  </w:style>
  <w:style w:type="paragraph" w:customStyle="1" w:styleId="body">
    <w:name w:val="body"/>
    <w:basedOn w:val="Normal"/>
    <w:uiPriority w:val="99"/>
    <w:rsid w:val="00FA6AB9"/>
    <w:pPr>
      <w:suppressAutoHyphens/>
      <w:autoSpaceDE w:val="0"/>
      <w:autoSpaceDN w:val="0"/>
      <w:adjustRightInd w:val="0"/>
      <w:spacing w:after="0" w:line="240" w:lineRule="atLeast"/>
      <w:textAlignment w:val="center"/>
    </w:pPr>
    <w:rPr>
      <w:rFonts w:ascii="Segoe" w:hAnsi="Segoe" w:cs="Segoe"/>
      <w:color w:val="000000"/>
      <w:sz w:val="18"/>
      <w:szCs w:val="18"/>
    </w:rPr>
  </w:style>
  <w:style w:type="paragraph" w:customStyle="1" w:styleId="H1">
    <w:name w:val="H1"/>
    <w:basedOn w:val="body"/>
    <w:next w:val="body"/>
    <w:uiPriority w:val="99"/>
    <w:rsid w:val="00FA6AB9"/>
    <w:pPr>
      <w:keepNext/>
      <w:keepLines/>
      <w:suppressAutoHyphens w:val="0"/>
      <w:spacing w:before="144" w:after="115" w:line="360" w:lineRule="atLeast"/>
    </w:pPr>
    <w:rPr>
      <w:rFonts w:ascii="Segoe Light" w:hAnsi="Segoe Light" w:cs="Segoe Light"/>
      <w:color w:val="F47C20"/>
      <w:sz w:val="32"/>
      <w:szCs w:val="32"/>
    </w:rPr>
  </w:style>
  <w:style w:type="paragraph" w:customStyle="1" w:styleId="Bullets">
    <w:name w:val="Bullets"/>
    <w:basedOn w:val="body"/>
    <w:uiPriority w:val="99"/>
    <w:rsid w:val="00FA6AB9"/>
    <w:pPr>
      <w:tabs>
        <w:tab w:val="left" w:pos="360"/>
      </w:tabs>
      <w:suppressAutoHyphens w:val="0"/>
      <w:spacing w:after="220"/>
      <w:ind w:left="270" w:hanging="270"/>
    </w:pPr>
  </w:style>
  <w:style w:type="character" w:customStyle="1" w:styleId="H3Bullet">
    <w:name w:val="H3Bullet"/>
    <w:uiPriority w:val="99"/>
    <w:rsid w:val="00FA6AB9"/>
    <w:rPr>
      <w:rFonts w:ascii="Segoe" w:hAnsi="Segoe" w:cs="Segoe"/>
      <w:b/>
      <w:bCs/>
      <w:color w:val="000000"/>
    </w:rPr>
  </w:style>
  <w:style w:type="paragraph" w:customStyle="1" w:styleId="H2">
    <w:name w:val="H2"/>
    <w:basedOn w:val="body"/>
    <w:next w:val="Normal"/>
    <w:uiPriority w:val="99"/>
    <w:rsid w:val="00FA6AB9"/>
    <w:pPr>
      <w:keepNext/>
      <w:spacing w:before="200"/>
    </w:pPr>
    <w:rPr>
      <w:rFonts w:ascii="Segoe Light" w:hAnsi="Segoe Light" w:cs="Segoe Light"/>
      <w:color w:val="007BC2"/>
      <w:sz w:val="22"/>
      <w:szCs w:val="22"/>
    </w:rPr>
  </w:style>
  <w:style w:type="paragraph" w:styleId="Notedebasdepage">
    <w:name w:val="footnote text"/>
    <w:basedOn w:val="Normal"/>
    <w:link w:val="NotedebasdepageCar"/>
    <w:semiHidden/>
    <w:unhideWhenUsed/>
    <w:rsid w:val="007826BC"/>
    <w:pPr>
      <w:spacing w:after="0" w:line="240" w:lineRule="auto"/>
    </w:pPr>
    <w:rPr>
      <w:rFonts w:ascii="Times New Roman" w:eastAsia="MS Mincho" w:hAnsi="Times New Roman" w:cs="Times New Roman"/>
      <w:sz w:val="20"/>
      <w:szCs w:val="20"/>
      <w:lang w:eastAsia="ja-JP"/>
    </w:rPr>
  </w:style>
  <w:style w:type="character" w:customStyle="1" w:styleId="NotedebasdepageCar">
    <w:name w:val="Note de bas de page Car"/>
    <w:basedOn w:val="Policepardfaut"/>
    <w:link w:val="Notedebasdepage"/>
    <w:semiHidden/>
    <w:rsid w:val="007826BC"/>
    <w:rPr>
      <w:rFonts w:ascii="Times New Roman" w:eastAsia="MS Mincho" w:hAnsi="Times New Roman" w:cs="Times New Roman"/>
      <w:sz w:val="20"/>
      <w:szCs w:val="20"/>
      <w:lang w:eastAsia="ja-JP"/>
    </w:rPr>
  </w:style>
  <w:style w:type="paragraph" w:styleId="Paragraphedeliste">
    <w:name w:val="List Paragraph"/>
    <w:basedOn w:val="Normal"/>
    <w:uiPriority w:val="34"/>
    <w:qFormat/>
    <w:rsid w:val="007826BC"/>
    <w:pPr>
      <w:ind w:left="720"/>
      <w:contextualSpacing/>
    </w:pPr>
  </w:style>
  <w:style w:type="paragraph" w:customStyle="1" w:styleId="DatasheetBullets">
    <w:name w:val="DatasheetBullets"/>
    <w:basedOn w:val="Bullets"/>
    <w:qFormat/>
    <w:rsid w:val="00002E2A"/>
    <w:pPr>
      <w:numPr>
        <w:numId w:val="5"/>
      </w:numPr>
      <w:spacing w:after="120"/>
      <w:ind w:left="360"/>
    </w:pPr>
  </w:style>
  <w:style w:type="paragraph" w:customStyle="1" w:styleId="DatasheetBodyText">
    <w:name w:val="DatasheetBodyText"/>
    <w:qFormat/>
    <w:rsid w:val="003A4D21"/>
    <w:pPr>
      <w:spacing w:after="120" w:line="220" w:lineRule="exact"/>
    </w:pPr>
    <w:rPr>
      <w:rFonts w:ascii="Segoe" w:hAnsi="Segoe" w:cs="Segoe"/>
      <w:color w:val="000000"/>
      <w:sz w:val="18"/>
      <w:szCs w:val="18"/>
    </w:rPr>
  </w:style>
  <w:style w:type="paragraph" w:customStyle="1" w:styleId="DatasheetH1">
    <w:name w:val="DatasheetH1"/>
    <w:qFormat/>
    <w:rsid w:val="00541FA4"/>
    <w:pPr>
      <w:spacing w:after="120" w:line="400" w:lineRule="exact"/>
    </w:pPr>
    <w:rPr>
      <w:rFonts w:ascii="Segoe Light" w:hAnsi="Segoe Light" w:cs="Segoe Light"/>
      <w:color w:val="F47C20"/>
      <w:sz w:val="32"/>
      <w:szCs w:val="32"/>
    </w:rPr>
  </w:style>
  <w:style w:type="paragraph" w:customStyle="1" w:styleId="DatasheetH2">
    <w:name w:val="DatasheetH2"/>
    <w:basedOn w:val="H2"/>
    <w:qFormat/>
    <w:rsid w:val="00B331C8"/>
    <w:rPr>
      <w:color w:val="0070C0"/>
    </w:rPr>
  </w:style>
  <w:style w:type="character" w:styleId="Lienhypertexte">
    <w:name w:val="Hyperlink"/>
    <w:basedOn w:val="Policepardfaut"/>
    <w:uiPriority w:val="99"/>
    <w:unhideWhenUsed/>
    <w:rsid w:val="00B331C8"/>
    <w:rPr>
      <w:color w:val="0000FF" w:themeColor="hyperlink"/>
      <w:u w:val="single"/>
    </w:rPr>
  </w:style>
  <w:style w:type="character" w:customStyle="1" w:styleId="Titre2Car">
    <w:name w:val="Titre 2 Car"/>
    <w:basedOn w:val="Policepardfaut"/>
    <w:link w:val="Titre2"/>
    <w:uiPriority w:val="9"/>
    <w:rsid w:val="00B331C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31C8"/>
    <w:rPr>
      <w:rFonts w:asciiTheme="majorHAnsi" w:eastAsiaTheme="majorEastAsia" w:hAnsiTheme="majorHAnsi" w:cstheme="majorBidi"/>
      <w:b/>
      <w:bCs/>
      <w:color w:val="4F81BD" w:themeColor="accent1"/>
    </w:rPr>
  </w:style>
  <w:style w:type="character" w:customStyle="1" w:styleId="DatasheetURL">
    <w:name w:val="DatasheetURL"/>
    <w:uiPriority w:val="1"/>
    <w:qFormat/>
    <w:rsid w:val="00B331C8"/>
    <w:rPr>
      <w:i/>
      <w:color w:val="0070C0"/>
    </w:rPr>
  </w:style>
  <w:style w:type="paragraph" w:customStyle="1" w:styleId="DatasheetBulletsLevel2">
    <w:name w:val="DatasheetBulletsLevel2"/>
    <w:basedOn w:val="DatasheetBullets"/>
    <w:qFormat/>
    <w:rsid w:val="009962D6"/>
    <w:pPr>
      <w:ind w:left="720"/>
    </w:pPr>
  </w:style>
  <w:style w:type="paragraph" w:customStyle="1" w:styleId="BulletedList1">
    <w:name w:val="Bulleted List 1"/>
    <w:aliases w:val="bl1,Lb1,Bulleted List,Bulleted List 1 Char,Bulleted List Char,bl1 Char Char Char Char,Bulleted List1,bl11,Bulleted List 1 Char1,Bulleted List Char1 Char Char,Bulleted List2,bl12,Bulleted List 1 Char2,Bulleted List Char1 Char"/>
    <w:basedOn w:val="Normal"/>
    <w:uiPriority w:val="99"/>
    <w:rsid w:val="00002E2A"/>
    <w:pPr>
      <w:keepLines/>
      <w:tabs>
        <w:tab w:val="left" w:pos="360"/>
        <w:tab w:val="num" w:pos="720"/>
      </w:tabs>
      <w:spacing w:after="80" w:line="240" w:lineRule="auto"/>
      <w:ind w:left="360" w:hanging="360"/>
    </w:pPr>
    <w:rPr>
      <w:rFonts w:ascii="Verdana" w:eastAsia="Times New Roman" w:hAnsi="Verdana" w:cs="Arial"/>
      <w:sz w:val="20"/>
      <w:szCs w:val="20"/>
    </w:rPr>
  </w:style>
  <w:style w:type="character" w:styleId="Lienhypertextesuivivisit">
    <w:name w:val="FollowedHyperlink"/>
    <w:basedOn w:val="Policepardfaut"/>
    <w:uiPriority w:val="99"/>
    <w:semiHidden/>
    <w:unhideWhenUsed/>
    <w:rsid w:val="004C36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microsoft.com/licens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technet.microsoft.com/volumeactiv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crosoft.com/windows/enterpris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microsoft.com/windows/enterprise/products/"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go.microsoft.com/fwlink/?LinkId=149823" TargetMode="External"/><Relationship Id="rId14" Type="http://schemas.openxmlformats.org/officeDocument/2006/relationships/hyperlink" Target="http://technet.microsoft.com/en-us/library/cc7489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1214</Words>
  <Characters>6678</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fsauer</cp:lastModifiedBy>
  <cp:revision>10</cp:revision>
  <cp:lastPrinted>2009-04-18T01:05:00Z</cp:lastPrinted>
  <dcterms:created xsi:type="dcterms:W3CDTF">2009-04-23T20:09:00Z</dcterms:created>
  <dcterms:modified xsi:type="dcterms:W3CDTF">2009-04-27T15:59:00Z</dcterms:modified>
</cp:coreProperties>
</file>