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Layout w:type="fixed"/>
        <w:tblCellMar>
          <w:left w:w="0" w:type="dxa"/>
          <w:right w:w="0" w:type="dxa"/>
        </w:tblCellMar>
        <w:tblLook w:val="0000"/>
      </w:tblPr>
      <w:tblGrid>
        <w:gridCol w:w="3119"/>
        <w:gridCol w:w="284"/>
        <w:gridCol w:w="284"/>
        <w:gridCol w:w="6861"/>
      </w:tblGrid>
      <w:tr w:rsidR="003119F1" w:rsidRPr="00433B41" w:rsidTr="000358E7">
        <w:trPr>
          <w:cantSplit/>
          <w:trHeight w:hRule="exact" w:val="1970"/>
        </w:trPr>
        <w:tc>
          <w:tcPr>
            <w:tcW w:w="3119" w:type="dxa"/>
            <w:vMerge w:val="restart"/>
          </w:tcPr>
          <w:p w:rsidR="003119F1" w:rsidRPr="00433B41" w:rsidRDefault="00185B03">
            <w:pPr>
              <w:pStyle w:val="SectionHeading"/>
              <w:spacing w:before="100"/>
              <w:rPr>
                <w:lang w:val="sl-SI"/>
              </w:rPr>
            </w:pPr>
            <w:bookmarkStart w:id="0" w:name="TableColumn" w:colFirst="1" w:colLast="1"/>
            <w:r w:rsidRPr="00433B41">
              <w:rPr>
                <w:lang w:val="sl-SI"/>
              </w:rPr>
              <w:t>Pregled</w:t>
            </w:r>
          </w:p>
          <w:p w:rsidR="003119F1" w:rsidRPr="00433B41" w:rsidRDefault="00185B03">
            <w:pPr>
              <w:pStyle w:val="Bodycopy"/>
              <w:rPr>
                <w:lang w:val="sl-SI"/>
              </w:rPr>
            </w:pPr>
            <w:r w:rsidRPr="00433B41">
              <w:rPr>
                <w:rFonts w:ascii="Franklin Gothic Heavy" w:hAnsi="Franklin Gothic Heavy"/>
                <w:lang w:val="sl-SI"/>
              </w:rPr>
              <w:t>Država</w:t>
            </w:r>
            <w:r w:rsidR="003119F1" w:rsidRPr="00433B41">
              <w:rPr>
                <w:rFonts w:ascii="Franklin Gothic Heavy" w:hAnsi="Franklin Gothic Heavy"/>
                <w:lang w:val="sl-SI"/>
              </w:rPr>
              <w:t>:</w:t>
            </w:r>
            <w:r w:rsidR="003119F1" w:rsidRPr="00433B41">
              <w:rPr>
                <w:lang w:val="sl-SI"/>
              </w:rPr>
              <w:t xml:space="preserve"> </w:t>
            </w:r>
            <w:bookmarkStart w:id="1" w:name="OverviewCountry"/>
            <w:r w:rsidR="000358E7" w:rsidRPr="00433B41">
              <w:rPr>
                <w:lang w:val="sl-SI"/>
              </w:rPr>
              <w:t>Slovenija</w:t>
            </w:r>
            <w:bookmarkEnd w:id="1"/>
          </w:p>
          <w:p w:rsidR="003119F1" w:rsidRPr="00433B41" w:rsidRDefault="00185B03">
            <w:pPr>
              <w:pStyle w:val="Bodycopy"/>
              <w:rPr>
                <w:lang w:val="sl-SI"/>
              </w:rPr>
            </w:pPr>
            <w:r w:rsidRPr="00433B41">
              <w:rPr>
                <w:rFonts w:ascii="Franklin Gothic Heavy" w:hAnsi="Franklin Gothic Heavy"/>
                <w:lang w:val="sl-SI"/>
              </w:rPr>
              <w:t>Panoga</w:t>
            </w:r>
            <w:r w:rsidR="003119F1" w:rsidRPr="00433B41">
              <w:rPr>
                <w:rFonts w:ascii="Franklin Gothic Heavy" w:hAnsi="Franklin Gothic Heavy"/>
                <w:lang w:val="sl-SI"/>
              </w:rPr>
              <w:t>:</w:t>
            </w:r>
            <w:r w:rsidR="003119F1" w:rsidRPr="00433B41">
              <w:rPr>
                <w:lang w:val="sl-SI"/>
              </w:rPr>
              <w:t xml:space="preserve"> </w:t>
            </w:r>
            <w:r w:rsidR="00B13388" w:rsidRPr="00433B41">
              <w:rPr>
                <w:lang w:val="sl-SI"/>
              </w:rPr>
              <w:t>Informacijske tehnologije</w:t>
            </w:r>
          </w:p>
          <w:p w:rsidR="003119F1" w:rsidRPr="00433B41" w:rsidRDefault="003119F1">
            <w:pPr>
              <w:pStyle w:val="Bodycopy"/>
              <w:rPr>
                <w:lang w:val="sl-SI"/>
              </w:rPr>
            </w:pPr>
          </w:p>
          <w:p w:rsidR="003119F1" w:rsidRPr="00433B41" w:rsidRDefault="00185B03">
            <w:pPr>
              <w:pStyle w:val="Bodycopyheading"/>
              <w:rPr>
                <w:lang w:val="sl-SI"/>
              </w:rPr>
            </w:pPr>
            <w:r w:rsidRPr="00433B41">
              <w:rPr>
                <w:lang w:val="sl-SI"/>
              </w:rPr>
              <w:t>Opis stranke</w:t>
            </w:r>
          </w:p>
          <w:p w:rsidR="003119F1" w:rsidRPr="00433B41" w:rsidRDefault="00E431E6">
            <w:pPr>
              <w:pStyle w:val="Bodycopy"/>
              <w:rPr>
                <w:lang w:val="sl-SI"/>
              </w:rPr>
            </w:pPr>
            <w:r w:rsidRPr="00433B41">
              <w:rPr>
                <w:lang w:val="sl-SI"/>
              </w:rPr>
              <w:t>Avtenta.si, član Skupine Telekom Slovenije, je eno vodilnih podjetij v Sloveniji na področju informacijsko-</w:t>
            </w:r>
            <w:r w:rsidR="00433B41" w:rsidRPr="00433B41">
              <w:rPr>
                <w:lang w:val="sl-SI"/>
              </w:rPr>
              <w:t>komunikacijsk</w:t>
            </w:r>
            <w:r w:rsidR="00433B41">
              <w:rPr>
                <w:lang w:val="sl-SI"/>
              </w:rPr>
              <w:t>ih</w:t>
            </w:r>
            <w:r w:rsidR="00433B41" w:rsidRPr="00433B41">
              <w:rPr>
                <w:lang w:val="sl-SI"/>
              </w:rPr>
              <w:t xml:space="preserve"> </w:t>
            </w:r>
            <w:r w:rsidRPr="00433B41">
              <w:rPr>
                <w:lang w:val="sl-SI"/>
              </w:rPr>
              <w:t>tehnologij.</w:t>
            </w:r>
            <w:r w:rsidR="00B13388" w:rsidRPr="00433B41">
              <w:rPr>
                <w:lang w:val="sl-SI"/>
              </w:rPr>
              <w:t xml:space="preserve"> </w:t>
            </w:r>
          </w:p>
          <w:p w:rsidR="003119F1" w:rsidRPr="00433B41" w:rsidRDefault="003119F1">
            <w:pPr>
              <w:pStyle w:val="Bodycopy"/>
              <w:rPr>
                <w:lang w:val="sl-SI"/>
              </w:rPr>
            </w:pPr>
          </w:p>
          <w:p w:rsidR="003119F1" w:rsidRPr="00433B41" w:rsidRDefault="00185B03">
            <w:pPr>
              <w:pStyle w:val="Bodycopyheading"/>
              <w:rPr>
                <w:lang w:val="sl-SI"/>
              </w:rPr>
            </w:pPr>
            <w:r w:rsidRPr="00433B41">
              <w:rPr>
                <w:lang w:val="sl-SI"/>
              </w:rPr>
              <w:t>Stanje</w:t>
            </w:r>
          </w:p>
          <w:p w:rsidR="003119F1" w:rsidRPr="00433B41" w:rsidRDefault="00B13388">
            <w:pPr>
              <w:pStyle w:val="Bodycopy"/>
              <w:rPr>
                <w:lang w:val="sl-SI"/>
              </w:rPr>
            </w:pPr>
            <w:r w:rsidRPr="00433B41">
              <w:rPr>
                <w:lang w:val="sl-SI"/>
              </w:rPr>
              <w:t xml:space="preserve">Podjetje </w:t>
            </w:r>
            <w:r w:rsidR="00E431E6" w:rsidRPr="00433B41">
              <w:rPr>
                <w:lang w:val="sl-SI"/>
              </w:rPr>
              <w:t>že več let uporablja rešitev Microsoft Dynamics za podporo prodaji in trženju. Ob tem so želeli razširiti obstoječe funkcionalnosti in sistem za upravljanje odnosov s strankami integrirati tudi z drugimi sistemi.</w:t>
            </w:r>
          </w:p>
          <w:p w:rsidR="003119F1" w:rsidRPr="00433B41" w:rsidRDefault="003119F1">
            <w:pPr>
              <w:pStyle w:val="Bodycopy"/>
              <w:rPr>
                <w:lang w:val="sl-SI"/>
              </w:rPr>
            </w:pPr>
          </w:p>
          <w:p w:rsidR="003119F1" w:rsidRPr="00433B41" w:rsidRDefault="00185B03">
            <w:pPr>
              <w:pStyle w:val="Bodycopyheading"/>
              <w:rPr>
                <w:lang w:val="sl-SI"/>
              </w:rPr>
            </w:pPr>
            <w:r w:rsidRPr="00433B41">
              <w:rPr>
                <w:lang w:val="sl-SI"/>
              </w:rPr>
              <w:t>Rešitev</w:t>
            </w:r>
          </w:p>
          <w:p w:rsidR="003119F1" w:rsidRPr="00433B41" w:rsidRDefault="00E431E6">
            <w:pPr>
              <w:pStyle w:val="Bodycopy"/>
              <w:rPr>
                <w:lang w:val="sl-SI"/>
              </w:rPr>
            </w:pPr>
            <w:bookmarkStart w:id="2" w:name="OverviewSolution"/>
            <w:r w:rsidRPr="00433B41">
              <w:rPr>
                <w:lang w:val="sl-SI"/>
              </w:rPr>
              <w:t>V Avtenti.si</w:t>
            </w:r>
            <w:r w:rsidR="000358E7" w:rsidRPr="00433B41">
              <w:rPr>
                <w:lang w:val="sl-SI"/>
              </w:rPr>
              <w:t xml:space="preserve"> </w:t>
            </w:r>
            <w:r w:rsidRPr="00433B41">
              <w:rPr>
                <w:lang w:val="sl-SI"/>
              </w:rPr>
              <w:t>so se odločili</w:t>
            </w:r>
            <w:r w:rsidR="000358E7" w:rsidRPr="00433B41">
              <w:rPr>
                <w:lang w:val="sl-SI"/>
              </w:rPr>
              <w:t xml:space="preserve"> za uvedbo rešitve Microsoft Dynamics </w:t>
            </w:r>
            <w:r w:rsidR="00B13388" w:rsidRPr="00433B41">
              <w:rPr>
                <w:lang w:val="sl-SI"/>
              </w:rPr>
              <w:t>CRM</w:t>
            </w:r>
            <w:bookmarkEnd w:id="2"/>
            <w:r w:rsidR="00B13388" w:rsidRPr="00433B41">
              <w:rPr>
                <w:lang w:val="sl-SI"/>
              </w:rPr>
              <w:t xml:space="preserve"> </w:t>
            </w:r>
            <w:r w:rsidRPr="00433B41">
              <w:rPr>
                <w:lang w:val="sl-SI"/>
              </w:rPr>
              <w:t xml:space="preserve">4.0. Pri tem so izvedli integracijo s sistemom SAP in strežnikom Microsoft Office SharePoint Server 2007. </w:t>
            </w:r>
          </w:p>
          <w:p w:rsidR="003119F1" w:rsidRPr="00433B41" w:rsidRDefault="003119F1">
            <w:pPr>
              <w:pStyle w:val="Bodycopy"/>
              <w:rPr>
                <w:lang w:val="sl-SI"/>
              </w:rPr>
            </w:pPr>
          </w:p>
          <w:p w:rsidR="003119F1" w:rsidRPr="00433B41" w:rsidRDefault="00185B03">
            <w:pPr>
              <w:pStyle w:val="Bodycopyheading"/>
              <w:rPr>
                <w:lang w:val="sl-SI"/>
              </w:rPr>
            </w:pPr>
            <w:r w:rsidRPr="00433B41">
              <w:rPr>
                <w:lang w:val="sl-SI"/>
              </w:rPr>
              <w:t>Prednost</w:t>
            </w:r>
            <w:r w:rsidR="00E43405" w:rsidRPr="00433B41">
              <w:rPr>
                <w:lang w:val="sl-SI"/>
              </w:rPr>
              <w:t>i</w:t>
            </w:r>
          </w:p>
          <w:p w:rsidR="000358E7" w:rsidRPr="00433B41" w:rsidRDefault="00E431E6">
            <w:pPr>
              <w:pStyle w:val="Bullet"/>
              <w:rPr>
                <w:lang w:val="sl-SI"/>
              </w:rPr>
            </w:pPr>
            <w:bookmarkStart w:id="3" w:name="OverviewBenefits"/>
            <w:r w:rsidRPr="00433B41">
              <w:rPr>
                <w:lang w:val="sl-SI"/>
              </w:rPr>
              <w:t>Hite</w:t>
            </w:r>
            <w:r w:rsidR="00433B41">
              <w:rPr>
                <w:lang w:val="sl-SI"/>
              </w:rPr>
              <w:t>r</w:t>
            </w:r>
            <w:r w:rsidRPr="00433B41">
              <w:rPr>
                <w:lang w:val="sl-SI"/>
              </w:rPr>
              <w:t xml:space="preserve"> razvoj</w:t>
            </w:r>
          </w:p>
          <w:p w:rsidR="000358E7" w:rsidRPr="00433B41" w:rsidRDefault="00E431E6">
            <w:pPr>
              <w:pStyle w:val="Bullet"/>
              <w:rPr>
                <w:lang w:val="sl-SI"/>
              </w:rPr>
            </w:pPr>
            <w:r w:rsidRPr="00433B41">
              <w:rPr>
                <w:lang w:val="sl-SI"/>
              </w:rPr>
              <w:t>Celovit pogled na stranke</w:t>
            </w:r>
          </w:p>
          <w:p w:rsidR="000358E7" w:rsidRPr="00433B41" w:rsidRDefault="00E431E6">
            <w:pPr>
              <w:pStyle w:val="Bullet"/>
              <w:rPr>
                <w:lang w:val="sl-SI"/>
              </w:rPr>
            </w:pPr>
            <w:r w:rsidRPr="00433B41">
              <w:rPr>
                <w:lang w:val="sl-SI"/>
              </w:rPr>
              <w:t>Informacijska podpora trženju</w:t>
            </w:r>
          </w:p>
          <w:bookmarkEnd w:id="3"/>
          <w:p w:rsidR="003119F1" w:rsidRPr="00433B41" w:rsidRDefault="00E431E6">
            <w:pPr>
              <w:pStyle w:val="Bullet"/>
              <w:rPr>
                <w:lang w:val="sl-SI"/>
              </w:rPr>
            </w:pPr>
            <w:r w:rsidRPr="00433B41">
              <w:rPr>
                <w:lang w:val="sl-SI"/>
              </w:rPr>
              <w:t>Celovita podpora poslovanju z integracijo s sistemom SAP</w:t>
            </w:r>
          </w:p>
          <w:p w:rsidR="003119F1" w:rsidRPr="00433B41" w:rsidRDefault="003119F1">
            <w:pPr>
              <w:pStyle w:val="Bodycopy"/>
              <w:rPr>
                <w:lang w:val="sl-SI"/>
              </w:rPr>
            </w:pPr>
          </w:p>
        </w:tc>
        <w:tc>
          <w:tcPr>
            <w:tcW w:w="284" w:type="dxa"/>
            <w:tcBorders>
              <w:left w:val="nil"/>
              <w:right w:val="single" w:sz="8" w:space="0" w:color="112E58"/>
            </w:tcBorders>
            <w:shd w:val="clear" w:color="auto" w:fill="auto"/>
          </w:tcPr>
          <w:p w:rsidR="003119F1" w:rsidRPr="00433B41" w:rsidRDefault="003119F1">
            <w:pPr>
              <w:rPr>
                <w:lang w:val="sl-SI"/>
              </w:rPr>
            </w:pPr>
          </w:p>
        </w:tc>
        <w:tc>
          <w:tcPr>
            <w:tcW w:w="284" w:type="dxa"/>
            <w:tcBorders>
              <w:left w:val="single" w:sz="8" w:space="0" w:color="112E58"/>
            </w:tcBorders>
          </w:tcPr>
          <w:p w:rsidR="003119F1" w:rsidRPr="00433B41" w:rsidRDefault="003119F1">
            <w:pPr>
              <w:rPr>
                <w:lang w:val="sl-SI"/>
              </w:rPr>
            </w:pPr>
          </w:p>
        </w:tc>
        <w:tc>
          <w:tcPr>
            <w:tcW w:w="6861" w:type="dxa"/>
          </w:tcPr>
          <w:p w:rsidR="003119F1" w:rsidRPr="00E15CD0" w:rsidRDefault="00E15CD0" w:rsidP="00942705">
            <w:pPr>
              <w:pStyle w:val="Pullquote"/>
              <w:rPr>
                <w:lang w:val="sl-SI"/>
              </w:rPr>
            </w:pPr>
            <w:r w:rsidRPr="00E15CD0">
              <w:rPr>
                <w:lang w:val="sl-SI"/>
              </w:rPr>
              <w:t>Trudimo se pridobiti 360-stopinjski pregled nad svojimi strankami in sistem nam omogoča, da za vsako stranko posebej spremljamo aktivnosti v prodaji, trženju in dejanskem projektu,</w:t>
            </w:r>
            <w:r w:rsidR="0083437E" w:rsidRPr="00E15CD0">
              <w:rPr>
                <w:lang w:val="sl-SI"/>
              </w:rPr>
              <w:t xml:space="preserve"> </w:t>
            </w:r>
          </w:p>
          <w:p w:rsidR="003119F1" w:rsidRPr="00433B41" w:rsidRDefault="00E15CD0">
            <w:pPr>
              <w:pStyle w:val="PullQuotecredit"/>
              <w:rPr>
                <w:lang w:val="sl-SI"/>
              </w:rPr>
            </w:pPr>
            <w:r w:rsidRPr="00433B41">
              <w:rPr>
                <w:lang w:val="sl-SI"/>
              </w:rPr>
              <w:t xml:space="preserve">Tomaž Vodušek, </w:t>
            </w:r>
            <w:r>
              <w:rPr>
                <w:lang w:val="sl-SI"/>
              </w:rPr>
              <w:t>p</w:t>
            </w:r>
            <w:r w:rsidRPr="00433B41">
              <w:rPr>
                <w:lang w:val="sl-SI"/>
              </w:rPr>
              <w:t>roduktni vodja za CRM</w:t>
            </w:r>
            <w:r>
              <w:rPr>
                <w:lang w:val="sl-SI"/>
              </w:rPr>
              <w:t>, Avtenta.si</w:t>
            </w:r>
          </w:p>
          <w:p w:rsidR="003119F1" w:rsidRPr="00433B41" w:rsidRDefault="003119F1">
            <w:pPr>
              <w:spacing w:after="80"/>
              <w:jc w:val="right"/>
              <w:rPr>
                <w:color w:val="FF9900"/>
                <w:lang w:val="sl-SI"/>
              </w:rPr>
            </w:pPr>
          </w:p>
        </w:tc>
      </w:tr>
      <w:tr w:rsidR="003119F1" w:rsidRPr="00433B41" w:rsidTr="00433B41">
        <w:trPr>
          <w:cantSplit/>
          <w:trHeight w:hRule="exact" w:val="6505"/>
        </w:trPr>
        <w:tc>
          <w:tcPr>
            <w:tcW w:w="3119" w:type="dxa"/>
            <w:vMerge/>
          </w:tcPr>
          <w:p w:rsidR="003119F1" w:rsidRPr="00433B41" w:rsidRDefault="003119F1">
            <w:pPr>
              <w:pStyle w:val="Bodycopy"/>
              <w:rPr>
                <w:lang w:val="sl-SI"/>
              </w:rPr>
            </w:pPr>
          </w:p>
        </w:tc>
        <w:tc>
          <w:tcPr>
            <w:tcW w:w="284" w:type="dxa"/>
            <w:tcBorders>
              <w:left w:val="nil"/>
              <w:right w:val="single" w:sz="8" w:space="0" w:color="112E58"/>
            </w:tcBorders>
            <w:shd w:val="clear" w:color="auto" w:fill="auto"/>
          </w:tcPr>
          <w:p w:rsidR="003119F1" w:rsidRPr="00433B41" w:rsidRDefault="003119F1">
            <w:pPr>
              <w:pStyle w:val="Bodycopy"/>
              <w:rPr>
                <w:lang w:val="sl-SI"/>
              </w:rPr>
            </w:pPr>
          </w:p>
        </w:tc>
        <w:tc>
          <w:tcPr>
            <w:tcW w:w="284" w:type="dxa"/>
            <w:tcBorders>
              <w:left w:val="single" w:sz="8" w:space="0" w:color="112E58"/>
            </w:tcBorders>
          </w:tcPr>
          <w:p w:rsidR="003119F1" w:rsidRPr="00433B41" w:rsidRDefault="003119F1">
            <w:pPr>
              <w:pStyle w:val="Bodycopy"/>
              <w:rPr>
                <w:lang w:val="sl-SI"/>
              </w:rPr>
            </w:pPr>
          </w:p>
        </w:tc>
        <w:tc>
          <w:tcPr>
            <w:tcW w:w="6861" w:type="dxa"/>
          </w:tcPr>
          <w:p w:rsidR="00E431E6" w:rsidRPr="00433B41" w:rsidRDefault="00E431E6" w:rsidP="00E431E6">
            <w:pPr>
              <w:pStyle w:val="StandFirstIntroduction"/>
              <w:rPr>
                <w:lang w:val="sl-SI"/>
              </w:rPr>
            </w:pPr>
            <w:bookmarkStart w:id="4" w:name="DocumentFirstPageBody"/>
            <w:r w:rsidRPr="00433B41">
              <w:rPr>
                <w:lang w:val="sl-SI"/>
              </w:rPr>
              <w:t>Avtenta.si, član Skupine Telekom Slovenije, je eno vodilnih podjetij v Sloveniji na področju informacijsko-</w:t>
            </w:r>
            <w:r w:rsidR="00433B41" w:rsidRPr="00433B41">
              <w:rPr>
                <w:lang w:val="sl-SI"/>
              </w:rPr>
              <w:t>komunikacijsk</w:t>
            </w:r>
            <w:r w:rsidR="00433B41">
              <w:rPr>
                <w:lang w:val="sl-SI"/>
              </w:rPr>
              <w:t>ih</w:t>
            </w:r>
            <w:r w:rsidR="00433B41" w:rsidRPr="00433B41">
              <w:rPr>
                <w:lang w:val="sl-SI"/>
              </w:rPr>
              <w:t xml:space="preserve"> </w:t>
            </w:r>
            <w:r w:rsidRPr="00433B41">
              <w:rPr>
                <w:lang w:val="sl-SI"/>
              </w:rPr>
              <w:t>tehnologij.</w:t>
            </w:r>
            <w:bookmarkEnd w:id="4"/>
            <w:r w:rsidRPr="00433B41">
              <w:rPr>
                <w:sz w:val="22"/>
                <w:szCs w:val="22"/>
                <w:lang w:val="sl-SI"/>
              </w:rPr>
              <w:t xml:space="preserve"> </w:t>
            </w:r>
            <w:r w:rsidRPr="00433B41">
              <w:rPr>
                <w:lang w:val="sl-SI"/>
              </w:rPr>
              <w:t>Podjetje je dolgoletni uporabnik Microsoftove rešitve za upravljanje odnosov s strankami, saj so različico Microsoft Dynamics CRM 1.2 prvič vpeljali že pred šestimi leti.</w:t>
            </w:r>
          </w:p>
          <w:p w:rsidR="00E431E6" w:rsidRPr="00433B41" w:rsidRDefault="00E431E6" w:rsidP="00E431E6">
            <w:pPr>
              <w:pStyle w:val="StandFirstIntroduction"/>
              <w:rPr>
                <w:lang w:val="sl-SI"/>
              </w:rPr>
            </w:pPr>
          </w:p>
          <w:p w:rsidR="00E431E6" w:rsidRPr="00433B41" w:rsidRDefault="00E431E6" w:rsidP="00E431E6">
            <w:pPr>
              <w:pStyle w:val="StandFirstIntroduction"/>
              <w:rPr>
                <w:lang w:val="sl-SI"/>
              </w:rPr>
            </w:pPr>
            <w:r w:rsidRPr="00433B41">
              <w:rPr>
                <w:lang w:val="sl-SI"/>
              </w:rPr>
              <w:t>Podjetje je želelo zagotoviti celo</w:t>
            </w:r>
            <w:r w:rsidR="00A3635A" w:rsidRPr="00433B41">
              <w:rPr>
                <w:lang w:val="sl-SI"/>
              </w:rPr>
              <w:t>vito podporo svojemu poslovanju, predvsem na področju podpore projektnemu poslovanju. Podjetje se je odločilo za nadgradnjo na Microsoft Dynamics CRM 4.0 in s tem sledilo svoji viziji vzpostavitve sistema, ki bi omogočal celovito sledljivost posameznih projektov prek celotnega prodajnega cikla do izvedbe in zaključka projekta.</w:t>
            </w:r>
          </w:p>
          <w:p w:rsidR="00A3635A" w:rsidRPr="00433B41" w:rsidRDefault="00A3635A" w:rsidP="00E431E6">
            <w:pPr>
              <w:pStyle w:val="StandFirstIntroduction"/>
              <w:rPr>
                <w:lang w:val="sl-SI"/>
              </w:rPr>
            </w:pPr>
          </w:p>
          <w:p w:rsidR="00B13388" w:rsidRPr="00433B41" w:rsidRDefault="00A3635A" w:rsidP="00A3635A">
            <w:pPr>
              <w:pStyle w:val="StandFirstIntroduction"/>
              <w:rPr>
                <w:lang w:val="sl-SI"/>
              </w:rPr>
            </w:pPr>
            <w:r w:rsidRPr="00433B41">
              <w:rPr>
                <w:lang w:val="sl-SI"/>
              </w:rPr>
              <w:t xml:space="preserve">V podjetju Avtenta.si so z vpeljavo sistema pridobili celovit pogled na svoje stranke skozi celoten cikel odnosa s stranko – od trženja in prodaje do izvedbe projekta. Izvedli so tudi integracijo s sistemom SAP, kar zagotavlja boljši vpogled v poslovanje. </w:t>
            </w:r>
          </w:p>
        </w:tc>
      </w:tr>
      <w:tr w:rsidR="003119F1" w:rsidRPr="00433B41" w:rsidTr="000358E7">
        <w:trPr>
          <w:cantSplit/>
          <w:trHeight w:hRule="exact" w:val="180"/>
        </w:trPr>
        <w:tc>
          <w:tcPr>
            <w:tcW w:w="3119" w:type="dxa"/>
          </w:tcPr>
          <w:p w:rsidR="003119F1" w:rsidRPr="00433B41" w:rsidRDefault="003119F1">
            <w:pPr>
              <w:rPr>
                <w:lang w:val="sl-SI"/>
              </w:rPr>
            </w:pPr>
          </w:p>
        </w:tc>
        <w:tc>
          <w:tcPr>
            <w:tcW w:w="284" w:type="dxa"/>
            <w:tcBorders>
              <w:left w:val="nil"/>
              <w:right w:val="single" w:sz="8" w:space="0" w:color="112E58"/>
            </w:tcBorders>
            <w:shd w:val="clear" w:color="auto" w:fill="auto"/>
          </w:tcPr>
          <w:p w:rsidR="003119F1" w:rsidRPr="00433B41" w:rsidRDefault="003119F1">
            <w:pPr>
              <w:rPr>
                <w:lang w:val="sl-SI"/>
              </w:rPr>
            </w:pPr>
          </w:p>
        </w:tc>
        <w:tc>
          <w:tcPr>
            <w:tcW w:w="284" w:type="dxa"/>
            <w:tcBorders>
              <w:left w:val="single" w:sz="8" w:space="0" w:color="112E58"/>
            </w:tcBorders>
          </w:tcPr>
          <w:p w:rsidR="003119F1" w:rsidRPr="00433B41" w:rsidRDefault="003119F1">
            <w:pPr>
              <w:rPr>
                <w:lang w:val="sl-SI"/>
              </w:rPr>
            </w:pPr>
          </w:p>
        </w:tc>
        <w:tc>
          <w:tcPr>
            <w:tcW w:w="6861" w:type="dxa"/>
          </w:tcPr>
          <w:p w:rsidR="003119F1" w:rsidRPr="00433B41" w:rsidRDefault="003119F1">
            <w:pPr>
              <w:spacing w:after="80"/>
              <w:jc w:val="right"/>
              <w:rPr>
                <w:color w:val="FF9900"/>
                <w:lang w:val="sl-SI"/>
              </w:rPr>
            </w:pPr>
          </w:p>
        </w:tc>
      </w:tr>
      <w:tr w:rsidR="003119F1" w:rsidRPr="00433B41" w:rsidTr="000358E7">
        <w:trPr>
          <w:cantSplit/>
          <w:trHeight w:val="1740"/>
        </w:trPr>
        <w:tc>
          <w:tcPr>
            <w:tcW w:w="3119" w:type="dxa"/>
            <w:vMerge w:val="restart"/>
            <w:vAlign w:val="bottom"/>
          </w:tcPr>
          <w:p w:rsidR="003119F1" w:rsidRPr="00433B41" w:rsidRDefault="003119F1">
            <w:pPr>
              <w:rPr>
                <w:lang w:val="sl-SI"/>
              </w:rPr>
            </w:pPr>
          </w:p>
        </w:tc>
        <w:tc>
          <w:tcPr>
            <w:tcW w:w="284" w:type="dxa"/>
            <w:tcBorders>
              <w:left w:val="nil"/>
              <w:right w:val="single" w:sz="8" w:space="0" w:color="112E58"/>
            </w:tcBorders>
            <w:shd w:val="clear" w:color="auto" w:fill="auto"/>
          </w:tcPr>
          <w:p w:rsidR="003119F1" w:rsidRPr="00433B41" w:rsidRDefault="003119F1">
            <w:pPr>
              <w:rPr>
                <w:lang w:val="sl-SI"/>
              </w:rPr>
            </w:pPr>
          </w:p>
        </w:tc>
        <w:tc>
          <w:tcPr>
            <w:tcW w:w="284" w:type="dxa"/>
            <w:vMerge w:val="restart"/>
            <w:tcBorders>
              <w:left w:val="single" w:sz="8" w:space="0" w:color="112E58"/>
            </w:tcBorders>
          </w:tcPr>
          <w:p w:rsidR="003119F1" w:rsidRPr="00433B41" w:rsidRDefault="003119F1">
            <w:pPr>
              <w:rPr>
                <w:lang w:val="sl-SI"/>
              </w:rPr>
            </w:pPr>
          </w:p>
        </w:tc>
        <w:tc>
          <w:tcPr>
            <w:tcW w:w="6861" w:type="dxa"/>
            <w:vMerge w:val="restart"/>
            <w:vAlign w:val="bottom"/>
          </w:tcPr>
          <w:p w:rsidR="003119F1" w:rsidRPr="00433B41" w:rsidRDefault="004F5B4D">
            <w:pPr>
              <w:jc w:val="right"/>
              <w:rPr>
                <w:color w:val="FF9900"/>
                <w:lang w:val="sl-SI"/>
              </w:rPr>
            </w:pPr>
            <w:bookmarkStart w:id="5" w:name="ProductLogo"/>
            <w:r w:rsidRPr="00433B41">
              <w:rPr>
                <w:noProof/>
                <w:color w:val="FF9900"/>
                <w:lang w:val="sl-SI" w:eastAsia="sl-SI"/>
              </w:rPr>
              <w:drawing>
                <wp:inline distT="0" distB="0" distL="0" distR="0">
                  <wp:extent cx="2660650" cy="654050"/>
                  <wp:effectExtent l="19050" t="0" r="6350" b="0"/>
                  <wp:docPr id="2" name="Picture 3" descr="\\MASBS\Users\MatijaK\My Documents\CEP\CEP_Files\CEPFiles_logo_MSDynam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BS\Users\MatijaK\My Documents\CEP\CEP_Files\CEPFiles_logo_MSDynamics.jpg"/>
                          <pic:cNvPicPr>
                            <a:picLocks noChangeAspect="1" noChangeArrowheads="1"/>
                          </pic:cNvPicPr>
                        </pic:nvPicPr>
                        <pic:blipFill>
                          <a:blip r:embed="rId7" cstate="print"/>
                          <a:srcRect/>
                          <a:stretch>
                            <a:fillRect/>
                          </a:stretch>
                        </pic:blipFill>
                        <pic:spPr bwMode="auto">
                          <a:xfrm>
                            <a:off x="0" y="0"/>
                            <a:ext cx="2660650" cy="654050"/>
                          </a:xfrm>
                          <a:prstGeom prst="rect">
                            <a:avLst/>
                          </a:prstGeom>
                          <a:noFill/>
                          <a:ln w="9525">
                            <a:noFill/>
                            <a:miter lim="800000"/>
                            <a:headEnd/>
                            <a:tailEnd/>
                          </a:ln>
                        </pic:spPr>
                      </pic:pic>
                    </a:graphicData>
                  </a:graphic>
                </wp:inline>
              </w:drawing>
            </w:r>
            <w:bookmarkEnd w:id="5"/>
          </w:p>
        </w:tc>
      </w:tr>
      <w:bookmarkEnd w:id="0"/>
      <w:tr w:rsidR="003119F1" w:rsidRPr="00433B41">
        <w:trPr>
          <w:cantSplit/>
          <w:trHeight w:val="80"/>
        </w:trPr>
        <w:tc>
          <w:tcPr>
            <w:tcW w:w="3119" w:type="dxa"/>
            <w:vMerge/>
            <w:vAlign w:val="bottom"/>
          </w:tcPr>
          <w:p w:rsidR="003119F1" w:rsidRPr="00433B41" w:rsidRDefault="003119F1">
            <w:pPr>
              <w:rPr>
                <w:lang w:val="sl-SI"/>
              </w:rPr>
            </w:pPr>
          </w:p>
        </w:tc>
        <w:tc>
          <w:tcPr>
            <w:tcW w:w="284" w:type="dxa"/>
            <w:tcBorders>
              <w:left w:val="nil"/>
            </w:tcBorders>
          </w:tcPr>
          <w:p w:rsidR="003119F1" w:rsidRPr="00433B41" w:rsidRDefault="003119F1">
            <w:pPr>
              <w:rPr>
                <w:sz w:val="12"/>
                <w:lang w:val="sl-SI"/>
              </w:rPr>
            </w:pPr>
          </w:p>
        </w:tc>
        <w:tc>
          <w:tcPr>
            <w:tcW w:w="284" w:type="dxa"/>
            <w:vMerge/>
            <w:tcBorders>
              <w:left w:val="nil"/>
            </w:tcBorders>
          </w:tcPr>
          <w:p w:rsidR="003119F1" w:rsidRPr="00433B41" w:rsidRDefault="003119F1">
            <w:pPr>
              <w:rPr>
                <w:lang w:val="sl-SI"/>
              </w:rPr>
            </w:pPr>
          </w:p>
        </w:tc>
        <w:tc>
          <w:tcPr>
            <w:tcW w:w="6861" w:type="dxa"/>
            <w:vMerge/>
            <w:vAlign w:val="bottom"/>
          </w:tcPr>
          <w:p w:rsidR="003119F1" w:rsidRPr="00433B41" w:rsidRDefault="003119F1">
            <w:pPr>
              <w:jc w:val="right"/>
              <w:rPr>
                <w:color w:val="FF9900"/>
                <w:lang w:val="sl-SI"/>
              </w:rPr>
            </w:pPr>
          </w:p>
        </w:tc>
      </w:tr>
    </w:tbl>
    <w:p w:rsidR="003119F1" w:rsidRPr="00433B41" w:rsidRDefault="003119F1">
      <w:pPr>
        <w:rPr>
          <w:sz w:val="2"/>
          <w:lang w:val="sl-SI"/>
        </w:rPr>
      </w:pPr>
    </w:p>
    <w:p w:rsidR="003119F1" w:rsidRPr="00433B41" w:rsidRDefault="003119F1">
      <w:pPr>
        <w:rPr>
          <w:sz w:val="2"/>
          <w:lang w:val="sl-SI"/>
        </w:rPr>
        <w:sectPr w:rsidR="003119F1" w:rsidRPr="00433B41">
          <w:headerReference w:type="default" r:id="rId8"/>
          <w:pgSz w:w="12242" w:h="15842" w:code="1"/>
          <w:pgMar w:top="3600" w:right="851" w:bottom="200" w:left="851" w:header="0" w:footer="300" w:gutter="0"/>
          <w:cols w:space="227"/>
          <w:docGrid w:linePitch="360"/>
        </w:sectPr>
      </w:pPr>
    </w:p>
    <w:p w:rsidR="003119F1" w:rsidRPr="00433B41" w:rsidRDefault="000358E7">
      <w:pPr>
        <w:pStyle w:val="SectionHeading"/>
        <w:rPr>
          <w:lang w:val="sl-SI"/>
        </w:rPr>
      </w:pPr>
      <w:r w:rsidRPr="00433B41">
        <w:rPr>
          <w:lang w:val="sl-SI"/>
        </w:rPr>
        <w:lastRenderedPageBreak/>
        <w:t>Stanje</w:t>
      </w:r>
    </w:p>
    <w:p w:rsidR="00A3635A" w:rsidRPr="00433B41" w:rsidRDefault="00A3635A" w:rsidP="00A3635A">
      <w:pPr>
        <w:pStyle w:val="Bodycopy"/>
        <w:rPr>
          <w:lang w:val="sl-SI"/>
        </w:rPr>
      </w:pPr>
      <w:bookmarkStart w:id="8" w:name="DocumentSituation"/>
      <w:r w:rsidRPr="00433B41">
        <w:rPr>
          <w:lang w:val="sl-SI"/>
        </w:rPr>
        <w:t>Avtenta.si, član Skupine Telekom Slovenije, je eno vodilnih podjetij v Sloveniji na področju informacijsko-</w:t>
      </w:r>
      <w:r w:rsidR="00433B41" w:rsidRPr="00433B41">
        <w:rPr>
          <w:lang w:val="sl-SI"/>
        </w:rPr>
        <w:t>komunikacijsk</w:t>
      </w:r>
      <w:r w:rsidR="00433B41">
        <w:rPr>
          <w:lang w:val="sl-SI"/>
        </w:rPr>
        <w:t xml:space="preserve">ih </w:t>
      </w:r>
      <w:r w:rsidRPr="00433B41">
        <w:rPr>
          <w:lang w:val="sl-SI"/>
        </w:rPr>
        <w:t>tehnologij. Strokovnjaki Avtente.si strankam zagotavljajo celovite rešitve za obvladovanje najpomembnejših poslovnih procesov, primerno komunikacijsko infrastrukturo, IT</w:t>
      </w:r>
      <w:r w:rsidR="00433B41">
        <w:rPr>
          <w:lang w:val="sl-SI"/>
        </w:rPr>
        <w:t>-</w:t>
      </w:r>
      <w:r w:rsidRPr="00433B41">
        <w:rPr>
          <w:lang w:val="sl-SI"/>
        </w:rPr>
        <w:t xml:space="preserve">platforme, ustrezno programsko opremo ter izobraževanja. Za zagotavljanje storitev in rešitev se podjetje povezuje s številnimi dobavitelji, med katerimi je tudi Microsoft, saj je podjetje pomemben Microsoftov partner. </w:t>
      </w:r>
    </w:p>
    <w:p w:rsidR="00A3635A" w:rsidRPr="00433B41" w:rsidRDefault="00A3635A" w:rsidP="00A3635A">
      <w:pPr>
        <w:pStyle w:val="Bodycopy"/>
        <w:rPr>
          <w:lang w:val="sl-SI"/>
        </w:rPr>
      </w:pPr>
    </w:p>
    <w:p w:rsidR="00A3635A" w:rsidRPr="00433B41" w:rsidRDefault="00A3635A" w:rsidP="00A3635A">
      <w:pPr>
        <w:pStyle w:val="Bodycopy"/>
        <w:rPr>
          <w:lang w:val="sl-SI"/>
        </w:rPr>
      </w:pPr>
      <w:r w:rsidRPr="00433B41">
        <w:rPr>
          <w:lang w:val="sl-SI"/>
        </w:rPr>
        <w:t xml:space="preserve">Podjetje je dolgoletni uporabnik Microsoftove rešitve za upravljanje odnosov s strankami, saj so različico Microsoft Dynamics CRM 1.2 vpeljali že pred šestimi leti. Še pred uvedbo Microsoftove rešitve so v podjetju uporabljali izdelek Orbis / ReactPro, s katerim so vodili informacije o poslovnih stikih in zgodovini komuniciranja z njimi. </w:t>
      </w:r>
    </w:p>
    <w:p w:rsidR="00A3635A" w:rsidRPr="00433B41" w:rsidRDefault="00A3635A" w:rsidP="00A3635A">
      <w:pPr>
        <w:pStyle w:val="Bodycopy"/>
        <w:rPr>
          <w:lang w:val="sl-SI"/>
        </w:rPr>
      </w:pPr>
    </w:p>
    <w:p w:rsidR="00A3635A" w:rsidRPr="00433B41" w:rsidRDefault="00A3635A" w:rsidP="00A3635A">
      <w:pPr>
        <w:pStyle w:val="Bodycopy"/>
        <w:rPr>
          <w:lang w:val="sl-SI"/>
        </w:rPr>
      </w:pPr>
      <w:r w:rsidRPr="00433B41">
        <w:rPr>
          <w:lang w:val="sl-SI"/>
        </w:rPr>
        <w:t>»Microsoftov sistem za upravljanje odnosov s strankami je v Avtenti.si prisoten že dolgo,« je povedal Tomaž Šmid, svetovalec za poslovne rešitve. »Sprva smo podprli prodajni proces in začeli s sistematičnim spremljanjem in beleženjem prodajnih aktivnosti. Z nadgradnjo na različico Microsoft Dynamics CRM 3.0 smo vpeljali tudi podporo trženju in dodatne storitve.«</w:t>
      </w:r>
    </w:p>
    <w:p w:rsidR="00A3635A" w:rsidRPr="00433B41" w:rsidRDefault="00A3635A" w:rsidP="00A3635A">
      <w:pPr>
        <w:pStyle w:val="Bodycopy"/>
        <w:rPr>
          <w:lang w:val="sl-SI"/>
        </w:rPr>
      </w:pPr>
    </w:p>
    <w:p w:rsidR="00A3635A" w:rsidRPr="00433B41" w:rsidRDefault="00A3635A" w:rsidP="00A3635A">
      <w:pPr>
        <w:pStyle w:val="Bodycopy"/>
        <w:rPr>
          <w:lang w:val="sl-SI"/>
        </w:rPr>
      </w:pPr>
      <w:r w:rsidRPr="00433B41">
        <w:rPr>
          <w:lang w:val="sl-SI"/>
        </w:rPr>
        <w:t>Med dodatnimi možnostmi, ki so jih uvedli z rešitvijo Microsoft Dynamics CRM 3.0</w:t>
      </w:r>
      <w:r w:rsidR="00433B41">
        <w:rPr>
          <w:lang w:val="sl-SI"/>
        </w:rPr>
        <w:t>,</w:t>
      </w:r>
      <w:r w:rsidRPr="00433B41">
        <w:rPr>
          <w:lang w:val="sl-SI"/>
        </w:rPr>
        <w:t xml:space="preserve"> je bila tudi podpora trženju dogodkov in integracija s spletno stranjo. V sistemu sedaj vodijo celoten proces trženja izobraževanj – od seznamov povabljencev in pošiljanja vabil do integracije spletnih prijav, ki se vnašajo neposredno v sistem za upravljanje odnosov s strankami. </w:t>
      </w:r>
    </w:p>
    <w:p w:rsidR="00A3635A" w:rsidRPr="00433B41" w:rsidRDefault="00A3635A" w:rsidP="00A3635A">
      <w:pPr>
        <w:pStyle w:val="Bodycopy"/>
        <w:rPr>
          <w:lang w:val="sl-SI"/>
        </w:rPr>
      </w:pPr>
    </w:p>
    <w:p w:rsidR="00A3635A" w:rsidRPr="00433B41" w:rsidRDefault="00A3635A" w:rsidP="00A3635A">
      <w:pPr>
        <w:pStyle w:val="Bodycopy"/>
        <w:rPr>
          <w:lang w:val="sl-SI"/>
        </w:rPr>
      </w:pPr>
      <w:r w:rsidRPr="00433B41">
        <w:rPr>
          <w:lang w:val="sl-SI"/>
        </w:rPr>
        <w:t xml:space="preserve">»Z uvedbo modula za podporo prodaji in trženju smo prišli do točke, kjer smo začeli razmišljati tudi o spremljanju poteka izvedbe projektov,« je povedal Šmid. »Sistem se je </w:t>
      </w:r>
      <w:r w:rsidRPr="00433B41">
        <w:rPr>
          <w:lang w:val="sl-SI"/>
        </w:rPr>
        <w:lastRenderedPageBreak/>
        <w:t>namreč razvil do te mere, da bi lahko omogočal uvedbo projektnega vodenja. Že v fazi vzpostavitve prodajnega modula smo namreč razvili integracijo s sistemom Microsoft Office SharePoint, kar smo razširili tudi na projektni del.«</w:t>
      </w:r>
    </w:p>
    <w:p w:rsidR="00A3635A" w:rsidRPr="00433B41" w:rsidRDefault="00A3635A" w:rsidP="00A3635A">
      <w:pPr>
        <w:pStyle w:val="Bodycopy"/>
        <w:rPr>
          <w:lang w:val="sl-SI"/>
        </w:rPr>
      </w:pPr>
    </w:p>
    <w:p w:rsidR="000358E7" w:rsidRPr="00433B41" w:rsidRDefault="00A3635A" w:rsidP="00A3635A">
      <w:pPr>
        <w:pStyle w:val="Bodycopy"/>
        <w:rPr>
          <w:lang w:val="sl-SI"/>
        </w:rPr>
      </w:pPr>
      <w:r w:rsidRPr="00433B41">
        <w:rPr>
          <w:lang w:val="sl-SI"/>
        </w:rPr>
        <w:t>Podjetje je tako z nadgradnjo na Microsoft Dynamics CRM 4.0 sledilo svoji viziji vzpostavitve sistema, ki bi omogočal celovito sledljivost posameznih projektov prek celotnega prodajnega cikla do izvedbe in zaključka projekta. Pri tem pa se niso osredotočili le na osrednje shranjevanje in vodenje projektnih dokumentov</w:t>
      </w:r>
      <w:r w:rsidR="00433B41">
        <w:rPr>
          <w:lang w:val="sl-SI"/>
        </w:rPr>
        <w:t>,</w:t>
      </w:r>
      <w:r w:rsidRPr="00433B41">
        <w:rPr>
          <w:lang w:val="sl-SI"/>
        </w:rPr>
        <w:t xml:space="preserve"> temveč tudi na integracijo s poslovnim informacijskim sistemom SAP. </w:t>
      </w:r>
      <w:r w:rsidR="000358E7" w:rsidRPr="00433B41">
        <w:rPr>
          <w:lang w:val="sl-SI"/>
        </w:rPr>
        <w:t xml:space="preserve"> </w:t>
      </w:r>
    </w:p>
    <w:bookmarkEnd w:id="8"/>
    <w:p w:rsidR="003119F1" w:rsidRPr="00433B41" w:rsidRDefault="003119F1">
      <w:pPr>
        <w:pStyle w:val="Bodycopy"/>
        <w:rPr>
          <w:lang w:val="sl-SI"/>
        </w:rPr>
      </w:pPr>
    </w:p>
    <w:p w:rsidR="003119F1" w:rsidRPr="00433B41" w:rsidRDefault="003119F1">
      <w:pPr>
        <w:pStyle w:val="Bodycopy"/>
        <w:rPr>
          <w:lang w:val="sl-SI"/>
        </w:rPr>
      </w:pPr>
    </w:p>
    <w:p w:rsidR="003119F1" w:rsidRPr="00433B41" w:rsidRDefault="000358E7">
      <w:pPr>
        <w:pStyle w:val="SectionHeading"/>
        <w:rPr>
          <w:lang w:val="sl-SI"/>
        </w:rPr>
      </w:pPr>
      <w:r w:rsidRPr="00433B41">
        <w:rPr>
          <w:lang w:val="sl-SI"/>
        </w:rPr>
        <w:t>Rešitev</w:t>
      </w:r>
    </w:p>
    <w:p w:rsidR="00A3635A" w:rsidRPr="00433B41" w:rsidRDefault="00A3635A" w:rsidP="00A3635A">
      <w:pPr>
        <w:pStyle w:val="Bodycopy"/>
        <w:rPr>
          <w:lang w:val="sl-SI"/>
        </w:rPr>
      </w:pPr>
      <w:r w:rsidRPr="00433B41">
        <w:rPr>
          <w:lang w:val="sl-SI"/>
        </w:rPr>
        <w:t xml:space="preserve">Podjetje je razvilo integracijo med sistemoma Microsoft Dynamics CRM 4.0 in Microsoft Office SharePoint Server 2007, na katerem se shranjujejo dokumenti. V praksi integracija pomeni, da so vsi dokumenti shranjeni na enotnem mestu že med prodajnim ciklom ob pripravi ponudbe. S tem podjetje pridobi celovit pogled na posamezne projekte in svoje delo s strankami, saj lahko stalno spremlja stanje na posameznih projektih. </w:t>
      </w:r>
    </w:p>
    <w:p w:rsidR="00A3635A" w:rsidRPr="00433B41" w:rsidRDefault="00A3635A" w:rsidP="00A3635A">
      <w:pPr>
        <w:pStyle w:val="Bodycopy"/>
        <w:rPr>
          <w:lang w:val="sl-SI"/>
        </w:rPr>
      </w:pPr>
    </w:p>
    <w:p w:rsidR="00A3635A" w:rsidRPr="00433B41" w:rsidRDefault="00A3635A" w:rsidP="00A3635A">
      <w:pPr>
        <w:pStyle w:val="Bodycopy"/>
        <w:rPr>
          <w:lang w:val="sl-SI"/>
        </w:rPr>
      </w:pPr>
      <w:r w:rsidRPr="00433B41">
        <w:rPr>
          <w:lang w:val="sl-SI"/>
        </w:rPr>
        <w:t xml:space="preserve">»Naslednji korak je bil razvoj integracije s poslovnim informacijskim sistemom SAP,« je povedal Tomaž Vodušek, </w:t>
      </w:r>
      <w:r w:rsidR="00A97CF3">
        <w:rPr>
          <w:lang w:val="sl-SI"/>
        </w:rPr>
        <w:t>p</w:t>
      </w:r>
      <w:r w:rsidR="00A97CF3" w:rsidRPr="00433B41">
        <w:rPr>
          <w:lang w:val="sl-SI"/>
        </w:rPr>
        <w:t xml:space="preserve">roduktni </w:t>
      </w:r>
      <w:r w:rsidRPr="00433B41">
        <w:rPr>
          <w:lang w:val="sl-SI"/>
        </w:rPr>
        <w:t>vodja za CRM. »Podatki, ki se vnašajo v sistem za upravljanje odnosov s strankami</w:t>
      </w:r>
      <w:r w:rsidR="00A97CF3">
        <w:rPr>
          <w:lang w:val="sl-SI"/>
        </w:rPr>
        <w:t>,</w:t>
      </w:r>
      <w:r w:rsidRPr="00433B41">
        <w:rPr>
          <w:lang w:val="sl-SI"/>
        </w:rPr>
        <w:t xml:space="preserve"> se obenem prenaša tudi v sistem SAP. Ti podatki vključujejo projekt, količino porabljenih ur ter vrednost posameznih ur. Tako je mogoče spremljati tudi skladnost ponudbe z dejanskim delom, opravljenim na projektu.«</w:t>
      </w:r>
    </w:p>
    <w:p w:rsidR="00A3635A" w:rsidRPr="00433B41" w:rsidRDefault="00A3635A" w:rsidP="00A3635A">
      <w:pPr>
        <w:pStyle w:val="Bodycopy"/>
        <w:rPr>
          <w:lang w:val="sl-SI"/>
        </w:rPr>
      </w:pPr>
    </w:p>
    <w:p w:rsidR="00A3635A" w:rsidRPr="00433B41" w:rsidRDefault="00A3635A" w:rsidP="00A3635A">
      <w:pPr>
        <w:pStyle w:val="Bodycopy"/>
        <w:rPr>
          <w:lang w:val="sl-SI"/>
        </w:rPr>
      </w:pPr>
      <w:r w:rsidRPr="00433B41">
        <w:rPr>
          <w:lang w:val="sl-SI"/>
        </w:rPr>
        <w:t xml:space="preserve">Integracija je izdelana z uporabo storitev integracije podatkov SQL Server Integration Services, ki omogoča povezavo med sistemom Microsoft Dynamics CRM 4.0 in sistemom SAP, obenem pa je razvita odprto </w:t>
      </w:r>
      <w:r w:rsidR="00A97CF3">
        <w:rPr>
          <w:lang w:val="sl-SI"/>
        </w:rPr>
        <w:lastRenderedPageBreak/>
        <w:t>ter</w:t>
      </w:r>
      <w:r w:rsidR="00A97CF3" w:rsidRPr="00433B41">
        <w:rPr>
          <w:lang w:val="sl-SI"/>
        </w:rPr>
        <w:t xml:space="preserve"> </w:t>
      </w:r>
      <w:r w:rsidRPr="00433B41">
        <w:rPr>
          <w:lang w:val="sl-SI"/>
        </w:rPr>
        <w:t xml:space="preserve">omogoča povezovanje najrazličnejših sistemov. </w:t>
      </w:r>
    </w:p>
    <w:p w:rsidR="00A3635A" w:rsidRPr="00433B41" w:rsidRDefault="00A3635A" w:rsidP="00A3635A">
      <w:pPr>
        <w:pStyle w:val="Bodycopy"/>
        <w:rPr>
          <w:lang w:val="sl-SI"/>
        </w:rPr>
      </w:pPr>
    </w:p>
    <w:p w:rsidR="00A3635A" w:rsidRPr="00433B41" w:rsidRDefault="00A3635A" w:rsidP="00A3635A">
      <w:pPr>
        <w:pStyle w:val="Bodycopy"/>
        <w:rPr>
          <w:lang w:val="sl-SI"/>
        </w:rPr>
      </w:pPr>
      <w:r w:rsidRPr="00433B41">
        <w:rPr>
          <w:lang w:val="sl-SI"/>
        </w:rPr>
        <w:t xml:space="preserve">Avtenta.si se je osredotočila tudi na vzpostavitev integracije s telefonijo. </w:t>
      </w:r>
      <w:r w:rsidR="00A97CF3">
        <w:rPr>
          <w:lang w:val="sl-SI"/>
        </w:rPr>
        <w:t>Ta</w:t>
      </w:r>
      <w:r w:rsidR="00A97CF3" w:rsidRPr="00433B41">
        <w:rPr>
          <w:lang w:val="sl-SI"/>
        </w:rPr>
        <w:t xml:space="preserve"> </w:t>
      </w:r>
      <w:r w:rsidRPr="00433B41">
        <w:rPr>
          <w:lang w:val="sl-SI"/>
        </w:rPr>
        <w:t xml:space="preserve">omogoča uporabnikom, da imajo ob klicu </w:t>
      </w:r>
      <w:r w:rsidR="00A97CF3" w:rsidRPr="00433B41">
        <w:rPr>
          <w:lang w:val="sl-SI"/>
        </w:rPr>
        <w:t>določen</w:t>
      </w:r>
      <w:r w:rsidR="00A97CF3">
        <w:rPr>
          <w:lang w:val="sl-SI"/>
        </w:rPr>
        <w:t>e</w:t>
      </w:r>
      <w:r w:rsidR="00A97CF3" w:rsidRPr="00433B41">
        <w:rPr>
          <w:lang w:val="sl-SI"/>
        </w:rPr>
        <w:t xml:space="preserve"> </w:t>
      </w:r>
      <w:r w:rsidR="00A97CF3">
        <w:rPr>
          <w:lang w:val="sl-SI"/>
        </w:rPr>
        <w:t xml:space="preserve">telefonske </w:t>
      </w:r>
      <w:r w:rsidR="00A97CF3" w:rsidRPr="00433B41">
        <w:rPr>
          <w:lang w:val="sl-SI"/>
        </w:rPr>
        <w:t>številk</w:t>
      </w:r>
      <w:r w:rsidR="00A97CF3">
        <w:rPr>
          <w:lang w:val="sl-SI"/>
        </w:rPr>
        <w:t>e</w:t>
      </w:r>
      <w:r w:rsidR="00A97CF3" w:rsidRPr="00433B41">
        <w:rPr>
          <w:lang w:val="sl-SI"/>
        </w:rPr>
        <w:t xml:space="preserve"> </w:t>
      </w:r>
      <w:r w:rsidRPr="00433B41">
        <w:rPr>
          <w:lang w:val="sl-SI"/>
        </w:rPr>
        <w:t xml:space="preserve">takoj na voljo vse informacije o stranki. Ti podatki vključujejo tako opravljene prodajne dejavnosti kot tudi zaključene projekte in projekte v teku. Integracija s telefonijo IP je tako kot storitve za povezovanje podatkov razvita kot odprta platforma, ki jo je mogoče povezati z vsemi sistemi s podporo za vmesnik TAPI. Trenutno imajo v Avtenti.si na voljo neposredno integracijo s sistemom IP Centreks in rešitvami podjetja Cisco. </w:t>
      </w:r>
    </w:p>
    <w:p w:rsidR="00A3635A" w:rsidRPr="00433B41" w:rsidRDefault="00A3635A" w:rsidP="00A3635A">
      <w:pPr>
        <w:pStyle w:val="Bodycopy"/>
        <w:rPr>
          <w:lang w:val="sl-SI"/>
        </w:rPr>
      </w:pPr>
      <w:r w:rsidRPr="00433B41">
        <w:rPr>
          <w:lang w:val="sl-SI"/>
        </w:rPr>
        <w:t xml:space="preserve">Poseben izziv je predstavljalo tudi zagotavljanje podpore zunanjim sodelavcem. </w:t>
      </w:r>
    </w:p>
    <w:p w:rsidR="00A3635A" w:rsidRPr="00433B41" w:rsidRDefault="00A3635A" w:rsidP="00A3635A">
      <w:pPr>
        <w:pStyle w:val="Bodycopy"/>
        <w:rPr>
          <w:lang w:val="sl-SI"/>
        </w:rPr>
      </w:pPr>
    </w:p>
    <w:p w:rsidR="00A3635A" w:rsidRPr="00433B41" w:rsidRDefault="00A3635A" w:rsidP="00A3635A">
      <w:pPr>
        <w:pStyle w:val="Bodycopy"/>
        <w:rPr>
          <w:lang w:val="sl-SI"/>
        </w:rPr>
      </w:pPr>
      <w:r w:rsidRPr="00433B41">
        <w:rPr>
          <w:lang w:val="sl-SI"/>
        </w:rPr>
        <w:t>»Trenutno imamo v podjetju več kot 100 uporabnikov, obenem pa sodelujemo tudi s številnimi zunanjimi sodelavci,« je povedal Tomaž Vodušek. »Gre za posameznike, ki sodelujejo na posameznih projektih, vendar morajo vseeno poročati o svojem prispevku. Za njih smo pripravili poseben spletni obrazec, prek katerega lahko poročajo o opravljenem delu.«</w:t>
      </w:r>
    </w:p>
    <w:p w:rsidR="00A3635A" w:rsidRPr="00433B41" w:rsidRDefault="00A3635A" w:rsidP="00A3635A">
      <w:pPr>
        <w:pStyle w:val="Bodycopy"/>
        <w:rPr>
          <w:lang w:val="sl-SI"/>
        </w:rPr>
      </w:pPr>
    </w:p>
    <w:p w:rsidR="003119F1" w:rsidRPr="00433B41" w:rsidRDefault="00A3635A" w:rsidP="00A3635A">
      <w:pPr>
        <w:pStyle w:val="Bodycopy"/>
        <w:rPr>
          <w:lang w:val="sl-SI"/>
        </w:rPr>
      </w:pPr>
      <w:r w:rsidRPr="00433B41">
        <w:rPr>
          <w:lang w:val="sl-SI"/>
        </w:rPr>
        <w:t xml:space="preserve">Celoten sistem je bil vpeljan v skladu z Microsoftovimi priporočili </w:t>
      </w:r>
      <w:r w:rsidR="00A97CF3">
        <w:rPr>
          <w:lang w:val="sl-SI"/>
        </w:rPr>
        <w:t>ter</w:t>
      </w:r>
      <w:r w:rsidR="00A97CF3" w:rsidRPr="00433B41">
        <w:rPr>
          <w:lang w:val="sl-SI"/>
        </w:rPr>
        <w:t xml:space="preserve"> </w:t>
      </w:r>
      <w:r w:rsidRPr="00433B41">
        <w:rPr>
          <w:lang w:val="sl-SI"/>
        </w:rPr>
        <w:t xml:space="preserve">je integriran z aktivnim imenikom (Active Directory) in strežnikom Microsoft Exchange. Uporabniki do prodajnih podatkov dostopajo prek vmesnika Microsoft Outlook, do ostalih možnosti pa prek spletnega vmesnika. </w:t>
      </w:r>
    </w:p>
    <w:p w:rsidR="003119F1" w:rsidRPr="00433B41" w:rsidRDefault="003119F1">
      <w:pPr>
        <w:pStyle w:val="Bodycopy"/>
        <w:rPr>
          <w:lang w:val="sl-SI"/>
        </w:rPr>
      </w:pPr>
    </w:p>
    <w:p w:rsidR="003119F1" w:rsidRPr="00433B41" w:rsidRDefault="000358E7">
      <w:pPr>
        <w:pStyle w:val="SectionHeading"/>
        <w:rPr>
          <w:lang w:val="sl-SI"/>
        </w:rPr>
      </w:pPr>
      <w:r w:rsidRPr="00433B41">
        <w:rPr>
          <w:lang w:val="sl-SI"/>
        </w:rPr>
        <w:t>Prednosti</w:t>
      </w:r>
    </w:p>
    <w:p w:rsidR="00A3635A" w:rsidRPr="00433B41" w:rsidRDefault="00A3635A" w:rsidP="00A3635A">
      <w:pPr>
        <w:pStyle w:val="Bodycopy"/>
        <w:rPr>
          <w:lang w:val="sl-SI"/>
        </w:rPr>
      </w:pPr>
      <w:bookmarkStart w:id="9" w:name="DocumentBenefits"/>
      <w:r w:rsidRPr="00433B41">
        <w:rPr>
          <w:lang w:val="sl-SI"/>
        </w:rPr>
        <w:t xml:space="preserve">»Velika prednost Microsoftove platforme je, da omogoča hiter razvoj,« je povedal Tomaž Vodušek. »Z uporabo Microsoftovih orodij smo razvili sistem, ki je intuitiven in obenem kompleksnost procesov skriva pred </w:t>
      </w:r>
      <w:r w:rsidRPr="00433B41">
        <w:rPr>
          <w:lang w:val="sl-SI"/>
        </w:rPr>
        <w:lastRenderedPageBreak/>
        <w:t>uporabniki. Vse funkcionalnosti so jim na voljo prek enega samega kanala, kar vključuje elektronsko pošto, upravljanje odnosov s strankami in nalaganje dokumentov.«</w:t>
      </w:r>
    </w:p>
    <w:p w:rsidR="00A3635A" w:rsidRPr="00433B41" w:rsidRDefault="00A3635A" w:rsidP="00A3635A">
      <w:pPr>
        <w:pStyle w:val="Bodycopy"/>
        <w:rPr>
          <w:lang w:val="sl-SI"/>
        </w:rPr>
      </w:pPr>
    </w:p>
    <w:p w:rsidR="00A3635A" w:rsidRPr="00433B41" w:rsidRDefault="00A3635A" w:rsidP="00A3635A">
      <w:pPr>
        <w:pStyle w:val="Bodycopy"/>
        <w:rPr>
          <w:lang w:val="sl-SI"/>
        </w:rPr>
      </w:pPr>
      <w:r w:rsidRPr="00433B41">
        <w:rPr>
          <w:lang w:val="sl-SI"/>
        </w:rPr>
        <w:t xml:space="preserve">V podjetju Avtenta.si so zadovoljni, da so z vpeljavo sistema pridobili celovit pogled na svoje stranke. »Trudimo </w:t>
      </w:r>
      <w:r w:rsidR="00A97CF3" w:rsidRPr="00433B41">
        <w:rPr>
          <w:lang w:val="sl-SI"/>
        </w:rPr>
        <w:t>s</w:t>
      </w:r>
      <w:r w:rsidR="00A97CF3">
        <w:rPr>
          <w:lang w:val="sl-SI"/>
        </w:rPr>
        <w:t>e</w:t>
      </w:r>
      <w:r w:rsidR="00A97CF3" w:rsidRPr="00433B41">
        <w:rPr>
          <w:lang w:val="sl-SI"/>
        </w:rPr>
        <w:t xml:space="preserve"> </w:t>
      </w:r>
      <w:r w:rsidRPr="00433B41">
        <w:rPr>
          <w:lang w:val="sl-SI"/>
        </w:rPr>
        <w:t>pridobiti 360-stopinjski pregled nad svojimi strankami in sistem nam omogoča, da za vsako stranko posebej spremljamo aktivnosti v prodaji, trženju in dejanskem projektu,« je pojasnil Vodušek. »Platforma je zasnovana tako, da nam omogoča</w:t>
      </w:r>
      <w:r w:rsidR="00A97CF3">
        <w:rPr>
          <w:lang w:val="sl-SI"/>
        </w:rPr>
        <w:t xml:space="preserve"> sledenje </w:t>
      </w:r>
      <w:r w:rsidRPr="00433B41">
        <w:rPr>
          <w:lang w:val="sl-SI"/>
        </w:rPr>
        <w:t>poslovnim spremembam. Smo v fazi reorganizacije in stalno dodajamo nove module in razširitve, da bi lahko čim bolje prilagodili sistem.«</w:t>
      </w:r>
    </w:p>
    <w:p w:rsidR="00A3635A" w:rsidRPr="00433B41" w:rsidRDefault="00A3635A" w:rsidP="00A3635A">
      <w:pPr>
        <w:pStyle w:val="Bodycopy"/>
        <w:rPr>
          <w:lang w:val="sl-SI"/>
        </w:rPr>
      </w:pPr>
    </w:p>
    <w:p w:rsidR="00A3635A" w:rsidRPr="00433B41" w:rsidRDefault="00A3635A" w:rsidP="00A3635A">
      <w:pPr>
        <w:pStyle w:val="Bodycopy"/>
        <w:rPr>
          <w:lang w:val="sl-SI"/>
        </w:rPr>
      </w:pPr>
      <w:r w:rsidRPr="00433B41">
        <w:rPr>
          <w:lang w:val="sl-SI"/>
        </w:rPr>
        <w:t xml:space="preserve">Pomembno prednost predstavlja tudi modul za podporo trženju, ki omogoča neposredno integracijo s spletno stranjo za prijave, v Avtenti.si pa ga uporabljajo tudi za merjenje uspešnosti akcij prek elektronske pošte in drugih trženjskih aktivnosti. </w:t>
      </w:r>
    </w:p>
    <w:p w:rsidR="00A3635A" w:rsidRPr="00433B41" w:rsidRDefault="00A3635A" w:rsidP="00A3635A">
      <w:pPr>
        <w:pStyle w:val="Bodycopy"/>
        <w:rPr>
          <w:lang w:val="sl-SI"/>
        </w:rPr>
      </w:pPr>
    </w:p>
    <w:p w:rsidR="00E15CD0" w:rsidRDefault="00A3635A" w:rsidP="00A3635A">
      <w:pPr>
        <w:pStyle w:val="Bodycopy"/>
        <w:rPr>
          <w:lang w:val="sl-SI"/>
        </w:rPr>
      </w:pPr>
      <w:r w:rsidRPr="00433B41">
        <w:rPr>
          <w:lang w:val="sl-SI"/>
        </w:rPr>
        <w:t>Z uvedbo sistema Microsoft Dynamics 4.0 je podjetje zagotovilo celovito podporo svojemu poslovanju – od trženja in predprodajnih aktivnosti do prodaje in izvajanja projektov. Poleg tega so procese povezali tudi z zalednim poslovnim sistemom SAP, kar skrajšuje čas priprave in izdaje računov za delo, opravljeno na posameznih projektih. Celovita integracija zagotavlja tudi boljši vpogled v poslovanje in posledično boljše sprejemanje poslovnih odločitev v podjetju.</w:t>
      </w:r>
    </w:p>
    <w:p w:rsidR="00A3635A" w:rsidRPr="00433B41" w:rsidRDefault="00A3635A" w:rsidP="00A3635A">
      <w:pPr>
        <w:pStyle w:val="Bodycopy"/>
        <w:rPr>
          <w:lang w:val="sl-SI"/>
        </w:rPr>
      </w:pPr>
      <w:r w:rsidRPr="00433B41">
        <w:rPr>
          <w:lang w:val="sl-SI"/>
        </w:rPr>
        <w:t xml:space="preserve"> </w:t>
      </w:r>
    </w:p>
    <w:p w:rsidR="00A3635A" w:rsidRPr="00433B41" w:rsidRDefault="00A3635A" w:rsidP="00A3635A">
      <w:pPr>
        <w:pStyle w:val="Bodycopy"/>
        <w:rPr>
          <w:lang w:val="sl-SI"/>
        </w:rPr>
      </w:pPr>
      <w:r w:rsidRPr="00433B41">
        <w:rPr>
          <w:lang w:val="sl-SI"/>
        </w:rPr>
        <w:t>Vendar se projekt tu še ne bo ustavil, saj v podjetju že načrtujejo nadgradnjo sistema za spremljanje projektov in dodajanje novih elementov. Pri tem nameravajo izboljšati poročanje, ki temelji na sistemu Microsoft PerformancePoint</w:t>
      </w:r>
      <w:r w:rsidR="00A97CF3">
        <w:rPr>
          <w:lang w:val="sl-SI"/>
        </w:rPr>
        <w:t>,</w:t>
      </w:r>
      <w:r w:rsidRPr="00433B41">
        <w:rPr>
          <w:lang w:val="sl-SI"/>
        </w:rPr>
        <w:t xml:space="preserve"> ter zagotoviti poročanje </w:t>
      </w:r>
      <w:r w:rsidRPr="00433B41">
        <w:rPr>
          <w:lang w:val="sl-SI"/>
        </w:rPr>
        <w:lastRenderedPageBreak/>
        <w:t xml:space="preserve">tudi glede na posamezne pogodbe in ne le projekte. </w:t>
      </w:r>
    </w:p>
    <w:p w:rsidR="00A3635A" w:rsidRPr="00433B41" w:rsidRDefault="00A3635A" w:rsidP="00A3635A">
      <w:pPr>
        <w:pStyle w:val="Bodycopy"/>
        <w:rPr>
          <w:lang w:val="sl-SI"/>
        </w:rPr>
      </w:pPr>
    </w:p>
    <w:p w:rsidR="000358E7" w:rsidRPr="00433B41" w:rsidRDefault="00A3635A" w:rsidP="00A3635A">
      <w:pPr>
        <w:pStyle w:val="Bodycopy"/>
        <w:rPr>
          <w:lang w:val="sl-SI"/>
        </w:rPr>
      </w:pPr>
      <w:r w:rsidRPr="00433B41">
        <w:rPr>
          <w:lang w:val="sl-SI"/>
        </w:rPr>
        <w:t>Načrtujejo tudi integracijo povezovanja koledarjev s projektnim sistemom, kar bo omogočilo samodejni prenos podatkov o obiskih pri stranki s strežnika Exchange v sistem Microsoft Dynamics 4.0.</w:t>
      </w:r>
      <w:r w:rsidR="000358E7" w:rsidRPr="00433B41">
        <w:rPr>
          <w:lang w:val="sl-SI"/>
        </w:rPr>
        <w:t xml:space="preserve"> </w:t>
      </w:r>
    </w:p>
    <w:bookmarkEnd w:id="9"/>
    <w:p w:rsidR="003119F1" w:rsidRPr="00433B41" w:rsidRDefault="003119F1">
      <w:pPr>
        <w:pStyle w:val="SectionHeading"/>
        <w:rPr>
          <w:sz w:val="20"/>
          <w:lang w:val="sl-SI"/>
        </w:rPr>
      </w:pPr>
      <w:r w:rsidRPr="00433B41">
        <w:rPr>
          <w:lang w:val="sl-SI"/>
        </w:rPr>
        <w:br w:type="column"/>
      </w:r>
      <w:bookmarkStart w:id="10" w:name="ProductBoilerplateTitle"/>
      <w:r w:rsidR="00145152">
        <w:rPr>
          <w:sz w:val="20"/>
          <w:lang w:val="sl-SI"/>
        </w:rPr>
        <w:lastRenderedPageBreak/>
        <w:pict>
          <v:shapetype id="_x0000_t202" coordsize="21600,21600" o:spt="202" path="m,l,21600r21600,l21600,xe">
            <v:stroke joinstyle="miter"/>
            <v:path gradientshapeok="t" o:connecttype="rect"/>
          </v:shapetype>
          <v:shape id="_x0000_s1126" type="#_x0000_t202" style="position:absolute;margin-left:225pt;margin-top:600pt;width:348.3pt;height:121.75pt;z-index:251658752;mso-position-horizontal-relative:page;mso-position-vertical-relative:page" fillcolor="#ccc" stroked="f">
            <v:textbox style="mso-next-textbox:#_x0000_s1126" inset="0,0,0,0">
              <w:txbxContent>
                <w:tbl>
                  <w:tblPr>
                    <w:tblW w:w="0" w:type="auto"/>
                    <w:tblInd w:w="156" w:type="dxa"/>
                    <w:tblCellMar>
                      <w:left w:w="0" w:type="dxa"/>
                      <w:right w:w="120" w:type="dxa"/>
                    </w:tblCellMar>
                    <w:tblLook w:val="0000"/>
                  </w:tblPr>
                  <w:tblGrid>
                    <w:gridCol w:w="3302"/>
                    <w:gridCol w:w="3390"/>
                  </w:tblGrid>
                  <w:tr w:rsidR="00E431E6">
                    <w:trPr>
                      <w:cantSplit/>
                      <w:trHeight w:hRule="exact" w:val="170"/>
                    </w:trPr>
                    <w:tc>
                      <w:tcPr>
                        <w:tcW w:w="6692" w:type="dxa"/>
                        <w:gridSpan w:val="2"/>
                      </w:tcPr>
                      <w:p w:rsidR="00E431E6" w:rsidRDefault="00E431E6">
                        <w:pPr>
                          <w:pStyle w:val="SectionHeadingGrey"/>
                        </w:pPr>
                        <w:bookmarkStart w:id="11" w:name="Softwareandservicestable"/>
                        <w:bookmarkEnd w:id="11"/>
                      </w:p>
                    </w:tc>
                  </w:tr>
                  <w:tr w:rsidR="00E431E6">
                    <w:trPr>
                      <w:trHeight w:val="3846"/>
                    </w:trPr>
                    <w:tc>
                      <w:tcPr>
                        <w:tcW w:w="3302" w:type="dxa"/>
                      </w:tcPr>
                      <w:p w:rsidR="00E431E6" w:rsidRDefault="00E431E6" w:rsidP="000358E7">
                        <w:pPr>
                          <w:pStyle w:val="SectionHeadingGrey"/>
                        </w:pPr>
                        <w:bookmarkStart w:id="12" w:name="SoftwareandServices1"/>
                        <w:bookmarkEnd w:id="12"/>
                        <w:r>
                          <w:t>Programska oprema in storitve</w:t>
                        </w:r>
                      </w:p>
                      <w:p w:rsidR="00E431E6" w:rsidRDefault="00E431E6" w:rsidP="000358E7">
                        <w:pPr>
                          <w:pStyle w:val="BulletGrey"/>
                        </w:pPr>
                        <w:r>
                          <w:t>Izdelki</w:t>
                        </w:r>
                      </w:p>
                      <w:p w:rsidR="00E431E6" w:rsidRDefault="00E431E6" w:rsidP="002D689B">
                        <w:pPr>
                          <w:pStyle w:val="BulletGrey"/>
                          <w:numPr>
                            <w:ilvl w:val="0"/>
                            <w:numId w:val="13"/>
                          </w:numPr>
                        </w:pPr>
                        <w:r>
                          <w:t>Microsoft Dynamics CRM</w:t>
                        </w:r>
                        <w:r w:rsidR="009A2F72">
                          <w:t xml:space="preserve"> 4.0</w:t>
                        </w:r>
                      </w:p>
                      <w:p w:rsidR="00E431E6" w:rsidRDefault="00E431E6" w:rsidP="002D689B">
                        <w:pPr>
                          <w:pStyle w:val="BulletGrey"/>
                          <w:numPr>
                            <w:ilvl w:val="0"/>
                            <w:numId w:val="13"/>
                          </w:numPr>
                        </w:pPr>
                        <w:r>
                          <w:t>Microsoft Windows Server 2003</w:t>
                        </w:r>
                      </w:p>
                      <w:p w:rsidR="00E431E6" w:rsidRDefault="00E431E6" w:rsidP="002D689B">
                        <w:pPr>
                          <w:pStyle w:val="BulletGrey"/>
                          <w:numPr>
                            <w:ilvl w:val="0"/>
                            <w:numId w:val="13"/>
                          </w:numPr>
                        </w:pPr>
                        <w:r>
                          <w:t xml:space="preserve">Microsoft SQL Server 2005 </w:t>
                        </w:r>
                      </w:p>
                      <w:p w:rsidR="00E431E6" w:rsidRDefault="00E431E6" w:rsidP="002D689B">
                        <w:pPr>
                          <w:pStyle w:val="BulletGrey"/>
                          <w:numPr>
                            <w:ilvl w:val="0"/>
                            <w:numId w:val="13"/>
                          </w:numPr>
                        </w:pPr>
                        <w:r>
                          <w:t xml:space="preserve">Microsoft </w:t>
                        </w:r>
                        <w:r w:rsidR="00A3635A">
                          <w:t>Office SharePoint Server 2007</w:t>
                        </w:r>
                      </w:p>
                    </w:tc>
                    <w:tc>
                      <w:tcPr>
                        <w:tcW w:w="3390" w:type="dxa"/>
                      </w:tcPr>
                      <w:p w:rsidR="00E431E6" w:rsidRDefault="00E431E6" w:rsidP="002D689B">
                        <w:pPr>
                          <w:pStyle w:val="BulletLevel2"/>
                          <w:numPr>
                            <w:ilvl w:val="0"/>
                            <w:numId w:val="0"/>
                          </w:numPr>
                          <w:ind w:left="360"/>
                        </w:pPr>
                        <w:bookmarkStart w:id="13" w:name="SoftwareandServices2"/>
                        <w:bookmarkEnd w:id="13"/>
                      </w:p>
                    </w:tc>
                  </w:tr>
                </w:tbl>
                <w:p w:rsidR="00E431E6" w:rsidRDefault="00E431E6">
                  <w:pPr>
                    <w:pStyle w:val="Bodycopy"/>
                    <w:rPr>
                      <w:lang w:val="sv-SE"/>
                    </w:rPr>
                  </w:pPr>
                </w:p>
              </w:txbxContent>
            </v:textbox>
            <w10:wrap type="square" anchorx="page" anchory="page"/>
            <w10:anchorlock/>
          </v:shape>
        </w:pict>
      </w:r>
      <w:r w:rsidR="00145152">
        <w:rPr>
          <w:sz w:val="20"/>
          <w:lang w:val="sl-SI"/>
        </w:rPr>
        <w:pict>
          <v:shape id="DisclaimerBox" o:spid="_x0000_s1112" type="#_x0000_t202" style="position:absolute;margin-left:43.7pt;margin-top:650pt;width:172.3pt;height:109.55pt;z-index:251657728;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E431E6" w:rsidTr="00D564CD">
                    <w:trPr>
                      <w:trHeight w:val="2114"/>
                    </w:trPr>
                    <w:tc>
                      <w:tcPr>
                        <w:tcW w:w="3200" w:type="dxa"/>
                        <w:tcBorders>
                          <w:top w:val="nil"/>
                          <w:left w:val="nil"/>
                          <w:bottom w:val="nil"/>
                          <w:right w:val="nil"/>
                        </w:tcBorders>
                        <w:vAlign w:val="bottom"/>
                      </w:tcPr>
                      <w:p w:rsidR="00E431E6" w:rsidRPr="00AF2CE5" w:rsidRDefault="00E431E6" w:rsidP="00D564CD">
                        <w:pPr>
                          <w:pStyle w:val="Disclaimer"/>
                          <w:rPr>
                            <w:szCs w:val="11"/>
                          </w:rPr>
                        </w:pPr>
                        <w:bookmarkStart w:id="14" w:name="Disclaimer"/>
                        <w:r w:rsidRPr="00AF2CE5">
                          <w:rPr>
                            <w:szCs w:val="11"/>
                          </w:rPr>
                          <w:t>© 200</w:t>
                        </w:r>
                        <w:r w:rsidR="00A3635A">
                          <w:rPr>
                            <w:szCs w:val="11"/>
                          </w:rPr>
                          <w:t>9</w:t>
                        </w:r>
                        <w:r w:rsidRPr="00AF2CE5">
                          <w:rPr>
                            <w:szCs w:val="11"/>
                          </w:rPr>
                          <w:t xml:space="preserve"> Microsoft Corporation. Vse pravice pridržane. Ta primer strankine rešitve je informativne narave. Microsoft, Primer: Active Directory, Windows, logotip Windows, Windows Server in Windows Server System so registrirane blagovne znamke ali blagovne znamke v lasti družbe Microsoft Corporation v ZDA in/ali drugih državah. Imena resničnih podjetij ali izdelkov, omenjenih v tem dokumentu, utegnejo biti blagovne znamke, ki pripadajo svojim lastnikom.</w:t>
                        </w:r>
                      </w:p>
                      <w:p w:rsidR="00E431E6" w:rsidRPr="00AF2CE5" w:rsidRDefault="00E431E6" w:rsidP="00D564CD">
                        <w:pPr>
                          <w:pStyle w:val="Disclaimer"/>
                          <w:rPr>
                            <w:szCs w:val="11"/>
                          </w:rPr>
                        </w:pPr>
                      </w:p>
                      <w:p w:rsidR="00E431E6" w:rsidRPr="000D4386" w:rsidRDefault="00E431E6" w:rsidP="00A97CF3">
                        <w:pPr>
                          <w:pStyle w:val="Disclaimer"/>
                          <w:rPr>
                            <w:szCs w:val="11"/>
                          </w:rPr>
                        </w:pPr>
                        <w:r w:rsidRPr="00AF2CE5">
                          <w:rPr>
                            <w:szCs w:val="11"/>
                          </w:rPr>
                          <w:t xml:space="preserve">Dokument objavljen </w:t>
                        </w:r>
                        <w:r w:rsidR="00A97CF3">
                          <w:rPr>
                            <w:szCs w:val="11"/>
                          </w:rPr>
                          <w:t xml:space="preserve">maja </w:t>
                        </w:r>
                        <w:r>
                          <w:rPr>
                            <w:szCs w:val="11"/>
                          </w:rPr>
                          <w:t>2009</w:t>
                        </w:r>
                        <w:r w:rsidRPr="00AF2CE5">
                          <w:rPr>
                            <w:szCs w:val="11"/>
                          </w:rPr>
                          <w:t>.</w:t>
                        </w:r>
                        <w:bookmarkEnd w:id="14"/>
                      </w:p>
                    </w:tc>
                    <w:tc>
                      <w:tcPr>
                        <w:tcW w:w="280" w:type="dxa"/>
                        <w:tcBorders>
                          <w:top w:val="nil"/>
                          <w:left w:val="nil"/>
                          <w:bottom w:val="nil"/>
                          <w:right w:val="single" w:sz="8" w:space="0" w:color="112E58"/>
                        </w:tcBorders>
                        <w:shd w:val="clear" w:color="auto" w:fill="auto"/>
                        <w:vAlign w:val="bottom"/>
                      </w:tcPr>
                      <w:p w:rsidR="00E431E6" w:rsidRDefault="00E431E6" w:rsidP="00D564CD">
                        <w:pPr>
                          <w:pStyle w:val="Disclaimer"/>
                        </w:pPr>
                      </w:p>
                    </w:tc>
                  </w:tr>
                </w:tbl>
                <w:p w:rsidR="00E431E6" w:rsidRDefault="00E431E6" w:rsidP="00185B03">
                  <w:pPr>
                    <w:pStyle w:val="Disclaimer"/>
                  </w:pPr>
                </w:p>
                <w:p w:rsidR="00E431E6" w:rsidRPr="00185B03" w:rsidRDefault="00E431E6" w:rsidP="00185B03"/>
              </w:txbxContent>
            </v:textbox>
            <w10:wrap anchorx="page" anchory="page"/>
            <w10:anchorlock/>
          </v:shape>
        </w:pict>
      </w:r>
      <w:r w:rsidR="00145152">
        <w:rPr>
          <w:sz w:val="20"/>
          <w:lang w:val="sl-SI"/>
        </w:rPr>
        <w:pict>
          <v:shape id="_x0000_s1111" type="#_x0000_t202" style="position:absolute;margin-left:42.55pt;margin-top:161.95pt;width:155.9pt;height:484.4pt;z-index:251656704;mso-position-horizontal-relative:page;mso-position-vertical-relative:page" stroked="f">
            <v:textbox style="mso-next-textbox:#_x0000_s1111" inset="0,0,0,0">
              <w:txbxContent>
                <w:p w:rsidR="00E431E6" w:rsidRDefault="00E431E6">
                  <w:pPr>
                    <w:pStyle w:val="SectionHeading"/>
                  </w:pPr>
                  <w:r>
                    <w:t>Več informacij</w:t>
                  </w:r>
                </w:p>
                <w:p w:rsidR="00E431E6" w:rsidRDefault="00E431E6" w:rsidP="00185B03">
                  <w:pPr>
                    <w:pStyle w:val="Bodycopy"/>
                  </w:pPr>
                  <w:r>
                    <w:t xml:space="preserve">Za več informacij o izdelkih in rešitvah Microsoft Dynamics pokličite Microsoftov </w:t>
                  </w:r>
                  <w:r w:rsidR="00A97CF3">
                    <w:t xml:space="preserve">oddelek </w:t>
                  </w:r>
                  <w:r>
                    <w:t xml:space="preserve">Dynamics na tel. številko 01 584 61 76 ali obiščite spletno stran </w:t>
                  </w:r>
                  <w:hyperlink r:id="rId9" w:history="1">
                    <w:r>
                      <w:rPr>
                        <w:rStyle w:val="Hyperlink"/>
                      </w:rPr>
                      <w:t>www.microsoft.com/slovenija/dynamics/</w:t>
                    </w:r>
                  </w:hyperlink>
                  <w:r>
                    <w:t xml:space="preserve">. </w:t>
                  </w:r>
                </w:p>
                <w:p w:rsidR="00E431E6" w:rsidRDefault="00E431E6" w:rsidP="00185B03">
                  <w:pPr>
                    <w:pStyle w:val="Bodycopy"/>
                  </w:pPr>
                </w:p>
                <w:p w:rsidR="00E431E6" w:rsidRDefault="00E431E6">
                  <w:pPr>
                    <w:pStyle w:val="Bodycopy"/>
                  </w:pPr>
                  <w:r>
                    <w:t xml:space="preserve">Za več informacij o podjetju </w:t>
                  </w:r>
                  <w:r w:rsidR="00A3635A">
                    <w:t>Avtenta.si</w:t>
                  </w:r>
                  <w:r>
                    <w:t xml:space="preserve"> obiščite spletno stran </w:t>
                  </w:r>
                  <w:hyperlink r:id="rId10" w:history="1">
                    <w:r w:rsidR="00A3635A" w:rsidRPr="00B01CA9">
                      <w:rPr>
                        <w:rStyle w:val="Hyperlink"/>
                        <w:lang w:val="sl-SI"/>
                      </w:rPr>
                      <w:t>www.avtenta.si</w:t>
                    </w:r>
                  </w:hyperlink>
                  <w:r w:rsidR="00A3635A">
                    <w:rPr>
                      <w:lang w:val="sl-SI"/>
                    </w:rPr>
                    <w:t xml:space="preserve">. </w:t>
                  </w:r>
                  <w:r>
                    <w:t xml:space="preserve">    </w:t>
                  </w:r>
                  <w:bookmarkStart w:id="15" w:name="CustomerURL"/>
                  <w:bookmarkEnd w:id="15"/>
                </w:p>
                <w:p w:rsidR="00E431E6" w:rsidRDefault="00E431E6">
                  <w:pPr>
                    <w:pStyle w:val="Bodycopy"/>
                  </w:pPr>
                </w:p>
              </w:txbxContent>
            </v:textbox>
            <w10:wrap anchorx="page" anchory="page"/>
            <w10:anchorlock/>
          </v:shape>
        </w:pict>
      </w:r>
      <w:r w:rsidR="000358E7" w:rsidRPr="00433B41">
        <w:rPr>
          <w:sz w:val="20"/>
          <w:lang w:val="sl-SI"/>
        </w:rPr>
        <w:t>Microsoft Dynamics</w:t>
      </w:r>
      <w:bookmarkEnd w:id="10"/>
      <w:r w:rsidR="001F3482" w:rsidRPr="00433B41">
        <w:rPr>
          <w:sz w:val="20"/>
          <w:lang w:val="sl-SI"/>
        </w:rPr>
        <w:t xml:space="preserve"> CRM</w:t>
      </w:r>
    </w:p>
    <w:p w:rsidR="001F3482" w:rsidRPr="00433B41" w:rsidRDefault="001F3482" w:rsidP="001F3482">
      <w:pPr>
        <w:pStyle w:val="Bodycopy"/>
        <w:rPr>
          <w:lang w:val="sl-SI"/>
        </w:rPr>
      </w:pPr>
      <w:bookmarkStart w:id="16" w:name="ProductBoilerplateText"/>
      <w:r w:rsidRPr="00433B41">
        <w:rPr>
          <w:lang w:val="sl-SI"/>
        </w:rPr>
        <w:t>Microsoft Dynamics CRM je sistem za upravljanje odnosov s strankami (CRM) za vse, ki želijo s pomočjo informacij pustiti čim boljši vtis na svoje stranke. Rešitev nudi popoln nadzor nad prodajnimi in trženjskimi aktivnostmi ter servisom in zagotavlja popolno integracijo z orodji Microsoft Office in Microsoft Office Outlook. Rešitev Microsoft Dynamics CRM dela za vas, saj deluje tako, kot delajo vaši uporabniki, vaše podjetje in kot mora delovati tehnologija. </w:t>
      </w:r>
    </w:p>
    <w:p w:rsidR="001F3482" w:rsidRPr="00433B41" w:rsidRDefault="001F3482" w:rsidP="001F3482">
      <w:pPr>
        <w:pStyle w:val="Bodycopy"/>
        <w:rPr>
          <w:lang w:val="sl-SI"/>
        </w:rPr>
      </w:pPr>
    </w:p>
    <w:p w:rsidR="001F3482" w:rsidRPr="00433B41" w:rsidRDefault="001F3482" w:rsidP="001F3482">
      <w:pPr>
        <w:pStyle w:val="Bodycopy"/>
        <w:rPr>
          <w:lang w:val="sl-SI"/>
        </w:rPr>
      </w:pPr>
      <w:r w:rsidRPr="00433B41">
        <w:rPr>
          <w:lang w:val="sl-SI"/>
        </w:rPr>
        <w:t>Za več informaci</w:t>
      </w:r>
      <w:r w:rsidR="004F5B4D" w:rsidRPr="00433B41">
        <w:rPr>
          <w:lang w:val="sl-SI"/>
        </w:rPr>
        <w:t xml:space="preserve">j o Microsoft Dynamics obiščite </w:t>
      </w:r>
      <w:hyperlink r:id="rId11" w:history="1">
        <w:r w:rsidRPr="00433B41">
          <w:rPr>
            <w:rStyle w:val="Hyperlink"/>
            <w:lang w:val="sl-SI"/>
          </w:rPr>
          <w:t>www.microsoft.com/slovenija/dynamics/</w:t>
        </w:r>
      </w:hyperlink>
      <w:r w:rsidR="004F5B4D" w:rsidRPr="00433B41">
        <w:rPr>
          <w:lang w:val="sl-SI"/>
        </w:rPr>
        <w:t>.</w:t>
      </w:r>
    </w:p>
    <w:p w:rsidR="000358E7" w:rsidRPr="00433B41" w:rsidRDefault="00CA2B23">
      <w:pPr>
        <w:pStyle w:val="Bodycopy"/>
        <w:rPr>
          <w:lang w:val="sl-SI"/>
        </w:rPr>
      </w:pPr>
      <w:r w:rsidRPr="00433B41">
        <w:rPr>
          <w:lang w:val="sl-SI"/>
        </w:rPr>
        <w:t xml:space="preserve"> </w:t>
      </w:r>
    </w:p>
    <w:p w:rsidR="000358E7" w:rsidRPr="00433B41" w:rsidRDefault="000358E7">
      <w:pPr>
        <w:pStyle w:val="Bodycopy"/>
        <w:rPr>
          <w:lang w:val="sl-SI"/>
        </w:rPr>
      </w:pPr>
    </w:p>
    <w:p w:rsidR="003119F1" w:rsidRPr="00433B41" w:rsidRDefault="000358E7">
      <w:pPr>
        <w:pStyle w:val="Bodycopy"/>
        <w:rPr>
          <w:lang w:val="sl-SI"/>
        </w:rPr>
      </w:pPr>
      <w:r w:rsidRPr="00433B41">
        <w:rPr>
          <w:lang w:val="sl-SI"/>
        </w:rPr>
        <w:t xml:space="preserve"> </w:t>
      </w:r>
      <w:bookmarkEnd w:id="16"/>
    </w:p>
    <w:sectPr w:rsidR="003119F1" w:rsidRPr="00433B41" w:rsidSect="00A0798F">
      <w:headerReference w:type="default" r:id="rId12"/>
      <w:footerReference w:type="default" r:id="rId13"/>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7AE" w:rsidRDefault="00C247AE">
      <w:r>
        <w:separator/>
      </w:r>
    </w:p>
  </w:endnote>
  <w:endnote w:type="continuationSeparator" w:id="1">
    <w:p w:rsidR="00C247AE" w:rsidRDefault="00C247AE">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altName w:val="Times New Roman"/>
    <w:charset w:val="00"/>
    <w:family w:val="auto"/>
    <w:pitch w:val="variable"/>
    <w:sig w:usb0="00000087" w:usb1="00000000" w:usb2="00000000" w:usb3="00000000" w:csb0="0000001B" w:csb1="00000000"/>
  </w:font>
  <w:font w:name="Franklin Gothic Medium">
    <w:panose1 w:val="020B06030201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Heavy">
    <w:panose1 w:val="020B0903020102020204"/>
    <w:charset w:val="EE"/>
    <w:family w:val="swiss"/>
    <w:pitch w:val="variable"/>
    <w:sig w:usb0="00000287" w:usb1="00000000" w:usb2="00000000" w:usb3="00000000" w:csb0="0000009F" w:csb1="00000000"/>
    <w:embedRegular r:id="rId1" w:subsetted="1" w:fontKey="{879064CF-144D-418D-8F9C-91E6889F231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1E6" w:rsidRDefault="00145152">
    <w:pPr>
      <w:pStyle w:val="Footer"/>
      <w:tabs>
        <w:tab w:val="left" w:pos="2760"/>
      </w:tabs>
      <w:jc w:val="right"/>
    </w:pPr>
    <w:r>
      <w:fldChar w:fldCharType="begin"/>
    </w:r>
    <w:r w:rsidR="00E431E6">
      <w:instrText xml:space="preserve"> if </w:instrText>
    </w:r>
    <w:r>
      <w:rPr>
        <w:rStyle w:val="PageNumber"/>
      </w:rPr>
      <w:fldChar w:fldCharType="begin"/>
    </w:r>
    <w:r w:rsidR="00E431E6">
      <w:rPr>
        <w:rStyle w:val="PageNumber"/>
      </w:rPr>
      <w:instrText xml:space="preserve"> PAGE </w:instrText>
    </w:r>
    <w:r>
      <w:rPr>
        <w:rStyle w:val="PageNumber"/>
      </w:rPr>
      <w:fldChar w:fldCharType="separate"/>
    </w:r>
    <w:r w:rsidR="00FB1D53">
      <w:rPr>
        <w:rStyle w:val="PageNumber"/>
        <w:noProof/>
      </w:rPr>
      <w:instrText>4</w:instrText>
    </w:r>
    <w:r>
      <w:rPr>
        <w:rStyle w:val="PageNumber"/>
      </w:rPr>
      <w:fldChar w:fldCharType="end"/>
    </w:r>
    <w:r w:rsidR="00E431E6">
      <w:rPr>
        <w:rStyle w:val="PageNumber"/>
      </w:rPr>
      <w:instrText xml:space="preserve"> = </w:instrText>
    </w:r>
    <w:r>
      <w:rPr>
        <w:rStyle w:val="PageNumber"/>
      </w:rPr>
      <w:fldChar w:fldCharType="begin"/>
    </w:r>
    <w:r w:rsidR="00E431E6">
      <w:rPr>
        <w:rStyle w:val="PageNumber"/>
      </w:rPr>
      <w:instrText xml:space="preserve"> NUMPAGES </w:instrText>
    </w:r>
    <w:r>
      <w:rPr>
        <w:rStyle w:val="PageNumber"/>
      </w:rPr>
      <w:fldChar w:fldCharType="separate"/>
    </w:r>
    <w:r w:rsidR="00FB1D53">
      <w:rPr>
        <w:rStyle w:val="PageNumber"/>
        <w:noProof/>
      </w:rPr>
      <w:instrText>4</w:instrText>
    </w:r>
    <w:r>
      <w:rPr>
        <w:rStyle w:val="PageNumber"/>
      </w:rPr>
      <w:fldChar w:fldCharType="end"/>
    </w:r>
    <w:r w:rsidR="00E431E6">
      <w:rPr>
        <w:rStyle w:val="PageNumber"/>
      </w:rPr>
      <w:instrText xml:space="preserve"> </w:instrText>
    </w:r>
    <w:r w:rsidR="00E431E6">
      <w:rPr>
        <w:noProof/>
        <w:spacing w:val="20"/>
        <w:sz w:val="16"/>
        <w:lang w:val="sl-SI" w:eastAsia="sl-SI"/>
      </w:rPr>
      <w:drawing>
        <wp:inline distT="0" distB="0" distL="0" distR="0">
          <wp:extent cx="1981200" cy="914400"/>
          <wp:effectExtent l="19050" t="0" r="0" b="0"/>
          <wp:docPr id="3" name="Picture 8"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rsidR="00E431E6">
      <w:rPr>
        <w:rStyle w:val="PageNumber"/>
      </w:rPr>
      <w:instrText xml:space="preserve"> </w:instrText>
    </w:r>
    <w:r w:rsidR="00E431E6">
      <w:instrText xml:space="preserve">"" </w:instrText>
    </w:r>
    <w:r w:rsidR="00FB1D53">
      <w:fldChar w:fldCharType="separate"/>
    </w:r>
    <w:r w:rsidR="00FB1D53">
      <w:rPr>
        <w:noProof/>
        <w:spacing w:val="20"/>
        <w:sz w:val="16"/>
        <w:lang w:val="sl-SI" w:eastAsia="sl-SI"/>
      </w:rPr>
      <w:drawing>
        <wp:inline distT="0" distB="0" distL="0" distR="0">
          <wp:extent cx="1981200" cy="914400"/>
          <wp:effectExtent l="19050" t="0" r="0" b="0"/>
          <wp:docPr id="19" name="Picture 8"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7AE" w:rsidRDefault="00C247AE">
      <w:r>
        <w:separator/>
      </w:r>
    </w:p>
  </w:footnote>
  <w:footnote w:type="continuationSeparator" w:id="1">
    <w:p w:rsidR="00C247AE" w:rsidRDefault="00C247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60" w:type="dxa"/>
      <w:tblLayout w:type="fixed"/>
      <w:tblCellMar>
        <w:left w:w="0" w:type="dxa"/>
        <w:right w:w="0" w:type="dxa"/>
      </w:tblCellMar>
      <w:tblLook w:val="0000"/>
    </w:tblPr>
    <w:tblGrid>
      <w:gridCol w:w="860"/>
      <w:gridCol w:w="3393"/>
      <w:gridCol w:w="284"/>
      <w:gridCol w:w="6379"/>
    </w:tblGrid>
    <w:tr w:rsidR="00E431E6">
      <w:trPr>
        <w:cantSplit/>
        <w:trHeight w:hRule="exact" w:val="1155"/>
      </w:trPr>
      <w:tc>
        <w:tcPr>
          <w:tcW w:w="4253" w:type="dxa"/>
          <w:gridSpan w:val="2"/>
          <w:vMerge w:val="restart"/>
        </w:tcPr>
        <w:p w:rsidR="00E431E6" w:rsidRDefault="00E431E6">
          <w:bookmarkStart w:id="6" w:name="ProductPicture"/>
          <w:r>
            <w:rPr>
              <w:noProof/>
              <w:lang w:val="sl-SI" w:eastAsia="sl-SI"/>
            </w:rPr>
            <w:drawing>
              <wp:inline distT="0" distB="0" distL="0" distR="0">
                <wp:extent cx="2698750" cy="1676400"/>
                <wp:effectExtent l="19050" t="0" r="6350" b="0"/>
                <wp:docPr id="1" name="Picture 1" descr="\\MASBS\Users\MatijaK\My Documents\CEP\CEP_Files\CEPFiles_picture_Men_Tal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BS\Users\MatijaK\My Documents\CEP\CEP_Files\CEPFiles_picture_Men_Talking.jpg"/>
                        <pic:cNvPicPr>
                          <a:picLocks noChangeAspect="1" noChangeArrowheads="1"/>
                        </pic:cNvPicPr>
                      </pic:nvPicPr>
                      <pic:blipFill>
                        <a:blip r:embed="rId1"/>
                        <a:srcRect/>
                        <a:stretch>
                          <a:fillRect/>
                        </a:stretch>
                      </pic:blipFill>
                      <pic:spPr bwMode="auto">
                        <a:xfrm>
                          <a:off x="0" y="0"/>
                          <a:ext cx="2698750" cy="1676400"/>
                        </a:xfrm>
                        <a:prstGeom prst="rect">
                          <a:avLst/>
                        </a:prstGeom>
                        <a:noFill/>
                        <a:ln w="9525">
                          <a:noFill/>
                          <a:miter lim="800000"/>
                          <a:headEnd/>
                          <a:tailEnd/>
                        </a:ln>
                      </pic:spPr>
                    </pic:pic>
                  </a:graphicData>
                </a:graphic>
              </wp:inline>
            </w:drawing>
          </w:r>
          <w:bookmarkEnd w:id="6"/>
        </w:p>
      </w:tc>
      <w:tc>
        <w:tcPr>
          <w:tcW w:w="284" w:type="dxa"/>
          <w:vMerge w:val="restart"/>
        </w:tcPr>
        <w:p w:rsidR="00E431E6" w:rsidRDefault="00E431E6"/>
      </w:tc>
      <w:tc>
        <w:tcPr>
          <w:tcW w:w="6379" w:type="dxa"/>
        </w:tcPr>
        <w:p w:rsidR="00E431E6" w:rsidRDefault="00E431E6">
          <w:pPr>
            <w:pStyle w:val="StandFirstIntroduction"/>
          </w:pPr>
        </w:p>
      </w:tc>
    </w:tr>
    <w:tr w:rsidR="00E431E6">
      <w:trPr>
        <w:cantSplit/>
        <w:trHeight w:val="768"/>
      </w:trPr>
      <w:tc>
        <w:tcPr>
          <w:tcW w:w="4253" w:type="dxa"/>
          <w:gridSpan w:val="2"/>
          <w:vMerge/>
        </w:tcPr>
        <w:p w:rsidR="00E431E6" w:rsidRDefault="00E431E6"/>
      </w:tc>
      <w:tc>
        <w:tcPr>
          <w:tcW w:w="284" w:type="dxa"/>
          <w:vMerge/>
        </w:tcPr>
        <w:p w:rsidR="00E431E6" w:rsidRDefault="00E431E6"/>
      </w:tc>
      <w:tc>
        <w:tcPr>
          <w:tcW w:w="6379" w:type="dxa"/>
          <w:vAlign w:val="bottom"/>
        </w:tcPr>
        <w:p w:rsidR="00E431E6" w:rsidRDefault="00E431E6">
          <w:pPr>
            <w:pStyle w:val="Casestudydescription"/>
          </w:pPr>
          <w:bookmarkStart w:id="7" w:name="ProductTitle"/>
          <w:r>
            <w:t>Microsoft Dynamics CRM</w:t>
          </w:r>
          <w:bookmarkEnd w:id="7"/>
        </w:p>
        <w:p w:rsidR="00E431E6" w:rsidRDefault="00E431E6">
          <w:pPr>
            <w:pStyle w:val="Casestudydescription"/>
          </w:pPr>
          <w:r>
            <w:t>Študija primera</w:t>
          </w:r>
        </w:p>
      </w:tc>
    </w:tr>
    <w:tr w:rsidR="00E431E6">
      <w:trPr>
        <w:cantSplit/>
        <w:trHeight w:val="1248"/>
      </w:trPr>
      <w:tc>
        <w:tcPr>
          <w:tcW w:w="4253" w:type="dxa"/>
          <w:gridSpan w:val="2"/>
          <w:vMerge/>
        </w:tcPr>
        <w:p w:rsidR="00E431E6" w:rsidRDefault="00E431E6"/>
      </w:tc>
      <w:tc>
        <w:tcPr>
          <w:tcW w:w="284" w:type="dxa"/>
        </w:tcPr>
        <w:p w:rsidR="00E431E6" w:rsidRDefault="00145152">
          <w:r w:rsidRPr="00145152">
            <w:rPr>
              <w:noProof/>
              <w:sz w:val="20"/>
              <w:lang w:val="en-US"/>
            </w:rPr>
            <w:pict>
              <v:shapetype id="_x0000_t202" coordsize="21600,21600" o:spt="202" path="m,l,21600r21600,l21600,xe">
                <v:stroke joinstyle="miter"/>
                <v:path gradientshapeok="t" o:connecttype="rect"/>
              </v:shapetype>
              <v:shape id="Green501" o:spid="_x0000_s2080" type="#_x0000_t202" style="position:absolute;margin-left:-.55pt;margin-top:11.35pt;width:401pt;height:24.5pt;z-index:-251660800;mso-wrap-edited:f;mso-position-horizontal-relative:page;mso-position-vertical-relative:page" wrapcoords="-92 0 -92 21392 21600 21392 21600 0 -92 0" fillcolor="#ccecff" stroked="f">
                <v:fill color2="#4db2ff" angle="-90" focus="100%" type="gradient"/>
                <v:textbox style="mso-next-textbox:#Green501" inset="0,0,0,0">
                  <w:txbxContent>
                    <w:p w:rsidR="00E431E6" w:rsidRDefault="00E431E6"/>
                  </w:txbxContent>
                </v:textbox>
                <w10:wrap anchorx="page" anchory="page"/>
                <w10:anchorlock/>
              </v:shape>
            </w:pict>
          </w:r>
        </w:p>
      </w:tc>
      <w:tc>
        <w:tcPr>
          <w:tcW w:w="6379" w:type="dxa"/>
        </w:tcPr>
        <w:p w:rsidR="00E431E6" w:rsidRDefault="00E431E6">
          <w:pPr>
            <w:spacing w:after="80"/>
            <w:jc w:val="right"/>
            <w:rPr>
              <w:color w:val="FF9900"/>
            </w:rPr>
          </w:pPr>
        </w:p>
      </w:tc>
    </w:tr>
    <w:tr w:rsidR="00E431E6">
      <w:trPr>
        <w:cantSplit/>
        <w:trHeight w:hRule="exact" w:val="707"/>
      </w:trPr>
      <w:tc>
        <w:tcPr>
          <w:tcW w:w="860" w:type="dxa"/>
          <w:vMerge w:val="restart"/>
        </w:tcPr>
        <w:p w:rsidR="00E431E6" w:rsidRDefault="00E431E6"/>
      </w:tc>
      <w:tc>
        <w:tcPr>
          <w:tcW w:w="3393" w:type="dxa"/>
          <w:vMerge w:val="restart"/>
        </w:tcPr>
        <w:p w:rsidR="00E431E6" w:rsidRDefault="00E431E6">
          <w:pPr>
            <w:rPr>
              <w:sz w:val="8"/>
            </w:rPr>
          </w:pPr>
        </w:p>
        <w:p w:rsidR="00E431E6" w:rsidRDefault="00040D2A">
          <w:r>
            <w:rPr>
              <w:noProof/>
              <w:lang w:val="sl-SI" w:eastAsia="sl-SI"/>
            </w:rPr>
            <w:drawing>
              <wp:inline distT="0" distB="0" distL="0" distR="0">
                <wp:extent cx="2121167" cy="312420"/>
                <wp:effectExtent l="19050" t="0" r="0" b="0"/>
                <wp:docPr id="4" name="Picture 1" descr="C:\Users\matijak.MAMARKETING\AppData\Local\Microsoft\Windows\Temporary Internet Files\Content.Word\Avte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ijak.MAMARKETING\AppData\Local\Microsoft\Windows\Temporary Internet Files\Content.Word\Avtenta.jpg"/>
                        <pic:cNvPicPr>
                          <a:picLocks noChangeAspect="1" noChangeArrowheads="1"/>
                        </pic:cNvPicPr>
                      </pic:nvPicPr>
                      <pic:blipFill>
                        <a:blip r:embed="rId2"/>
                        <a:srcRect/>
                        <a:stretch>
                          <a:fillRect/>
                        </a:stretch>
                      </pic:blipFill>
                      <pic:spPr bwMode="auto">
                        <a:xfrm>
                          <a:off x="0" y="0"/>
                          <a:ext cx="2123224" cy="312723"/>
                        </a:xfrm>
                        <a:prstGeom prst="rect">
                          <a:avLst/>
                        </a:prstGeom>
                        <a:noFill/>
                        <a:ln w="9525">
                          <a:noFill/>
                          <a:miter lim="800000"/>
                          <a:headEnd/>
                          <a:tailEnd/>
                        </a:ln>
                      </pic:spPr>
                    </pic:pic>
                  </a:graphicData>
                </a:graphic>
              </wp:inline>
            </w:drawing>
          </w:r>
        </w:p>
      </w:tc>
      <w:tc>
        <w:tcPr>
          <w:tcW w:w="284" w:type="dxa"/>
          <w:tcBorders>
            <w:left w:val="nil"/>
          </w:tcBorders>
        </w:tcPr>
        <w:p w:rsidR="00E431E6" w:rsidRDefault="00145152">
          <w:r w:rsidRPr="00145152">
            <w:rPr>
              <w:noProof/>
              <w:sz w:val="20"/>
              <w:lang w:val="en-US"/>
            </w:rPr>
            <w:pict>
              <v:shape id="GreenFade1" o:spid="_x0000_s2093" type="#_x0000_t202" style="position:absolute;margin-left:-.55pt;margin-top:-158.6pt;width:401.1pt;height:107.75pt;z-index:-251656704;mso-wrap-edited:f;mso-position-horizontal-relative:page;mso-position-vertical-relative:page" wrapcoords="-92 0 -92 21392 21600 21392 21600 0 -92 0" fillcolor="#112e58" stroked="f">
                <v:fill color2="#09f" angle="-90" focus="100%" type="gradient"/>
                <v:textbox style="mso-next-textbox:#GreenFade1" inset="0,0,0,0">
                  <w:txbxContent>
                    <w:p w:rsidR="00E431E6" w:rsidRDefault="00E431E6"/>
                  </w:txbxContent>
                </v:textbox>
                <w10:wrap anchorx="page" anchory="page"/>
                <w10:anchorlock/>
              </v:shape>
            </w:pict>
          </w:r>
        </w:p>
      </w:tc>
      <w:tc>
        <w:tcPr>
          <w:tcW w:w="6379" w:type="dxa"/>
        </w:tcPr>
        <w:p w:rsidR="00E431E6" w:rsidRPr="00433B41" w:rsidRDefault="00E431E6">
          <w:pPr>
            <w:pStyle w:val="DocumentTitle"/>
            <w:rPr>
              <w:lang w:val="sl-SI"/>
            </w:rPr>
          </w:pPr>
          <w:r w:rsidRPr="00433B41">
            <w:rPr>
              <w:lang w:val="sl-SI"/>
            </w:rPr>
            <w:t>Izboljšan pregled nad delom s strankami</w:t>
          </w:r>
        </w:p>
      </w:tc>
    </w:tr>
    <w:tr w:rsidR="00E431E6">
      <w:trPr>
        <w:cantSplit/>
        <w:trHeight w:val="1008"/>
      </w:trPr>
      <w:tc>
        <w:tcPr>
          <w:tcW w:w="860" w:type="dxa"/>
          <w:vMerge/>
        </w:tcPr>
        <w:p w:rsidR="00E431E6" w:rsidRDefault="00E431E6"/>
      </w:tc>
      <w:tc>
        <w:tcPr>
          <w:tcW w:w="3393" w:type="dxa"/>
          <w:vMerge/>
          <w:tcBorders>
            <w:top w:val="single" w:sz="4" w:space="0" w:color="auto"/>
          </w:tcBorders>
        </w:tcPr>
        <w:p w:rsidR="00E431E6" w:rsidRDefault="00E431E6"/>
      </w:tc>
      <w:tc>
        <w:tcPr>
          <w:tcW w:w="284" w:type="dxa"/>
          <w:tcBorders>
            <w:left w:val="nil"/>
          </w:tcBorders>
        </w:tcPr>
        <w:p w:rsidR="00E431E6" w:rsidRDefault="00E431E6">
          <w:pPr>
            <w:rPr>
              <w:noProof/>
              <w:sz w:val="20"/>
              <w:lang w:val="en-US"/>
            </w:rPr>
          </w:pPr>
        </w:p>
      </w:tc>
      <w:tc>
        <w:tcPr>
          <w:tcW w:w="6379" w:type="dxa"/>
          <w:vAlign w:val="bottom"/>
        </w:tcPr>
        <w:p w:rsidR="00E431E6" w:rsidRDefault="00E431E6">
          <w:pPr>
            <w:pStyle w:val="StandFirstIntroduction"/>
            <w:spacing w:line="240" w:lineRule="auto"/>
            <w:rPr>
              <w:sz w:val="20"/>
            </w:rPr>
          </w:pPr>
        </w:p>
        <w:p w:rsidR="00E431E6" w:rsidRDefault="00E431E6">
          <w:pPr>
            <w:pStyle w:val="StandFirstIntroduction"/>
            <w:spacing w:line="240" w:lineRule="auto"/>
            <w:rPr>
              <w:sz w:val="20"/>
            </w:rPr>
          </w:pPr>
        </w:p>
        <w:p w:rsidR="00E431E6" w:rsidRDefault="00E431E6">
          <w:pPr>
            <w:pStyle w:val="StandFirstIntroduction"/>
          </w:pPr>
        </w:p>
      </w:tc>
    </w:tr>
  </w:tbl>
  <w:p w:rsidR="00E431E6" w:rsidRDefault="00E431E6">
    <w:pPr>
      <w:pStyle w:val="Header"/>
      <w:rPr>
        <w:sz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1E6" w:rsidRDefault="00145152">
    <w:pPr>
      <w:pStyle w:val="Header"/>
    </w:pPr>
    <w:r w:rsidRPr="00145152">
      <w:rPr>
        <w:noProof/>
        <w:sz w:val="20"/>
        <w:lang w:val="en-US" w:bidi="ar-SA"/>
      </w:rPr>
      <w:pict>
        <v:line id="ThinGreenLine" o:spid="_x0000_s2088" style="position:absolute;left:0;text-align:left;flip:x;z-index:-251657728;mso-position-horizontal-relative:page;mso-position-vertical-relative:page" from="212.35pt,161.6pt" to="212.35pt,725.6pt" strokecolor="#112e58">
          <w10:wrap anchorx="page" anchory="page"/>
        </v:line>
      </w:pict>
    </w:r>
    <w:r w:rsidRPr="00145152">
      <w:rPr>
        <w:noProof/>
        <w:sz w:val="20"/>
        <w:lang w:val="en-US" w:bidi="ar-SA"/>
      </w:rPr>
      <w:pict>
        <v:shapetype id="_x0000_t202" coordsize="21600,21600" o:spt="202" path="m,l,21600r21600,l21600,xe">
          <v:stroke joinstyle="miter"/>
          <v:path gradientshapeok="t" o:connecttype="rect"/>
        </v:shapetype>
        <v:shape id="Green502" o:spid="_x0000_s2084" type="#_x0000_t202" style="position:absolute;left:0;text-align:left;margin-left:-.05pt;margin-top:41.8pt;width:612.1pt;height:24pt;z-index:-251658752;mso-wrap-edited:f;mso-position-horizontal-relative:page;mso-position-vertical-relative:page" wrapcoords="-92 0 -92 21392 21600 21392 21600 0 -92 0" fillcolor="#09f" stroked="f">
          <v:textbox style="mso-next-textbox:#Green502" inset="0,0,0,0">
            <w:txbxContent>
              <w:p w:rsidR="00E431E6" w:rsidRDefault="00E431E6"/>
            </w:txbxContent>
          </v:textbox>
          <w10:wrap anchorx="page" anchory="page"/>
          <w10:anchorlock/>
        </v:shape>
      </w:pict>
    </w:r>
    <w:r w:rsidRPr="00145152">
      <w:rPr>
        <w:noProof/>
        <w:sz w:val="20"/>
        <w:lang w:val="en-US" w:bidi="ar-SA"/>
      </w:rPr>
      <w:pict>
        <v:shape id="GreenFade2" o:spid="_x0000_s2083" type="#_x0000_t202" style="position:absolute;left:0;text-align:left;margin-left:0;margin-top:-.05pt;width:612.1pt;height:42pt;z-index:-251659776;mso-wrap-edited:f;mso-position-horizontal-relative:page;mso-position-vertical-relative:page" wrapcoords="-92 0 -92 21392 21600 21392 21600 0 -92 0" fillcolor="#112e58" stroked="f">
          <v:fill color2="#09f" angle="-90" focus="100%" type="gradient"/>
          <v:textbox style="mso-next-textbox:#GreenFade2" inset="0,0,0,0">
            <w:txbxContent>
              <w:p w:rsidR="00E431E6" w:rsidRDefault="00E431E6"/>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292CF67A"/>
    <w:lvl w:ilvl="0" w:tplc="BE4A8C12">
      <w:start w:val="1"/>
      <w:numFmt w:val="bullet"/>
      <w:lvlRestart w:val="0"/>
      <w:pStyle w:val="Bullet"/>
      <w:lvlText w:val=""/>
      <w:lvlJc w:val="left"/>
      <w:pPr>
        <w:tabs>
          <w:tab w:val="num" w:pos="170"/>
        </w:tabs>
        <w:ind w:left="170" w:hanging="170"/>
      </w:pPr>
      <w:rPr>
        <w:rFonts w:ascii="Wingdings" w:hAnsi="Wingdings" w:hint="default"/>
        <w:color w:val="112E58"/>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CD8AA086"/>
    <w:lvl w:ilvl="0" w:tplc="3216C6D0">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6C1D81"/>
    <w:multiLevelType w:val="hybridMultilevel"/>
    <w:tmpl w:val="902ED4D0"/>
    <w:lvl w:ilvl="0" w:tplc="2DAA1CC2">
      <w:numFmt w:val="bullet"/>
      <w:lvlText w:val="-"/>
      <w:lvlJc w:val="left"/>
      <w:pPr>
        <w:ind w:left="530" w:hanging="360"/>
      </w:pPr>
      <w:rPr>
        <w:rFonts w:ascii="Franklin Gothic Book" w:eastAsia="Times New Roman" w:hAnsi="Franklin Gothic Book" w:cs="Times New Roman" w:hint="default"/>
      </w:rPr>
    </w:lvl>
    <w:lvl w:ilvl="1" w:tplc="04240003" w:tentative="1">
      <w:start w:val="1"/>
      <w:numFmt w:val="bullet"/>
      <w:lvlText w:val="o"/>
      <w:lvlJc w:val="left"/>
      <w:pPr>
        <w:ind w:left="1250" w:hanging="360"/>
      </w:pPr>
      <w:rPr>
        <w:rFonts w:ascii="Courier New" w:hAnsi="Courier New" w:cs="Courier New" w:hint="default"/>
      </w:rPr>
    </w:lvl>
    <w:lvl w:ilvl="2" w:tplc="04240005" w:tentative="1">
      <w:start w:val="1"/>
      <w:numFmt w:val="bullet"/>
      <w:lvlText w:val=""/>
      <w:lvlJc w:val="left"/>
      <w:pPr>
        <w:ind w:left="1970" w:hanging="360"/>
      </w:pPr>
      <w:rPr>
        <w:rFonts w:ascii="Wingdings" w:hAnsi="Wingdings" w:hint="default"/>
      </w:rPr>
    </w:lvl>
    <w:lvl w:ilvl="3" w:tplc="04240001" w:tentative="1">
      <w:start w:val="1"/>
      <w:numFmt w:val="bullet"/>
      <w:lvlText w:val=""/>
      <w:lvlJc w:val="left"/>
      <w:pPr>
        <w:ind w:left="2690" w:hanging="360"/>
      </w:pPr>
      <w:rPr>
        <w:rFonts w:ascii="Symbol" w:hAnsi="Symbol" w:hint="default"/>
      </w:rPr>
    </w:lvl>
    <w:lvl w:ilvl="4" w:tplc="04240003" w:tentative="1">
      <w:start w:val="1"/>
      <w:numFmt w:val="bullet"/>
      <w:lvlText w:val="o"/>
      <w:lvlJc w:val="left"/>
      <w:pPr>
        <w:ind w:left="3410" w:hanging="360"/>
      </w:pPr>
      <w:rPr>
        <w:rFonts w:ascii="Courier New" w:hAnsi="Courier New" w:cs="Courier New" w:hint="default"/>
      </w:rPr>
    </w:lvl>
    <w:lvl w:ilvl="5" w:tplc="04240005" w:tentative="1">
      <w:start w:val="1"/>
      <w:numFmt w:val="bullet"/>
      <w:lvlText w:val=""/>
      <w:lvlJc w:val="left"/>
      <w:pPr>
        <w:ind w:left="4130" w:hanging="360"/>
      </w:pPr>
      <w:rPr>
        <w:rFonts w:ascii="Wingdings" w:hAnsi="Wingdings" w:hint="default"/>
      </w:rPr>
    </w:lvl>
    <w:lvl w:ilvl="6" w:tplc="04240001" w:tentative="1">
      <w:start w:val="1"/>
      <w:numFmt w:val="bullet"/>
      <w:lvlText w:val=""/>
      <w:lvlJc w:val="left"/>
      <w:pPr>
        <w:ind w:left="4850" w:hanging="360"/>
      </w:pPr>
      <w:rPr>
        <w:rFonts w:ascii="Symbol" w:hAnsi="Symbol" w:hint="default"/>
      </w:rPr>
    </w:lvl>
    <w:lvl w:ilvl="7" w:tplc="04240003" w:tentative="1">
      <w:start w:val="1"/>
      <w:numFmt w:val="bullet"/>
      <w:lvlText w:val="o"/>
      <w:lvlJc w:val="left"/>
      <w:pPr>
        <w:ind w:left="5570" w:hanging="360"/>
      </w:pPr>
      <w:rPr>
        <w:rFonts w:ascii="Courier New" w:hAnsi="Courier New" w:cs="Courier New" w:hint="default"/>
      </w:rPr>
    </w:lvl>
    <w:lvl w:ilvl="8" w:tplc="04240005" w:tentative="1">
      <w:start w:val="1"/>
      <w:numFmt w:val="bullet"/>
      <w:lvlText w:val=""/>
      <w:lvlJc w:val="left"/>
      <w:pPr>
        <w:ind w:left="6290" w:hanging="360"/>
      </w:pPr>
      <w:rPr>
        <w:rFonts w:ascii="Wingdings" w:hAnsi="Wingdings" w:hint="default"/>
      </w:rPr>
    </w:lvl>
  </w:abstractNum>
  <w:abstractNum w:abstractNumId="5">
    <w:nsid w:val="443140D9"/>
    <w:multiLevelType w:val="hybridMultilevel"/>
    <w:tmpl w:val="40E26DE4"/>
    <w:lvl w:ilvl="0" w:tplc="DFE28CA6">
      <w:start w:val="1"/>
      <w:numFmt w:val="bullet"/>
      <w:lvlRestart w:val="0"/>
      <w:pStyle w:val="Bulletbold"/>
      <w:lvlText w:val=""/>
      <w:lvlJc w:val="left"/>
      <w:pPr>
        <w:tabs>
          <w:tab w:val="num" w:pos="170"/>
        </w:tabs>
        <w:ind w:left="170" w:hanging="170"/>
      </w:pPr>
      <w:rPr>
        <w:rFonts w:ascii="Wingdings" w:hAnsi="Wingdings" w:hint="default"/>
        <w:color w:val="112E58"/>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5F798E"/>
    <w:multiLevelType w:val="multilevel"/>
    <w:tmpl w:val="3FCE13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46FE4487"/>
    <w:multiLevelType w:val="singleLevel"/>
    <w:tmpl w:val="86EEE6A8"/>
    <w:lvl w:ilvl="0">
      <w:start w:val="1"/>
      <w:numFmt w:val="decimal"/>
      <w:pStyle w:val="TOC2"/>
      <w:lvlText w:val="%1."/>
      <w:lvlJc w:val="left"/>
      <w:pPr>
        <w:tabs>
          <w:tab w:val="num" w:pos="360"/>
        </w:tabs>
        <w:ind w:left="360" w:hanging="360"/>
      </w:pPr>
    </w:lvl>
  </w:abstractNum>
  <w:abstractNum w:abstractNumId="8">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9">
    <w:nsid w:val="4F147D09"/>
    <w:multiLevelType w:val="hybridMultilevel"/>
    <w:tmpl w:val="0C3E2140"/>
    <w:lvl w:ilvl="0" w:tplc="09C0808C">
      <w:start w:val="1"/>
      <w:numFmt w:val="bullet"/>
      <w:lvlRestart w:val="0"/>
      <w:pStyle w:val="Bulletcolored"/>
      <w:lvlText w:val=""/>
      <w:lvlJc w:val="left"/>
      <w:pPr>
        <w:tabs>
          <w:tab w:val="num" w:pos="170"/>
        </w:tabs>
        <w:ind w:left="170" w:hanging="170"/>
      </w:pPr>
      <w:rPr>
        <w:rFonts w:ascii="Wingdings" w:hAnsi="Wingdings" w:hint="default"/>
        <w:color w:val="112E58"/>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1">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8"/>
  </w:num>
  <w:num w:numId="3">
    <w:abstractNumId w:val="10"/>
  </w:num>
  <w:num w:numId="4">
    <w:abstractNumId w:val="7"/>
  </w:num>
  <w:num w:numId="5">
    <w:abstractNumId w:val="1"/>
  </w:num>
  <w:num w:numId="6">
    <w:abstractNumId w:val="12"/>
  </w:num>
  <w:num w:numId="7">
    <w:abstractNumId w:val="3"/>
  </w:num>
  <w:num w:numId="8">
    <w:abstractNumId w:val="1"/>
  </w:num>
  <w:num w:numId="9">
    <w:abstractNumId w:val="5"/>
  </w:num>
  <w:num w:numId="10">
    <w:abstractNumId w:val="2"/>
  </w:num>
  <w:num w:numId="11">
    <w:abstractNumId w:val="9"/>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stylePaneFormatFilter w:val="3F01"/>
  <w:defaultTabStop w:val="720"/>
  <w:hyphenationZone w:val="425"/>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4098"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2"/>
    </o:shapelayout>
  </w:hdrShapeDefaults>
  <w:footnotePr>
    <w:footnote w:id="0"/>
    <w:footnote w:id="1"/>
  </w:footnotePr>
  <w:endnotePr>
    <w:endnote w:id="0"/>
    <w:endnote w:id="1"/>
  </w:endnotePr>
  <w:compat/>
  <w:docVars>
    <w:docVar w:name="ACTIVATED" w:val="1"/>
    <w:docVar w:name="CHKITEM" w:val="0"/>
    <w:docVar w:name="ColorHalfRGB" w:val="16750848"/>
    <w:docVar w:name="ColorName" w:val="MS Dynamics"/>
    <w:docVar w:name="ColorRGB" w:val="5778961"/>
    <w:docVar w:name="ComboBox1_ListCount" w:val="0"/>
    <w:docVar w:name="ComboBox1_ListIndex" w:val="-1"/>
    <w:docVar w:name="lbColour_0_0" w:val="Red"/>
    <w:docVar w:name="lbColour_0_1" w:val="13311"/>
    <w:docVar w:name="lbColour_0_2" w:val="9019391"/>
    <w:docVar w:name="lbColour_0_SELECTED" w:val="0"/>
    <w:docVar w:name="lbColour_1_0" w:val="Blue"/>
    <w:docVar w:name="lbColour_1_1" w:val="16750848"/>
    <w:docVar w:name="lbColour_1_2" w:val="16765585"/>
    <w:docVar w:name="lbColour_1_SELECTED" w:val="0"/>
    <w:docVar w:name="lbColour_2_0" w:val="Green"/>
    <w:docVar w:name="lbColour_2_1" w:val="3394662"/>
    <w:docVar w:name="lbColour_2_2" w:val="11004349"/>
    <w:docVar w:name="lbColour_2_SELECTED" w:val="0"/>
    <w:docVar w:name="lbColour_3_0" w:val="Grey"/>
    <w:docVar w:name="lbColour_3_1" w:val="10066329"/>
    <w:docVar w:name="lbColour_3_2" w:val="12632256"/>
    <w:docVar w:name="lbColour_3_SELECTED" w:val="0"/>
    <w:docVar w:name="lbColour_4_0" w:val="Yellow"/>
    <w:docVar w:name="lbColour_4_1" w:val="52479"/>
    <w:docVar w:name="lbColour_4_2" w:val="12632256"/>
    <w:docVar w:name="lbColour_4_SELECTED" w:val="0"/>
    <w:docVar w:name="lbColour_5_0" w:val="Dark blue"/>
    <w:docVar w:name="lbColour_5_1" w:val="5778961"/>
    <w:docVar w:name="lbColour_5_2" w:val="12632256"/>
    <w:docVar w:name="lbColour_5_SELECTED" w:val="0"/>
    <w:docVar w:name="lbColour_6_0" w:val="Dark red"/>
    <w:docVar w:name="lbColour_6_1" w:val="1316205"/>
    <w:docVar w:name="lbColour_6_2" w:val="12632256"/>
    <w:docVar w:name="lbColour_6_SELECTED" w:val="0"/>
    <w:docVar w:name="lbColour_7_0" w:val="Dark green"/>
    <w:docVar w:name="lbColour_7_1" w:val="2447360"/>
    <w:docVar w:name="lbColour_7_2" w:val="12632256"/>
    <w:docVar w:name="lbColour_7_SELECTED" w:val="0"/>
    <w:docVar w:name="lbColour_8_0" w:val="Dark yellow"/>
    <w:docVar w:name="lbColour_8_1" w:val="1531880"/>
    <w:docVar w:name="lbColour_8_2" w:val="12632256"/>
    <w:docVar w:name="lbColour_8_SELECTED" w:val="0"/>
    <w:docVar w:name="lbColour_9_0" w:val="MS Dynamics"/>
    <w:docVar w:name="lbColour_9_1" w:val="5778961"/>
    <w:docVar w:name="lbColour_9_2" w:val="16750848"/>
    <w:docVar w:name="lbColour_9_SELECTED" w:val="-1"/>
    <w:docVar w:name="lbColour_ListCount" w:val="10"/>
    <w:docVar w:name="lbColour_ListIndex" w:val="9"/>
    <w:docVar w:name="lbList_0_0" w:val="Products"/>
    <w:docVar w:name="lbList_0_1" w:val="Microsoft Dynamics NAV"/>
    <w:docVar w:name="lbList_0_2" w:val="006"/>
    <w:docVar w:name="lbList_0_SELECTED" w:val="-1"/>
    <w:docVar w:name="lbList_ListCount" w:val="1"/>
    <w:docVar w:name="lbList_ListIndex" w:val="0"/>
    <w:docVar w:name="lbOffice_ListCount" w:val="0"/>
    <w:docVar w:name="lbOffice_ListIndex" w:val="-1"/>
    <w:docVar w:name="lbProductList_0_0" w:val=" DEFAULT"/>
    <w:docVar w:name="lbProductList_0_SELECTED" w:val="0"/>
    <w:docVar w:name="lbProductList_1_0" w:val=".NET Framework 3.0"/>
    <w:docVar w:name="lbProductList_1_SELECTED" w:val="0"/>
    <w:docVar w:name="lbProductList_10_0" w:val="Biztalk"/>
    <w:docVar w:name="lbProductList_10_SELECTED" w:val="0"/>
    <w:docVar w:name="lbProductList_11_0" w:val="CMS"/>
    <w:docVar w:name="lbProductList_11_SELECTED" w:val="0"/>
    <w:docVar w:name="lbProductList_12_0" w:val="Commerce Server"/>
    <w:docVar w:name="lbProductList_12_SELECTED" w:val="0"/>
    <w:docVar w:name="lbProductList_13_0" w:val="Communications Sector"/>
    <w:docVar w:name="lbProductList_13_SELECTED" w:val="0"/>
    <w:docVar w:name="lbProductList_14_0" w:val="Dynamics"/>
    <w:docVar w:name="lbProductList_14_SELECTED" w:val="-1"/>
    <w:docVar w:name="lbProductList_15_0" w:val="Enterprise Integration"/>
    <w:docVar w:name="lbProductList_15_SELECTED" w:val="0"/>
    <w:docVar w:name="lbProductList_16_0" w:val="Exchange 2000"/>
    <w:docVar w:name="lbProductList_16_SELECTED" w:val="0"/>
    <w:docVar w:name="lbProductList_17_0" w:val="Exchange 2003"/>
    <w:docVar w:name="lbProductList_17_SELECTED" w:val="0"/>
    <w:docVar w:name="lbProductList_18_0" w:val="Exchange 2007"/>
    <w:docVar w:name="lbProductList_18_SELECTED" w:val="0"/>
    <w:docVar w:name="lbProductList_19_0" w:val="Forefront"/>
    <w:docVar w:name="lbProductList_19_SELECTED" w:val="0"/>
    <w:docVar w:name="lbProductList_2_0" w:val=".NET"/>
    <w:docVar w:name="lbProductList_2_SELECTED" w:val="0"/>
    <w:docVar w:name="lbProductList_20_0" w:val="Groove Virtual Office"/>
    <w:docVar w:name="lbProductList_20_SELECTED" w:val="0"/>
    <w:docVar w:name="lbProductList_21_0" w:val="Internet Business"/>
    <w:docVar w:name="lbProductList_21_SELECTED" w:val="0"/>
    <w:docVar w:name="lbProductList_22_0" w:val="Interoperability"/>
    <w:docVar w:name="lbProductList_22_SELECTED" w:val="0"/>
    <w:docVar w:name="lbProductList_23_0" w:val="ISA"/>
    <w:docVar w:name="lbProductList_23_SELECTED" w:val="0"/>
    <w:docVar w:name="lbProductList_24_0" w:val="Macintosh Business Unit"/>
    <w:docVar w:name="lbProductList_24_SELECTED" w:val="0"/>
    <w:docVar w:name="lbProductList_25_0" w:val="MBS"/>
    <w:docVar w:name="lbProductList_25_SELECTED" w:val="0"/>
    <w:docVar w:name="lbProductList_26_0" w:val="MBS_RMS"/>
    <w:docVar w:name="lbProductList_26_SELECTED" w:val="0"/>
    <w:docVar w:name="lbProductList_27_0" w:val="MCSE"/>
    <w:docVar w:name="lbProductList_27_SELECTED" w:val="0"/>
    <w:docVar w:name="lbProductList_28_0" w:val="Microsoft Learning"/>
    <w:docVar w:name="lbProductList_28_SELECTED" w:val="0"/>
    <w:docVar w:name="lbProductList_29_0" w:val="Microsoft Server"/>
    <w:docVar w:name="lbProductList_29_SELECTED" w:val="0"/>
    <w:docVar w:name="lbProductList_3_0" w:val="Active Directory"/>
    <w:docVar w:name="lbProductList_3_SELECTED" w:val="0"/>
    <w:docVar w:name="lbProductList_30_0" w:val="Microsoft Services"/>
    <w:docVar w:name="lbProductList_30_SELECTED" w:val="0"/>
    <w:docVar w:name="lbProductList_31_0" w:val="MSA"/>
    <w:docVar w:name="lbProductList_31_SELECTED" w:val="0"/>
    <w:docVar w:name="lbProductList_32_0" w:val="MSPP"/>
    <w:docVar w:name="lbProductList_32_SELECTED" w:val="0"/>
    <w:docVar w:name="lbProductList_33_0" w:val="MTC"/>
    <w:docVar w:name="lbProductList_33_SELECTED" w:val="0"/>
    <w:docVar w:name="lbProductList_34_0" w:val="Office System"/>
    <w:docVar w:name="lbProductList_34_SELECTED" w:val="0"/>
    <w:docVar w:name="lbProductList_35_0" w:val="Office_Exchange"/>
    <w:docVar w:name="lbProductList_35_SELECTED" w:val="0"/>
    <w:docVar w:name="lbProductList_36_0" w:val="Office_Exchange_Vista"/>
    <w:docVar w:name="lbProductList_36_SELECTED" w:val="0"/>
    <w:docVar w:name="lbProductList_37_0" w:val="Office_Vista"/>
    <w:docVar w:name="lbProductList_37_SELECTED" w:val="0"/>
    <w:docVar w:name="lbProductList_38_0" w:val="Portals"/>
    <w:docVar w:name="lbProductList_38_SELECTED" w:val="0"/>
    <w:docVar w:name="lbProductList_39_0" w:val="Project EPM"/>
    <w:docVar w:name="lbProductList_39_SELECTED" w:val="0"/>
    <w:docVar w:name="lbProductList_4_0" w:val="Basic to Standardized"/>
    <w:docVar w:name="lbProductList_4_SELECTED" w:val="0"/>
    <w:docVar w:name="lbProductList_40_0" w:val="Project_Six_Sigma"/>
    <w:docVar w:name="lbProductList_40_SELECTED" w:val="0"/>
    <w:docVar w:name="lbProductList_41_0" w:val="Rationalized to Dynamic"/>
    <w:docVar w:name="lbProductList_41_SELECTED" w:val="0"/>
    <w:docVar w:name="lbProductList_42_0" w:val="RMS"/>
    <w:docVar w:name="lbProductList_42_SELECTED" w:val="0"/>
    <w:docVar w:name="lbProductList_43_0" w:val="SAM"/>
    <w:docVar w:name="lbProductList_43_SELECTED" w:val="0"/>
    <w:docVar w:name="lbProductList_44_0" w:val="Server Consolidation"/>
    <w:docVar w:name="lbProductList_44_SELECTED" w:val="0"/>
    <w:docVar w:name="lbProductList_45_0" w:val="Small Business Server 2003"/>
    <w:docVar w:name="lbProductList_45_SELECTED" w:val="0"/>
    <w:docVar w:name="lbProductList_46_0" w:val="SMS"/>
    <w:docVar w:name="lbProductList_46_SELECTED" w:val="0"/>
    <w:docVar w:name="lbProductList_47_0" w:val="SQL Server"/>
    <w:docVar w:name="lbProductList_47_SELECTED" w:val="0"/>
    <w:docVar w:name="lbProductList_48_0" w:val="Standardized to Rationalized"/>
    <w:docVar w:name="lbProductList_48_SELECTED" w:val="0"/>
    <w:docVar w:name="lbProductList_49_0" w:val="Tablet PC"/>
    <w:docVar w:name="lbProductList_49_SELECTED" w:val="0"/>
    <w:docVar w:name="lbProductList_5_0" w:val="BDM Financial Services"/>
    <w:docVar w:name="lbProductList_5_SELECTED" w:val="0"/>
    <w:docVar w:name="lbProductList_50_0" w:val="Visio"/>
    <w:docVar w:name="lbProductList_50_SELECTED" w:val="0"/>
    <w:docVar w:name="lbProductList_51_0" w:val="Visual Studio"/>
    <w:docVar w:name="lbProductList_51_SELECTED" w:val="0"/>
    <w:docVar w:name="lbProductList_52_0" w:val="Volume Licensing"/>
    <w:docVar w:name="lbProductList_52_SELECTED" w:val="0"/>
    <w:docVar w:name="lbProductList_53_0" w:val="VS.NET"/>
    <w:docVar w:name="lbProductList_53_SELECTED" w:val="0"/>
    <w:docVar w:name="lbProductList_54_0" w:val="Windows Desktop Search"/>
    <w:docVar w:name="lbProductList_54_SELECTED" w:val="0"/>
    <w:docVar w:name="lbProductList_55_0" w:val="Windows Embedded"/>
    <w:docVar w:name="lbProductList_55_SELECTED" w:val="0"/>
    <w:docVar w:name="lbProductList_56_0" w:val="Windows Mobile"/>
    <w:docVar w:name="lbProductList_56_SELECTED" w:val="0"/>
    <w:docVar w:name="lbProductList_57_0" w:val="Windows Server 2003 R2"/>
    <w:docVar w:name="lbProductList_57_SELECTED" w:val="0"/>
    <w:docVar w:name="lbProductList_58_0" w:val="Windows Server 2003"/>
    <w:docVar w:name="lbProductList_58_SELECTED" w:val="0"/>
    <w:docVar w:name="lbProductList_59_0" w:val="Windows Server System"/>
    <w:docVar w:name="lbProductList_59_SELECTED" w:val="0"/>
    <w:docVar w:name="lbProductList_6_0" w:val="BDM Healthcare Services"/>
    <w:docVar w:name="lbProductList_6_SELECTED" w:val="0"/>
    <w:docVar w:name="lbProductList_60_0" w:val="Windows Vista"/>
    <w:docVar w:name="lbProductList_60_SELECTED" w:val="0"/>
    <w:docVar w:name="lbProductList_61_0" w:val="Windows XP"/>
    <w:docVar w:name="lbProductList_61_SELECTED" w:val="0"/>
    <w:docVar w:name="lbProductList_7_0" w:val="BDM Manufacturing"/>
    <w:docVar w:name="lbProductList_7_SELECTED" w:val="0"/>
    <w:docVar w:name="lbProductList_8_0" w:val="BDM Retail"/>
    <w:docVar w:name="lbProductList_8_SELECTED" w:val="0"/>
    <w:docVar w:name="lbProductList_9_0" w:val="BI"/>
    <w:docVar w:name="lbProductList_9_SELECTED" w:val="0"/>
    <w:docVar w:name="lbProductList_ListCount" w:val="62"/>
    <w:docVar w:name="lbProductList_ListIndex" w:val="14"/>
    <w:docVar w:name="RERUN" w:val="1"/>
    <w:docVar w:name="tbDatePublished" w:val="december 2007"/>
    <w:docVar w:name="tbDisclaimer1" w:val="This case study is for informational purposes only. MICROSOFT MAKES NO WARRANTIES, EXPRESS OR IMPLIED, IN THIS SUMMARY."/>
    <w:docVar w:name="tbDocumentBenefits" w:val="Z uvedbo novega sistema so v IJS pridobili zmogljivo in odprto rešitev, ki jim zagotavlja potrebne funkcionalnosti. Med najpomembnejšimi prednostmi so napredne možnosti za upravljanje projektov, ki jih zagotavlja Microsoft Dynamics NAV v navezi z dodatnimi razširitvami. Olajšano je načrtovanje virov, časa in sredstev kot tudi obračunavanje končanih projektov, saj so vsi podatki vključeni v enoten in integriran sistem, kar nudi izredno podroben vpogled v stanje posameznih projektov. _x000a__x000a_Druga pomembna lastnost novega sistema je kadrovska evidenca in spremljanje zasedenosti posameznih zaposlenih. »Projektno vodenje vedno temelji na kadrih in integracija kadrovske evidence v celoten sistem je za nas izredno pomembna,« je pojasnil Korbar. »Za vsakega posameznika vemo, kako obremenjen je, kdaj je na voljo in kakšne so razpoložljive kapacitete za pridobivanje projektov.«_x000a__x000a_S celovito kadrovsko evidenco in naprednimi možnostmi za upravljanje projektov so v IJS pridobili izredno zmogljivo orodje za spremljanje poslovanja v organizaciji. Za vsak projekt posebej lahko v IJS spremljajo uporabo virov ter finančne vidike projekta, ki vključujejo plačila, prihodke in stroške. Na ta način so pridobili celovito sliko na ravni posameznih projektov in celotnega instituta. _x000a__x000a_V institutu  so lahko z novim sistemom izvedli tudi interno obračunavanje storitev, ki jih zagotavljajo interne službe za podporo zaposlenim in oddelkom. Obračunavanje storitev je z novim sistemom preprosto in omogoča interno izstavljanje računov, kar še poveča transparentnost poslovanja. Prav tako se vsi podatki shranjujejo v enoten sistem, kar vodilnim delavcem omogoča, da svoje odločitve sprejemajo na podlagi kakovostnih podatkov. Prav tako ni več potrebe po podvojenem vnašanju podatkov, saj se vsi podatki iz različnih modulov in razširitev shranjujejo v enotni podatkovni zbirki. _x000a__x000a_»Pomembna prednost je tudi odprtost sistema, ki nam omogoča pripravo različnih poročil,« je poudaril Korbar. »V starem sistemu so imeli zaposleni na voljo številna prilagojena poročila, ki so jih potrebovali pri svojem delu. Z Dynamics NAV lahko ta interna poročila zagotovimo v skladu z njihovimi potrebami.«_x000a__x000a_Na IJS so na področju poročil že zagotovili obvezna poročila, kot so bilanca uspeha in stanja ter izkaz denarnih tokov. V prihodnosti načrtujejo, da bodo poročilom za zunanje organizacije dodali tudi več poročil za interne skupine in uporabnike. Na institutu še ocenjujejo, ali bodo izkoristili obstoječe funkcionalnosti sistema Dynamics NAV ali pa se bodo odločili za samostojno rešitev za poslovno poročanje. _x000a_"/>
    <w:docVar w:name="tbDocumentFirstPageBody" w:val="Institut Jožef Stefan (IJS) je vrhunska slovenska raziskovalna in razvojna ustanova, ki uspešno deluje na slovenskem in mednarodnih trgih raziskovalnih in razvojnih storitev. _x000a__x000a_Organizacija se je ob prehodu na evro odločila za uvedbo novega poslovnega informacijskega sistema, ki bi jim zagotavljal učinkovito podporo projektnemu delu, na podlagi katerega je institut organiziran. _x000a__x000a_IJS je iskal integrirano rešitev, ki bi združevala upravljanje projektov in spremljanje razpoložljivosti človeških virov z finančno računovodskimi aplikacijami. Institut se je odločil za vpeljavo rešitve Microsoft Dynamics NAV z dodatki, ki podpirajo specifične zahteve poslovanja na institutu. "/>
    <w:docVar w:name="tbDocumentIntroduction" w:val="Z novim sistemom za vsakega posameznika vemo, kako obremenjen je, kdaj je na voljo in kakšne so razpoložljive kapacitete za pridobivanje projektov."/>
    <w:docVar w:name="tbDocumentIntroductionCredit" w:val="Darko Korbar, (naziv), Institut Jožef Stefan"/>
    <w:docVar w:name="tbDocumentSituation" w:val="Institut Jožef Stefan (IJS) je vrhunska slovenska raziskovalna in razvojna ustanova, ki deluje na številnih področjih  kot so nanotehnologije, novi materiali, biotehnologije, tehnologije vodenja in proizvodnje, komunikacijske tehnologije, računalniške tehnologije in tehnologije znanja, okoljske tehnologije in reaktorske tehnologije. _x000a__x000a_Institut sodeluje z mnogimi uglednimi institucijami po svetu, organizira mednarodne konference, sodeluje na mednarodnih razstavah, poleg tega pa po najboljših močeh skrbi za mednarodno izmenjavo strokovnjakov. Institut večino svojih prihodkov ustvarja preko različnih projektov, ki jih izvaja za naročnike, med katerimi so različne državne in zasebne organizacije. _x000a__x000a_»Kot storitvenag organizacija dosegamo preko prodaje s projekti,« je povedal Darko Korbar, (naziv), IJS. »Iz tega razloga je nujno, da poslovanje spremljamo na ravni projektov, kar vključuje tako finančne postavke kot tudi razpoložljivost in izkoristek človeških virov.«_x000a__x000a_IJS je v preteklosti uporabljal lasten poslovno informacijski sistem, vendar so ob prehodu na evro ugotovili, da nadgradnja ali prenova ni možna. Zaradi tega je institut želel prenoviti svoj obstoječi informacijski sistem, kar bi jim poleg podpore za evro zagotovilo tudi nove funkcionalnosti in poenostavljeno delo ter dodatne možnosti pri upravljanju človeških virov. _x000a__x000a_Institut je že v avgustu 2004 objavilo javni razpis, kjer so izbrali ponudnika, ki pa ni zagotovil potrebne kakovosti pri izvedbi projekta, zaradi česar je IJS konec leta 2005 prekinil sodelovanje. V prvi polovici leta 2006 je tako IJS opravil podrobno analizo svojih poslovnih procesov ter pripravil nov javni razpis, s katerim so iskali rešitev za podporo svojemu poslovanju. _x000a__x000a_»Med osnovne zahteve smo postavili integriran poslovni informacijski sistem, ki bi povezoval vse funkcije poslovanja in deloval na osnovi enkratnega vnosa podatkov,« je povedal Korbar. »Poleg tega smo iskali sistem, ki bi bil odprt za nadgradnje in prilagoditve, ki jih potrebuje specifično poslovanje instituta.«_x000a__x000a_Med posebnimi zahtevami so bile napredne zmožnosti projektnega vodenja od porabe časa do planiranja in finančnega spremljanja projektov. Prav tako so na IJS iskali rešitev kadrovse evidence, ki bi bila dovolj razširljiva, da bi podprla različne zahteve, kot so razpreditev sodelavca na več delovnih mestih, strokovne nazive, različna mentorstva in druge. _x000a__x000a_Posebne zahteve je imel institut tudi na področju finančno računovodskega dela rešitve, kjer je organizacija zahtevala posebne prilagoditve za finančne izkaze javne službe in lastnih dejavnosti. _x000a_"/>
    <w:docVar w:name="tbDocumentSolution" w:val="IJS je na razpisu, na katerem je sodelovalo večje število domačih in tujih ponudnikov, izbral podjetje Microsoft, ki je na razpisu sodelovalo s svojima slovenskima partnerjema Spin in NPS. Skupina je predstavila koncept rešitve, ki temelji na poslovnem informacijskem sistemu Microsoft Dynamics NAV in dodatnih modulih neodvisnih ponudnikov za potrebe kadrovske evidence in projektno vodenje. _x000a__x000a_»Uvedbo sistema smo morali izvesti v enem letu, zaradi česar smo iskali rešitev, ki bi že v standardni obliki nudil večino potrebnih funkcionalnosti,« je povedal Korbar. »Z Dynamics NAV smo pridobili odprto platformo, ki smo jo lahko nadgradili s potrebnimi dodatki.«_x000a__x000a_Rešitev Dynamics NAV je nameščena na operacijskem sistemu Windows Server xxxx in podatkovnem strežniku Microsoft SQL Server xxxx, ki zagotavljata zanesljivo in zmogljivo platformo za poslovno informacijski sistem. Poleg večine modulov Microsoft Dynamics NAV so na IJS vpeljali tudi dodatne module za potrebe vodenja projektov in kadrovsko evidenco. _x000a__x000a_Rešitev TimeTrack omogoča zaposlenim, da preko portala SharePoint vnašajo podatke o svojem delu in porabljenem času. Podatki, ki so vnešeni v modul so na voljo drugim modulom v sistemu Dynamics NAV, kot so modul za plače, stroški dela ter glavna knjiga. Z medsebojno integracijo podatkov se je mogoče izogniti večkratnemu vnosu podatkov v različne module, obenem pa so uporabnikom in vodjam projektov na voljo podatki o človeških virih v realnem času. _x000a__x000a_Za potrebe vodenja projektov je bil uporabljen dodatek podjetja Top Solutions, ki omgoča preprosto upravljanje in vodenje večjega števila projektov istočasno. Za posamezne projekte je mogoče voditi različne izdatke, kot so poraba časa ali zunanji računi, kar izboljša vpogled v stanje in stroške projekta. _x000a__x000a_Poseben izziv namestitve je bil kratek časovni rok, saj je bilo potrebno zagotoviti delovanje sistema pred 1. januarjem 2007, ko je Slovenija uradno prevzela evro. »Kratek časovni rok nam ni omogočil, da bi oba sistema delovala vzporedno,« je povedal Korbar. »Imamo zelo integriran sistem, kjer so projekti izredno tesno povezani s finačnimi in računovodskimi aplikacijami, zaradi česar je bil postopek namestitev izredno zahteven.«_x000a_"/>
    <w:docVar w:name="tbDocumentTitle" w:val="Popoln vpogled v projektno delo"/>
    <w:docVar w:name="tbOverviewBenefits1" w:val="Boljši pregled nad projekti"/>
    <w:docVar w:name="tbOverviewBenefits2" w:val="Natančen vpogled v človeške vi"/>
    <w:docVar w:name="tbOverviewBenefits3" w:val="Podpora za evro"/>
    <w:docVar w:name="tbOverviewBenefits4" w:val="Odprtost za ustvarjanje poroči"/>
    <w:docVar w:name="tbOverviewBusinessSituation" w:val="Ob prehodu na evro obstoječega poslovnega informacijskega sistema ni bilo mogoče nadgraditi z novimi funkcionalnostmi. IJS je tako pričel iskati rešitev, ki bi podprla poslovanje na institutu. "/>
    <w:docVar w:name="tbOverviewCountry" w:val="Slovenija"/>
    <w:docVar w:name="tbOverviewCustomerProfile" w:val="Institut Jožef Stefan (IJS) je vrhunska slovenska raziskovalna in razvojna ustanova, ki uspešno deluje na slovenskem in mednarodnih trgih raziskovalnih in razvojnih storitev. "/>
    <w:docVar w:name="tbOverviewIndustry" w:val="Raziskovalna dejavnost"/>
    <w:docVar w:name="tbOverviewSolution" w:val="Podjetje se je odločilo za uvedbo rešitve Microsoft Dynamics NAV z dodatki za vodenje kadrovske evidence in upravljanje projektov. "/>
    <w:docVar w:name="tbProductBoilerplateText" w:val="Microsoft Dynamics is a line of integrated, adaptable business management solutions that enables you and your people to make business decisions with greater confidence. Microsoft Dynamics works like familiar Microsoft software such as Microsoft Office, which means less of a learning curve for your people, so they can get up and running quickly and focus on what’s most important. And because it is from Microsoft, it easily works with the systems that your company already has implemented. By automating and streamlining financial, customer relationship, and supply chain processes, Microsoft Dynamics brings together people, processes, and technologies, increasing the productivity and effectiveness of your business, and helping you drive business success. _x000a_ _x000a_For more information about Microsoft Dynamics, go to:_x000a_www.microsoft.com/dynamics  _x000a__x000a_ "/>
    <w:docVar w:name="tbProductBoilerplateTitle" w:val="Microsoft Dynamics"/>
    <w:docVar w:name="tbProductTitle" w:val="Microsoft Dynamics_x000a_Customer Solution Case Study"/>
  </w:docVars>
  <w:rsids>
    <w:rsidRoot w:val="00185B03"/>
    <w:rsid w:val="00017222"/>
    <w:rsid w:val="000358E7"/>
    <w:rsid w:val="00040D2A"/>
    <w:rsid w:val="00095B46"/>
    <w:rsid w:val="0011196B"/>
    <w:rsid w:val="001339A1"/>
    <w:rsid w:val="00145152"/>
    <w:rsid w:val="00185B03"/>
    <w:rsid w:val="001D1697"/>
    <w:rsid w:val="001F3482"/>
    <w:rsid w:val="00200C2A"/>
    <w:rsid w:val="0023200F"/>
    <w:rsid w:val="00241E2E"/>
    <w:rsid w:val="00283CE9"/>
    <w:rsid w:val="002D689B"/>
    <w:rsid w:val="002E40AA"/>
    <w:rsid w:val="002E58DF"/>
    <w:rsid w:val="003051F2"/>
    <w:rsid w:val="003119F1"/>
    <w:rsid w:val="0034748E"/>
    <w:rsid w:val="00372441"/>
    <w:rsid w:val="00396B14"/>
    <w:rsid w:val="003C383F"/>
    <w:rsid w:val="003E052D"/>
    <w:rsid w:val="00406277"/>
    <w:rsid w:val="00433B41"/>
    <w:rsid w:val="004C56CD"/>
    <w:rsid w:val="004F5B4D"/>
    <w:rsid w:val="005A069D"/>
    <w:rsid w:val="005A3E37"/>
    <w:rsid w:val="00640EAD"/>
    <w:rsid w:val="00682BC8"/>
    <w:rsid w:val="006D1F15"/>
    <w:rsid w:val="006E199B"/>
    <w:rsid w:val="006E5542"/>
    <w:rsid w:val="007179E4"/>
    <w:rsid w:val="00726138"/>
    <w:rsid w:val="007E7F12"/>
    <w:rsid w:val="0083437E"/>
    <w:rsid w:val="00852B13"/>
    <w:rsid w:val="008A1E86"/>
    <w:rsid w:val="0092417C"/>
    <w:rsid w:val="00942705"/>
    <w:rsid w:val="009544BA"/>
    <w:rsid w:val="00961BCE"/>
    <w:rsid w:val="00992495"/>
    <w:rsid w:val="009A2F72"/>
    <w:rsid w:val="009A3B28"/>
    <w:rsid w:val="009C7FB0"/>
    <w:rsid w:val="009F6063"/>
    <w:rsid w:val="00A0798F"/>
    <w:rsid w:val="00A251A7"/>
    <w:rsid w:val="00A34585"/>
    <w:rsid w:val="00A3635A"/>
    <w:rsid w:val="00A46D64"/>
    <w:rsid w:val="00A804C4"/>
    <w:rsid w:val="00A8267B"/>
    <w:rsid w:val="00A97CF3"/>
    <w:rsid w:val="00B13388"/>
    <w:rsid w:val="00B205AD"/>
    <w:rsid w:val="00B5733F"/>
    <w:rsid w:val="00B73B29"/>
    <w:rsid w:val="00B86103"/>
    <w:rsid w:val="00B92AD9"/>
    <w:rsid w:val="00BA21EE"/>
    <w:rsid w:val="00BE16C4"/>
    <w:rsid w:val="00C247AE"/>
    <w:rsid w:val="00C40E49"/>
    <w:rsid w:val="00C77127"/>
    <w:rsid w:val="00CA2B23"/>
    <w:rsid w:val="00CB1FEA"/>
    <w:rsid w:val="00D03B5C"/>
    <w:rsid w:val="00D547A2"/>
    <w:rsid w:val="00D564CD"/>
    <w:rsid w:val="00D805C2"/>
    <w:rsid w:val="00DA283E"/>
    <w:rsid w:val="00DC0A98"/>
    <w:rsid w:val="00E023BD"/>
    <w:rsid w:val="00E15CD0"/>
    <w:rsid w:val="00E20922"/>
    <w:rsid w:val="00E245B7"/>
    <w:rsid w:val="00E431E6"/>
    <w:rsid w:val="00E43405"/>
    <w:rsid w:val="00E95D10"/>
    <w:rsid w:val="00F056D5"/>
    <w:rsid w:val="00F2236B"/>
    <w:rsid w:val="00F63AF6"/>
    <w:rsid w:val="00FB1D53"/>
    <w:rsid w:val="00FC51A2"/>
    <w:rsid w:val="00FD347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798F"/>
    <w:rPr>
      <w:rFonts w:ascii="Franklin Gothic Book" w:hAnsi="Franklin Gothic Book"/>
      <w:sz w:val="17"/>
      <w:szCs w:val="24"/>
      <w:lang w:val="en-GB" w:eastAsia="en-US"/>
    </w:rPr>
  </w:style>
  <w:style w:type="paragraph" w:styleId="Heading1">
    <w:name w:val="heading 1"/>
    <w:basedOn w:val="Normal"/>
    <w:next w:val="Normal"/>
    <w:qFormat/>
    <w:rsid w:val="00A0798F"/>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rsid w:val="00A0798F"/>
    <w:pPr>
      <w:tabs>
        <w:tab w:val="num" w:pos="1440"/>
      </w:tabs>
      <w:spacing w:after="240"/>
      <w:ind w:left="1440" w:hanging="720"/>
      <w:jc w:val="left"/>
      <w:outlineLvl w:val="1"/>
    </w:pPr>
    <w:rPr>
      <w:kern w:val="0"/>
      <w:sz w:val="26"/>
    </w:rPr>
  </w:style>
  <w:style w:type="paragraph" w:styleId="Heading3">
    <w:name w:val="heading 3"/>
    <w:basedOn w:val="Normal"/>
    <w:next w:val="Normal"/>
    <w:qFormat/>
    <w:rsid w:val="00A0798F"/>
    <w:pPr>
      <w:keepNext/>
      <w:numPr>
        <w:ilvl w:val="2"/>
        <w:numId w:val="6"/>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rsid w:val="00A0798F"/>
    <w:pPr>
      <w:keepNext/>
      <w:spacing w:before="240" w:after="60"/>
      <w:outlineLvl w:val="3"/>
    </w:pPr>
    <w:rPr>
      <w:rFonts w:ascii="Arial" w:hAnsi="Arial"/>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A0798F"/>
    <w:pPr>
      <w:ind w:left="1134"/>
    </w:pPr>
    <w:rPr>
      <w:rFonts w:ascii="Lucida Sans Typewriter" w:hAnsi="Lucida Sans Typewriter"/>
      <w:sz w:val="20"/>
    </w:rPr>
  </w:style>
  <w:style w:type="paragraph" w:styleId="Footer">
    <w:name w:val="footer"/>
    <w:basedOn w:val="Normal"/>
    <w:rsid w:val="00A0798F"/>
    <w:pPr>
      <w:tabs>
        <w:tab w:val="center" w:pos="4153"/>
        <w:tab w:val="right" w:pos="8306"/>
      </w:tabs>
    </w:pPr>
  </w:style>
  <w:style w:type="paragraph" w:styleId="Header">
    <w:name w:val="header"/>
    <w:basedOn w:val="Normal"/>
    <w:rsid w:val="00A0798F"/>
    <w:pPr>
      <w:tabs>
        <w:tab w:val="center" w:pos="4153"/>
        <w:tab w:val="right" w:pos="8306"/>
      </w:tabs>
      <w:jc w:val="both"/>
    </w:pPr>
    <w:rPr>
      <w:sz w:val="16"/>
      <w:szCs w:val="20"/>
      <w:lang w:bidi="he-IL"/>
    </w:rPr>
  </w:style>
  <w:style w:type="paragraph" w:styleId="EnvelopeReturn">
    <w:name w:val="envelope return"/>
    <w:basedOn w:val="Normal"/>
    <w:rsid w:val="00A0798F"/>
    <w:rPr>
      <w:rFonts w:ascii="FundRunk-Normal" w:hAnsi="FundRunk-Normal"/>
      <w:i/>
      <w:sz w:val="48"/>
      <w:szCs w:val="48"/>
    </w:rPr>
  </w:style>
  <w:style w:type="paragraph" w:styleId="CommentText">
    <w:name w:val="annotation text"/>
    <w:basedOn w:val="Normal"/>
    <w:semiHidden/>
    <w:rsid w:val="00A0798F"/>
    <w:rPr>
      <w:sz w:val="24"/>
    </w:rPr>
  </w:style>
  <w:style w:type="paragraph" w:customStyle="1" w:styleId="Answer">
    <w:name w:val="Answer"/>
    <w:basedOn w:val="Normal"/>
    <w:next w:val="Question"/>
    <w:rsid w:val="00A0798F"/>
    <w:pPr>
      <w:numPr>
        <w:numId w:val="3"/>
      </w:numPr>
    </w:pPr>
    <w:rPr>
      <w:i/>
    </w:rPr>
  </w:style>
  <w:style w:type="paragraph" w:customStyle="1" w:styleId="Question">
    <w:name w:val="Question"/>
    <w:basedOn w:val="Normal"/>
    <w:next w:val="Answer"/>
    <w:rsid w:val="00A0798F"/>
    <w:pPr>
      <w:numPr>
        <w:numId w:val="2"/>
      </w:numPr>
    </w:pPr>
  </w:style>
  <w:style w:type="paragraph" w:customStyle="1" w:styleId="Bodycopy">
    <w:name w:val="Body copy"/>
    <w:basedOn w:val="Normal"/>
    <w:rsid w:val="00A0798F"/>
    <w:pPr>
      <w:spacing w:line="240" w:lineRule="exact"/>
    </w:pPr>
    <w:rPr>
      <w:lang w:val="en-US"/>
    </w:rPr>
  </w:style>
  <w:style w:type="paragraph" w:customStyle="1" w:styleId="SectionHeading">
    <w:name w:val="Section Heading"/>
    <w:basedOn w:val="ColoredText"/>
    <w:next w:val="Bodycopy"/>
    <w:rsid w:val="00A0798F"/>
    <w:rPr>
      <w:rFonts w:ascii="Franklin Gothic Medium" w:hAnsi="Franklin Gothic Medium"/>
      <w:sz w:val="24"/>
    </w:rPr>
  </w:style>
  <w:style w:type="paragraph" w:customStyle="1" w:styleId="Subject">
    <w:name w:val="Subject"/>
    <w:basedOn w:val="Normal"/>
    <w:rsid w:val="00A0798F"/>
    <w:pPr>
      <w:jc w:val="center"/>
    </w:pPr>
    <w:rPr>
      <w:rFonts w:ascii="Century Schoolbook" w:hAnsi="Century Schoolbook"/>
      <w:b/>
      <w:sz w:val="32"/>
      <w:u w:val="single"/>
    </w:rPr>
  </w:style>
  <w:style w:type="paragraph" w:styleId="PlainText">
    <w:name w:val="Plain Text"/>
    <w:basedOn w:val="Normal"/>
    <w:rsid w:val="00A0798F"/>
    <w:rPr>
      <w:sz w:val="22"/>
    </w:rPr>
  </w:style>
  <w:style w:type="paragraph" w:customStyle="1" w:styleId="MergedAnswer">
    <w:name w:val="MergedAnswer"/>
    <w:basedOn w:val="Normal"/>
    <w:rsid w:val="00A0798F"/>
  </w:style>
  <w:style w:type="paragraph" w:styleId="TOC2">
    <w:name w:val="toc 2"/>
    <w:basedOn w:val="Normal"/>
    <w:next w:val="Normal"/>
    <w:autoRedefine/>
    <w:semiHidden/>
    <w:rsid w:val="00A0798F"/>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rsid w:val="00A0798F"/>
    <w:pPr>
      <w:spacing w:line="360" w:lineRule="exact"/>
    </w:pPr>
    <w:rPr>
      <w:sz w:val="24"/>
    </w:rPr>
  </w:style>
  <w:style w:type="paragraph" w:customStyle="1" w:styleId="PartnerName">
    <w:name w:val="Partner Name"/>
    <w:basedOn w:val="ColoredText"/>
    <w:rsid w:val="00A0798F"/>
    <w:pPr>
      <w:spacing w:after="10" w:line="240" w:lineRule="auto"/>
    </w:pPr>
    <w:rPr>
      <w:rFonts w:ascii="Franklin Gothic Medium" w:hAnsi="Franklin Gothic Medium"/>
      <w:bCs/>
      <w:sz w:val="32"/>
    </w:rPr>
  </w:style>
  <w:style w:type="paragraph" w:customStyle="1" w:styleId="WHITEPAPER">
    <w:name w:val="WHITE PAPER"/>
    <w:basedOn w:val="ColoredText"/>
    <w:rsid w:val="00A0798F"/>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rsid w:val="00A0798F"/>
    <w:pPr>
      <w:spacing w:before="40" w:after="20"/>
    </w:pPr>
    <w:rPr>
      <w:rFonts w:ascii="Franklin Gothic Medium" w:hAnsi="Franklin Gothic Medium"/>
      <w:b/>
      <w:bCs/>
    </w:rPr>
  </w:style>
  <w:style w:type="paragraph" w:customStyle="1" w:styleId="Bullet">
    <w:name w:val="Bullet"/>
    <w:basedOn w:val="Bulletcolored"/>
    <w:rsid w:val="000358E7"/>
    <w:pPr>
      <w:numPr>
        <w:numId w:val="10"/>
      </w:numPr>
    </w:pPr>
    <w:rPr>
      <w:color w:val="auto"/>
    </w:rPr>
  </w:style>
  <w:style w:type="paragraph" w:customStyle="1" w:styleId="Bodycopyheading">
    <w:name w:val="Body copy heading"/>
    <w:basedOn w:val="Bodycopy"/>
    <w:next w:val="Bodycopy"/>
    <w:rsid w:val="00A0798F"/>
    <w:rPr>
      <w:rFonts w:ascii="Franklin Gothic Heavy" w:hAnsi="Franklin Gothic Heavy"/>
      <w:szCs w:val="17"/>
    </w:rPr>
  </w:style>
  <w:style w:type="paragraph" w:customStyle="1" w:styleId="Disclaimer">
    <w:name w:val="Disclaimer"/>
    <w:basedOn w:val="Bodycopy"/>
    <w:rsid w:val="00A0798F"/>
    <w:pPr>
      <w:spacing w:line="120" w:lineRule="exact"/>
    </w:pPr>
    <w:rPr>
      <w:sz w:val="11"/>
    </w:rPr>
  </w:style>
  <w:style w:type="paragraph" w:customStyle="1" w:styleId="Pullquote">
    <w:name w:val="Pull quote"/>
    <w:basedOn w:val="ColoredText"/>
    <w:rsid w:val="00A0798F"/>
    <w:pPr>
      <w:spacing w:line="360" w:lineRule="exact"/>
    </w:pPr>
    <w:rPr>
      <w:sz w:val="30"/>
    </w:rPr>
  </w:style>
  <w:style w:type="paragraph" w:customStyle="1" w:styleId="Diagramcaption">
    <w:name w:val="Diagram caption"/>
    <w:basedOn w:val="ColoredText"/>
    <w:rsid w:val="00A0798F"/>
    <w:rPr>
      <w:rFonts w:ascii="Franklin Gothic Medium" w:hAnsi="Franklin Gothic Medium"/>
      <w:sz w:val="19"/>
    </w:rPr>
  </w:style>
  <w:style w:type="paragraph" w:styleId="TOC1">
    <w:name w:val="toc 1"/>
    <w:basedOn w:val="Normal"/>
    <w:next w:val="Normal"/>
    <w:semiHidden/>
    <w:rsid w:val="00A0798F"/>
    <w:pPr>
      <w:tabs>
        <w:tab w:val="right" w:pos="3289"/>
      </w:tabs>
      <w:spacing w:line="360" w:lineRule="exact"/>
    </w:pPr>
    <w:rPr>
      <w:noProof/>
      <w:color w:val="FFFFFF"/>
      <w:sz w:val="24"/>
    </w:rPr>
  </w:style>
  <w:style w:type="paragraph" w:styleId="TOC3">
    <w:name w:val="toc 3"/>
    <w:basedOn w:val="Normal"/>
    <w:next w:val="Normal"/>
    <w:autoRedefine/>
    <w:semiHidden/>
    <w:rsid w:val="00A0798F"/>
    <w:pPr>
      <w:ind w:left="440"/>
    </w:pPr>
  </w:style>
  <w:style w:type="paragraph" w:styleId="TOC4">
    <w:name w:val="toc 4"/>
    <w:basedOn w:val="Normal"/>
    <w:next w:val="Normal"/>
    <w:autoRedefine/>
    <w:semiHidden/>
    <w:rsid w:val="00A0798F"/>
    <w:pPr>
      <w:ind w:left="660"/>
    </w:pPr>
  </w:style>
  <w:style w:type="paragraph" w:styleId="TOC5">
    <w:name w:val="toc 5"/>
    <w:basedOn w:val="Normal"/>
    <w:next w:val="Normal"/>
    <w:autoRedefine/>
    <w:semiHidden/>
    <w:rsid w:val="00A0798F"/>
    <w:pPr>
      <w:ind w:left="880"/>
    </w:pPr>
  </w:style>
  <w:style w:type="paragraph" w:styleId="TOC6">
    <w:name w:val="toc 6"/>
    <w:basedOn w:val="Normal"/>
    <w:next w:val="Normal"/>
    <w:autoRedefine/>
    <w:semiHidden/>
    <w:rsid w:val="00A0798F"/>
    <w:pPr>
      <w:ind w:left="1100"/>
    </w:pPr>
  </w:style>
  <w:style w:type="paragraph" w:styleId="TOC7">
    <w:name w:val="toc 7"/>
    <w:basedOn w:val="Normal"/>
    <w:next w:val="Normal"/>
    <w:autoRedefine/>
    <w:semiHidden/>
    <w:rsid w:val="00A0798F"/>
    <w:pPr>
      <w:ind w:left="1320"/>
    </w:pPr>
  </w:style>
  <w:style w:type="paragraph" w:styleId="TOC8">
    <w:name w:val="toc 8"/>
    <w:basedOn w:val="Normal"/>
    <w:next w:val="Normal"/>
    <w:autoRedefine/>
    <w:semiHidden/>
    <w:rsid w:val="00A0798F"/>
    <w:pPr>
      <w:ind w:left="1540"/>
    </w:pPr>
  </w:style>
  <w:style w:type="paragraph" w:styleId="TOC9">
    <w:name w:val="toc 9"/>
    <w:basedOn w:val="Normal"/>
    <w:next w:val="Normal"/>
    <w:autoRedefine/>
    <w:semiHidden/>
    <w:rsid w:val="00A0798F"/>
    <w:pPr>
      <w:ind w:left="1760"/>
    </w:pPr>
  </w:style>
  <w:style w:type="character" w:styleId="Hyperlink">
    <w:name w:val="Hyperlink"/>
    <w:basedOn w:val="DefaultParagraphFont"/>
    <w:rsid w:val="00A0798F"/>
    <w:rPr>
      <w:color w:val="0000FF"/>
      <w:u w:val="single"/>
    </w:rPr>
  </w:style>
  <w:style w:type="paragraph" w:customStyle="1" w:styleId="AutoCorrect">
    <w:name w:val="AutoCorrect"/>
    <w:rsid w:val="00A0798F"/>
    <w:rPr>
      <w:lang w:val="en-GB" w:eastAsia="en-US" w:bidi="he-IL"/>
    </w:rPr>
  </w:style>
  <w:style w:type="paragraph" w:styleId="BodyText">
    <w:name w:val="Body Text"/>
    <w:basedOn w:val="Normal"/>
    <w:rsid w:val="00A0798F"/>
    <w:pPr>
      <w:spacing w:after="120"/>
    </w:pPr>
    <w:rPr>
      <w:rFonts w:ascii="Arial" w:hAnsi="Arial"/>
      <w:snapToGrid w:val="0"/>
      <w:sz w:val="20"/>
      <w:szCs w:val="20"/>
      <w:lang w:val="en-US" w:bidi="he-IL"/>
    </w:rPr>
  </w:style>
  <w:style w:type="paragraph" w:customStyle="1" w:styleId="Bulletcolored">
    <w:name w:val="Bullet colored"/>
    <w:basedOn w:val="ColoredText"/>
    <w:rsid w:val="000358E7"/>
    <w:pPr>
      <w:numPr>
        <w:numId w:val="11"/>
      </w:numPr>
    </w:pPr>
    <w:rPr>
      <w:szCs w:val="17"/>
    </w:rPr>
  </w:style>
  <w:style w:type="paragraph" w:customStyle="1" w:styleId="ColoredText">
    <w:name w:val="Colored Text"/>
    <w:basedOn w:val="Bodycopy"/>
    <w:rsid w:val="00A0798F"/>
    <w:rPr>
      <w:color w:val="112E58"/>
    </w:rPr>
  </w:style>
  <w:style w:type="paragraph" w:customStyle="1" w:styleId="DocumentTitle">
    <w:name w:val="Document Title"/>
    <w:basedOn w:val="ColoredText"/>
    <w:rsid w:val="00A0798F"/>
    <w:pPr>
      <w:spacing w:line="360" w:lineRule="exact"/>
    </w:pPr>
    <w:rPr>
      <w:rFonts w:ascii="Franklin Gothic Medium" w:hAnsi="Franklin Gothic Medium"/>
      <w:color w:val="auto"/>
      <w:sz w:val="32"/>
    </w:rPr>
  </w:style>
  <w:style w:type="paragraph" w:customStyle="1" w:styleId="Tableheading">
    <w:name w:val="Table heading"/>
    <w:basedOn w:val="ColoredText"/>
    <w:rsid w:val="00A0798F"/>
    <w:rPr>
      <w:rFonts w:ascii="Franklin Gothic Medium" w:hAnsi="Franklin Gothic Medium"/>
      <w:bCs/>
    </w:rPr>
  </w:style>
  <w:style w:type="paragraph" w:customStyle="1" w:styleId="Bulletbold">
    <w:name w:val="Bullet bold"/>
    <w:basedOn w:val="Bullet"/>
    <w:rsid w:val="000358E7"/>
    <w:pPr>
      <w:numPr>
        <w:numId w:val="9"/>
      </w:numPr>
    </w:pPr>
    <w:rPr>
      <w:rFonts w:ascii="Franklin Gothic Heavy" w:hAnsi="Franklin Gothic Heavy"/>
    </w:rPr>
  </w:style>
  <w:style w:type="paragraph" w:customStyle="1" w:styleId="Contents">
    <w:name w:val="Contents"/>
    <w:basedOn w:val="Bodycopy"/>
    <w:rsid w:val="00A0798F"/>
    <w:pPr>
      <w:spacing w:line="480" w:lineRule="exact"/>
    </w:pPr>
    <w:rPr>
      <w:rFonts w:ascii="Franklin Gothic Medium" w:hAnsi="Franklin Gothic Medium"/>
      <w:color w:val="FFFFFF"/>
      <w:sz w:val="30"/>
    </w:rPr>
  </w:style>
  <w:style w:type="character" w:styleId="PageNumber">
    <w:name w:val="page number"/>
    <w:basedOn w:val="DefaultParagraphFont"/>
    <w:rsid w:val="00A0798F"/>
    <w:rPr>
      <w:rFonts w:ascii="Franklin Gothic Book" w:hAnsi="Franklin Gothic Book"/>
      <w:spacing w:val="20"/>
      <w:sz w:val="16"/>
    </w:rPr>
  </w:style>
  <w:style w:type="paragraph" w:customStyle="1" w:styleId="Tabletext">
    <w:name w:val="Table text"/>
    <w:basedOn w:val="Bodycopy"/>
    <w:rsid w:val="00A0798F"/>
    <w:pPr>
      <w:spacing w:after="40"/>
    </w:pPr>
  </w:style>
  <w:style w:type="paragraph" w:customStyle="1" w:styleId="OrangeText">
    <w:name w:val="Orange Text"/>
    <w:basedOn w:val="Normal"/>
    <w:rsid w:val="00A0798F"/>
    <w:pPr>
      <w:spacing w:line="240" w:lineRule="exact"/>
    </w:pPr>
    <w:rPr>
      <w:color w:val="FF3300"/>
    </w:rPr>
  </w:style>
  <w:style w:type="paragraph" w:customStyle="1" w:styleId="Casestudydescription">
    <w:name w:val="Case study description"/>
    <w:basedOn w:val="Normal"/>
    <w:rsid w:val="00A0798F"/>
    <w:rPr>
      <w:rFonts w:ascii="Franklin Gothic Medium" w:hAnsi="Franklin Gothic Medium"/>
      <w:color w:val="FFFFFF"/>
      <w:sz w:val="24"/>
    </w:rPr>
  </w:style>
  <w:style w:type="paragraph" w:customStyle="1" w:styleId="PullQuotecredit">
    <w:name w:val="Pull Quote credit"/>
    <w:basedOn w:val="Pullquote"/>
    <w:rsid w:val="00A0798F"/>
    <w:pPr>
      <w:spacing w:before="120" w:line="240" w:lineRule="exact"/>
    </w:pPr>
    <w:rPr>
      <w:sz w:val="16"/>
    </w:rPr>
  </w:style>
  <w:style w:type="paragraph" w:customStyle="1" w:styleId="Diagramtitle">
    <w:name w:val="Diagram title"/>
    <w:basedOn w:val="Bodycopy"/>
    <w:rsid w:val="00A0798F"/>
    <w:rPr>
      <w:rFonts w:ascii="Franklin Gothic Medium" w:hAnsi="Franklin Gothic Medium"/>
      <w:color w:val="FFFFFF"/>
      <w:sz w:val="19"/>
    </w:rPr>
  </w:style>
  <w:style w:type="paragraph" w:customStyle="1" w:styleId="Bullet2">
    <w:name w:val="Bullet2"/>
    <w:basedOn w:val="Bullet"/>
    <w:rsid w:val="00A0798F"/>
    <w:pPr>
      <w:numPr>
        <w:numId w:val="0"/>
      </w:numPr>
      <w:ind w:left="170"/>
    </w:pPr>
  </w:style>
  <w:style w:type="paragraph" w:customStyle="1" w:styleId="SectionHeadingGrey">
    <w:name w:val="Section Heading Grey"/>
    <w:basedOn w:val="SectionHeading"/>
    <w:rsid w:val="00A0798F"/>
    <w:rPr>
      <w:color w:val="666666"/>
    </w:rPr>
  </w:style>
  <w:style w:type="paragraph" w:customStyle="1" w:styleId="BulletGrey">
    <w:name w:val="Bullet Grey"/>
    <w:basedOn w:val="Bullet"/>
    <w:rsid w:val="000358E7"/>
    <w:pPr>
      <w:numPr>
        <w:numId w:val="7"/>
      </w:numPr>
    </w:pPr>
  </w:style>
  <w:style w:type="paragraph" w:customStyle="1" w:styleId="TableTitle">
    <w:name w:val="Table Title"/>
    <w:basedOn w:val="Tabletextheading"/>
    <w:rsid w:val="00A0798F"/>
    <w:pPr>
      <w:ind w:left="60"/>
    </w:pPr>
    <w:rPr>
      <w:color w:val="FFFFFF"/>
      <w:szCs w:val="17"/>
    </w:rPr>
  </w:style>
  <w:style w:type="paragraph" w:styleId="EnvelopeAddress">
    <w:name w:val="envelope address"/>
    <w:basedOn w:val="Normal"/>
    <w:rsid w:val="00A0798F"/>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rsid w:val="00A0798F"/>
    <w:pPr>
      <w:numPr>
        <w:numId w:val="8"/>
      </w:numPr>
    </w:pPr>
  </w:style>
  <w:style w:type="paragraph" w:styleId="BalloonText">
    <w:name w:val="Balloon Text"/>
    <w:basedOn w:val="Normal"/>
    <w:semiHidden/>
    <w:rsid w:val="00A079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slovenija/dynamic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vtenta.si" TargetMode="External"/><Relationship Id="rId4" Type="http://schemas.openxmlformats.org/officeDocument/2006/relationships/webSettings" Target="webSettings.xml"/><Relationship Id="rId9" Type="http://schemas.openxmlformats.org/officeDocument/2006/relationships/hyperlink" Target="http://www.microsoft.com/slovenija/dynamics/"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WriteImage CEP Popoln vpogled v projektno delo</vt:lpstr>
    </vt:vector>
  </TitlesOfParts>
  <Company>WriteImage</Company>
  <LinksUpToDate>false</LinksUpToDate>
  <CharactersWithSpaces>9469</CharactersWithSpaces>
  <SharedDoc>false</SharedDoc>
  <HLinks>
    <vt:vector size="24" baseType="variant">
      <vt:variant>
        <vt:i4>327683</vt:i4>
      </vt:variant>
      <vt:variant>
        <vt:i4>3</vt:i4>
      </vt:variant>
      <vt:variant>
        <vt:i4>0</vt:i4>
      </vt:variant>
      <vt:variant>
        <vt:i4>5</vt:i4>
      </vt:variant>
      <vt:variant>
        <vt:lpwstr>http://www.microsoft.com/slovenija/dynamics/</vt:lpwstr>
      </vt:variant>
      <vt:variant>
        <vt:lpwstr/>
      </vt:variant>
      <vt:variant>
        <vt:i4>4390993</vt:i4>
      </vt:variant>
      <vt:variant>
        <vt:i4>0</vt:i4>
      </vt:variant>
      <vt:variant>
        <vt:i4>0</vt:i4>
      </vt:variant>
      <vt:variant>
        <vt:i4>5</vt:i4>
      </vt:variant>
      <vt:variant>
        <vt:lpwstr>http://www.snt-world.com/</vt:lpwstr>
      </vt:variant>
      <vt:variant>
        <vt:lpwstr/>
      </vt:variant>
      <vt:variant>
        <vt:i4>7340153</vt:i4>
      </vt:variant>
      <vt:variant>
        <vt:i4>3</vt:i4>
      </vt:variant>
      <vt:variant>
        <vt:i4>0</vt:i4>
      </vt:variant>
      <vt:variant>
        <vt:i4>5</vt:i4>
      </vt:variant>
      <vt:variant>
        <vt:lpwstr>http://www.snt.si/</vt:lpwstr>
      </vt:variant>
      <vt:variant>
        <vt:lpwstr/>
      </vt:variant>
      <vt:variant>
        <vt:i4>327683</vt:i4>
      </vt:variant>
      <vt:variant>
        <vt:i4>0</vt:i4>
      </vt:variant>
      <vt:variant>
        <vt:i4>0</vt:i4>
      </vt:variant>
      <vt:variant>
        <vt:i4>5</vt:i4>
      </vt:variant>
      <vt:variant>
        <vt:lpwstr>http://www.microsoft.com/slovenija/dynamics/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WriteImage CEP Popoln vpogled v projektno delo</dc:title>
  <dc:subject>Customer:   Partner:</dc:subject>
  <dc:creator>Matija Kočevar</dc:creator>
  <cp:keywords>Country: Slovenija  Industry: Raziskovalna dejavnost</cp:keywords>
  <cp:lastModifiedBy>v-kasemr</cp:lastModifiedBy>
  <cp:revision>2</cp:revision>
  <cp:lastPrinted>2003-07-10T23:36:00Z</cp:lastPrinted>
  <dcterms:created xsi:type="dcterms:W3CDTF">2009-06-05T08:34:00Z</dcterms:created>
  <dcterms:modified xsi:type="dcterms:W3CDTF">2009-06-05T08:34:00Z</dcterms:modified>
  <cp:category>Product: Microsoft Dynamics_x000d_
Customer Solution Case Study</cp:category>
</cp:coreProperties>
</file>