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Layout w:type="fixed"/>
        <w:tblCellMar>
          <w:left w:w="0" w:type="dxa"/>
          <w:right w:w="0" w:type="dxa"/>
        </w:tblCellMar>
        <w:tblLook w:val="0000"/>
      </w:tblPr>
      <w:tblGrid>
        <w:gridCol w:w="3119"/>
        <w:gridCol w:w="284"/>
        <w:gridCol w:w="284"/>
        <w:gridCol w:w="6945"/>
      </w:tblGrid>
      <w:tr w:rsidR="00A30027" w:rsidRPr="00433950" w:rsidTr="000375DD">
        <w:trPr>
          <w:cantSplit/>
          <w:trHeight w:hRule="exact" w:val="1177"/>
        </w:trPr>
        <w:tc>
          <w:tcPr>
            <w:tcW w:w="3119" w:type="dxa"/>
            <w:vMerge w:val="restart"/>
          </w:tcPr>
          <w:p w:rsidR="00790A53" w:rsidRPr="00433950" w:rsidRDefault="00790A53" w:rsidP="004A3FD7">
            <w:pPr>
              <w:pStyle w:val="SectionHeading"/>
              <w:spacing w:before="100" w:line="276" w:lineRule="auto"/>
              <w:rPr>
                <w:rFonts w:ascii="Franklin Gothic Book" w:hAnsi="Franklin Gothic Book"/>
                <w:color w:val="E36C0A"/>
                <w:sz w:val="18"/>
                <w:szCs w:val="18"/>
                <w:lang w:val="pl-PL"/>
              </w:rPr>
            </w:pPr>
            <w:r w:rsidRPr="00433950">
              <w:rPr>
                <w:rFonts w:ascii="Franklin Gothic Book" w:hAnsi="Franklin Gothic Book"/>
                <w:color w:val="E36C0A"/>
                <w:sz w:val="18"/>
                <w:szCs w:val="18"/>
                <w:lang w:val="pl-PL"/>
              </w:rPr>
              <w:t>Podsumowanie</w:t>
            </w:r>
          </w:p>
          <w:p w:rsidR="00790A53" w:rsidRPr="00433950" w:rsidRDefault="00790A53" w:rsidP="004A3FD7">
            <w:pPr>
              <w:pStyle w:val="Bodycopy"/>
              <w:spacing w:line="276" w:lineRule="auto"/>
              <w:rPr>
                <w:sz w:val="14"/>
                <w:szCs w:val="14"/>
                <w:lang w:val="pl-PL"/>
              </w:rPr>
            </w:pPr>
            <w:r w:rsidRPr="00433950">
              <w:rPr>
                <w:sz w:val="14"/>
                <w:szCs w:val="14"/>
                <w:lang w:val="pl-PL"/>
              </w:rPr>
              <w:t>Kraj: Polska</w:t>
            </w:r>
          </w:p>
          <w:p w:rsidR="00790A53" w:rsidRPr="00433950" w:rsidRDefault="00790A53" w:rsidP="004A3FD7">
            <w:pPr>
              <w:pStyle w:val="Bodycopy"/>
              <w:spacing w:line="276" w:lineRule="auto"/>
              <w:rPr>
                <w:sz w:val="14"/>
                <w:szCs w:val="14"/>
                <w:lang w:val="pl-PL"/>
              </w:rPr>
            </w:pPr>
            <w:r w:rsidRPr="00433950">
              <w:rPr>
                <w:sz w:val="14"/>
                <w:szCs w:val="14"/>
                <w:lang w:val="pl-PL"/>
              </w:rPr>
              <w:t xml:space="preserve">Sektor: </w:t>
            </w:r>
            <w:r w:rsidR="001A3AF8" w:rsidRPr="00433950">
              <w:rPr>
                <w:sz w:val="14"/>
                <w:szCs w:val="14"/>
                <w:lang w:val="pl-PL"/>
              </w:rPr>
              <w:t>publiczny</w:t>
            </w:r>
          </w:p>
          <w:p w:rsidR="00790A53" w:rsidRPr="00433950" w:rsidRDefault="00790A53" w:rsidP="004A3FD7">
            <w:pPr>
              <w:pStyle w:val="Bodycopy"/>
              <w:spacing w:line="276" w:lineRule="auto"/>
              <w:rPr>
                <w:sz w:val="14"/>
                <w:szCs w:val="14"/>
                <w:lang w:val="pl-PL"/>
              </w:rPr>
            </w:pPr>
          </w:p>
          <w:p w:rsidR="00790A53" w:rsidRPr="00433950" w:rsidRDefault="00790A53" w:rsidP="004A3FD7">
            <w:pPr>
              <w:pStyle w:val="Bodycopyheading"/>
              <w:spacing w:line="276" w:lineRule="auto"/>
              <w:rPr>
                <w:rFonts w:ascii="Franklin Gothic Book" w:hAnsi="Franklin Gothic Book"/>
                <w:color w:val="E36C0A"/>
                <w:sz w:val="18"/>
                <w:szCs w:val="18"/>
                <w:lang w:val="pl-PL"/>
              </w:rPr>
            </w:pPr>
            <w:r w:rsidRPr="00433950">
              <w:rPr>
                <w:rFonts w:ascii="Franklin Gothic Book" w:hAnsi="Franklin Gothic Book"/>
                <w:color w:val="E36C0A"/>
                <w:sz w:val="18"/>
                <w:szCs w:val="18"/>
                <w:lang w:val="pl-PL"/>
              </w:rPr>
              <w:t xml:space="preserve">Sytuacja </w:t>
            </w:r>
          </w:p>
          <w:p w:rsidR="00790A53" w:rsidRPr="00433950" w:rsidRDefault="001D7FDC" w:rsidP="004A3FD7">
            <w:pPr>
              <w:pStyle w:val="Bodycopyheading"/>
              <w:spacing w:line="276" w:lineRule="auto"/>
              <w:rPr>
                <w:rFonts w:ascii="Franklin Gothic Book" w:hAnsi="Franklin Gothic Book"/>
                <w:sz w:val="14"/>
                <w:szCs w:val="14"/>
                <w:lang w:val="pl-PL"/>
              </w:rPr>
            </w:pPr>
            <w:r w:rsidRPr="00433950">
              <w:rPr>
                <w:rFonts w:ascii="Franklin Gothic Book" w:hAnsi="Franklin Gothic Book"/>
                <w:sz w:val="14"/>
                <w:szCs w:val="14"/>
                <w:lang w:val="pl-PL"/>
              </w:rPr>
              <w:t xml:space="preserve">Wchodząc do UE Polska zobowiązała się do harmonizacji procedur rejestracji i dopuszczania do obrotu substancji chemicznych i produktów o działaniu biobójczym. Choć etap przeglądu istniejących list substancji potrwa co najmniej do 2014 r., kraje członkowskie muszą przygotować się do elektronicznej wymiany danych na temat substancji </w:t>
            </w:r>
            <w:r w:rsidR="003F5274" w:rsidRPr="00433950">
              <w:rPr>
                <w:rFonts w:ascii="Franklin Gothic Book" w:hAnsi="Franklin Gothic Book"/>
                <w:sz w:val="14"/>
                <w:szCs w:val="14"/>
                <w:lang w:val="pl-PL"/>
              </w:rPr>
              <w:t xml:space="preserve">i produktów </w:t>
            </w:r>
            <w:r w:rsidRPr="00433950">
              <w:rPr>
                <w:rFonts w:ascii="Franklin Gothic Book" w:hAnsi="Franklin Gothic Book"/>
                <w:sz w:val="14"/>
                <w:szCs w:val="14"/>
                <w:lang w:val="pl-PL"/>
              </w:rPr>
              <w:t>biobójczych</w:t>
            </w:r>
            <w:r w:rsidR="003F5274" w:rsidRPr="00433950">
              <w:rPr>
                <w:rFonts w:ascii="Franklin Gothic Book" w:hAnsi="Franklin Gothic Book"/>
                <w:sz w:val="14"/>
                <w:szCs w:val="14"/>
                <w:lang w:val="pl-PL"/>
              </w:rPr>
              <w:t>, a także wzajemnego uznawania dopuszczeń wydanych w pozostałych krajach.</w:t>
            </w:r>
          </w:p>
          <w:p w:rsidR="00790A53" w:rsidRPr="00433950" w:rsidRDefault="00790A53" w:rsidP="004A3FD7">
            <w:pPr>
              <w:pStyle w:val="Bodycopy"/>
              <w:spacing w:line="276" w:lineRule="auto"/>
              <w:rPr>
                <w:lang w:val="pl-PL"/>
              </w:rPr>
            </w:pPr>
          </w:p>
          <w:p w:rsidR="00790A53" w:rsidRPr="00433950" w:rsidRDefault="00790A53" w:rsidP="004A3FD7">
            <w:pPr>
              <w:pStyle w:val="Bodycopyheading"/>
              <w:spacing w:line="276" w:lineRule="auto"/>
              <w:rPr>
                <w:rFonts w:ascii="Franklin Gothic Book" w:hAnsi="Franklin Gothic Book"/>
                <w:color w:val="E36C0A"/>
                <w:sz w:val="18"/>
                <w:szCs w:val="18"/>
                <w:lang w:val="pl-PL"/>
              </w:rPr>
            </w:pPr>
            <w:r w:rsidRPr="00433950">
              <w:rPr>
                <w:rFonts w:ascii="Franklin Gothic Book" w:hAnsi="Franklin Gothic Book"/>
                <w:color w:val="E36C0A"/>
                <w:sz w:val="18"/>
                <w:szCs w:val="18"/>
                <w:lang w:val="pl-PL"/>
              </w:rPr>
              <w:t>Rozwiązanie</w:t>
            </w:r>
          </w:p>
          <w:p w:rsidR="00790A53" w:rsidRPr="00433950" w:rsidRDefault="00825412" w:rsidP="004A3FD7">
            <w:pPr>
              <w:pStyle w:val="Bodycopy"/>
              <w:spacing w:line="276" w:lineRule="auto"/>
              <w:rPr>
                <w:sz w:val="14"/>
                <w:szCs w:val="14"/>
                <w:lang w:val="pl-PL"/>
              </w:rPr>
            </w:pPr>
            <w:r w:rsidRPr="00433950">
              <w:rPr>
                <w:sz w:val="14"/>
                <w:szCs w:val="14"/>
                <w:lang w:val="pl-PL"/>
              </w:rPr>
              <w:t xml:space="preserve">Podmiot odpowiedzialny za ten obszar w Polsce </w:t>
            </w:r>
            <w:r w:rsidRPr="00433950">
              <w:rPr>
                <w:sz w:val="14"/>
                <w:szCs w:val="14"/>
                <w:lang w:val="pl-PL"/>
              </w:rPr>
              <w:br/>
              <w:t xml:space="preserve">– Urząd Rejestracji Produktów Leczniczych, Wyrobów Medycznych i Produktów Biobójczych (Urząd) wspólnie z firmą Transition Technologies stworzył nowoczesny system informatyczny, który obejmuje </w:t>
            </w:r>
            <w:r w:rsidR="00585AAD" w:rsidRPr="00433950">
              <w:rPr>
                <w:sz w:val="14"/>
                <w:szCs w:val="14"/>
                <w:lang w:val="pl-PL"/>
              </w:rPr>
              <w:t>gromadzenie danych, automatyzację procesu</w:t>
            </w:r>
            <w:r w:rsidRPr="00433950">
              <w:rPr>
                <w:sz w:val="14"/>
                <w:szCs w:val="14"/>
                <w:lang w:val="pl-PL"/>
              </w:rPr>
              <w:t xml:space="preserve"> rejestracyjne</w:t>
            </w:r>
            <w:r w:rsidR="00585AAD" w:rsidRPr="00433950">
              <w:rPr>
                <w:sz w:val="14"/>
                <w:szCs w:val="14"/>
                <w:lang w:val="pl-PL"/>
              </w:rPr>
              <w:t>go oraz udostępnianie wybranych danych Terenowym Ośrodkom Monitorowania Zatruć.</w:t>
            </w:r>
            <w:r w:rsidR="0050488F" w:rsidRPr="00433950">
              <w:rPr>
                <w:sz w:val="14"/>
                <w:szCs w:val="14"/>
                <w:lang w:val="pl-PL"/>
              </w:rPr>
              <w:t xml:space="preserve"> System został oparty na technologiach Microsoft Office System i Microsoft Windows Server System.</w:t>
            </w:r>
          </w:p>
          <w:p w:rsidR="00790A53" w:rsidRPr="00433950" w:rsidRDefault="00790A53" w:rsidP="004A3FD7">
            <w:pPr>
              <w:pStyle w:val="Bodycopy"/>
              <w:spacing w:line="276" w:lineRule="auto"/>
              <w:rPr>
                <w:sz w:val="14"/>
                <w:szCs w:val="14"/>
                <w:lang w:val="pl-PL"/>
              </w:rPr>
            </w:pPr>
          </w:p>
          <w:p w:rsidR="00790A53" w:rsidRPr="00433950" w:rsidRDefault="00790A53" w:rsidP="004A3FD7">
            <w:pPr>
              <w:pStyle w:val="Bodycopyheading"/>
              <w:spacing w:line="276" w:lineRule="auto"/>
              <w:rPr>
                <w:rFonts w:ascii="Franklin Gothic Book" w:hAnsi="Franklin Gothic Book"/>
                <w:color w:val="E36C0A"/>
                <w:sz w:val="18"/>
                <w:szCs w:val="18"/>
                <w:lang w:val="pl-PL"/>
              </w:rPr>
            </w:pPr>
            <w:r w:rsidRPr="00433950">
              <w:rPr>
                <w:rFonts w:ascii="Franklin Gothic Book" w:hAnsi="Franklin Gothic Book"/>
                <w:color w:val="E36C0A"/>
                <w:sz w:val="18"/>
                <w:szCs w:val="18"/>
                <w:lang w:val="pl-PL"/>
              </w:rPr>
              <w:t>Korzyści</w:t>
            </w:r>
          </w:p>
          <w:p w:rsidR="004A3FD7" w:rsidRPr="00433950" w:rsidRDefault="004A3FD7" w:rsidP="004A3FD7">
            <w:pPr>
              <w:pStyle w:val="StylBulletVerdana6ptInterliniapojedyncze"/>
              <w:numPr>
                <w:ilvl w:val="0"/>
                <w:numId w:val="26"/>
              </w:numPr>
              <w:spacing w:line="276" w:lineRule="auto"/>
              <w:rPr>
                <w:rFonts w:ascii="Franklin Gothic Book" w:hAnsi="Franklin Gothic Book"/>
                <w:sz w:val="14"/>
                <w:szCs w:val="14"/>
                <w:lang w:val="pl-PL"/>
              </w:rPr>
            </w:pPr>
            <w:r w:rsidRPr="00433950">
              <w:rPr>
                <w:rFonts w:ascii="Franklin Gothic Book" w:hAnsi="Franklin Gothic Book"/>
                <w:sz w:val="14"/>
                <w:szCs w:val="14"/>
                <w:lang w:val="pl-PL"/>
              </w:rPr>
              <w:t>Spełnienie wymogów dyrektywy UE związanej z przeglądem i przygotowaniem się krajów do wymiany informacji o substancjach biobójczych;</w:t>
            </w:r>
          </w:p>
          <w:p w:rsidR="004A3FD7" w:rsidRPr="00433950" w:rsidRDefault="004A3FD7" w:rsidP="004A3FD7">
            <w:pPr>
              <w:pStyle w:val="StylBulletVerdana6ptInterliniapojedyncze"/>
              <w:numPr>
                <w:ilvl w:val="0"/>
                <w:numId w:val="26"/>
              </w:numPr>
              <w:spacing w:line="276" w:lineRule="auto"/>
              <w:rPr>
                <w:rFonts w:ascii="Franklin Gothic Book" w:hAnsi="Franklin Gothic Book"/>
                <w:sz w:val="14"/>
                <w:szCs w:val="14"/>
                <w:lang w:val="pl-PL"/>
              </w:rPr>
            </w:pPr>
            <w:r w:rsidRPr="00433950">
              <w:rPr>
                <w:rFonts w:ascii="Franklin Gothic Book" w:hAnsi="Franklin Gothic Book"/>
                <w:sz w:val="14"/>
                <w:szCs w:val="14"/>
                <w:lang w:val="pl-PL"/>
              </w:rPr>
              <w:t>Perspektywa sprawniejszego i wolnego od błędów procesu uzyskiwania świadectw rejestracyjnych dla producentów;</w:t>
            </w:r>
          </w:p>
          <w:p w:rsidR="00A55A75" w:rsidRPr="00433950" w:rsidRDefault="004A3FD7" w:rsidP="004A3FD7">
            <w:pPr>
              <w:pStyle w:val="StylBulletVerdana6ptInterliniapojedyncze"/>
              <w:numPr>
                <w:ilvl w:val="0"/>
                <w:numId w:val="26"/>
              </w:numPr>
              <w:spacing w:line="276" w:lineRule="auto"/>
              <w:rPr>
                <w:rFonts w:ascii="Franklin Gothic Book" w:hAnsi="Franklin Gothic Book"/>
                <w:sz w:val="14"/>
                <w:szCs w:val="14"/>
                <w:lang w:val="pl-PL"/>
              </w:rPr>
            </w:pPr>
            <w:r w:rsidRPr="00433950">
              <w:rPr>
                <w:rFonts w:ascii="Franklin Gothic Book" w:hAnsi="Franklin Gothic Book"/>
                <w:sz w:val="14"/>
                <w:szCs w:val="14"/>
                <w:lang w:val="pl-PL"/>
              </w:rPr>
              <w:t>Perspektywa długofalowej redukcji czasu i środków potrzebnych do rozpatrzenia wniosków rejestracyjnych dla substancji i produktów biobójczych;</w:t>
            </w:r>
          </w:p>
          <w:p w:rsidR="004A3FD7" w:rsidRPr="00433950" w:rsidRDefault="004A3FD7" w:rsidP="004A3FD7">
            <w:pPr>
              <w:pStyle w:val="StylBulletVerdana6ptInterliniapojedyncze"/>
              <w:numPr>
                <w:ilvl w:val="0"/>
                <w:numId w:val="26"/>
              </w:numPr>
              <w:spacing w:line="276" w:lineRule="auto"/>
              <w:rPr>
                <w:rFonts w:ascii="Franklin Gothic Book" w:hAnsi="Franklin Gothic Book"/>
                <w:sz w:val="14"/>
                <w:szCs w:val="14"/>
                <w:lang w:val="pl-PL"/>
              </w:rPr>
            </w:pPr>
            <w:r w:rsidRPr="00433950">
              <w:rPr>
                <w:rFonts w:ascii="Franklin Gothic Book" w:hAnsi="Franklin Gothic Book"/>
                <w:sz w:val="14"/>
                <w:szCs w:val="14"/>
                <w:lang w:val="pl-PL"/>
              </w:rPr>
              <w:t>Perspektywa pełnej przejrzystości i weryfikowalności formalnej i merytorycznej oceny wniosków rejestracyjnych dla substancji i produktów biobójczych;</w:t>
            </w:r>
          </w:p>
          <w:p w:rsidR="001757FA" w:rsidRPr="00433950" w:rsidRDefault="001757FA" w:rsidP="004A3FD7">
            <w:pPr>
              <w:pStyle w:val="StylBulletVerdana6ptInterliniapojedyncze"/>
              <w:numPr>
                <w:ilvl w:val="0"/>
                <w:numId w:val="26"/>
              </w:numPr>
              <w:spacing w:line="276" w:lineRule="auto"/>
              <w:rPr>
                <w:rFonts w:ascii="Franklin Gothic Book" w:hAnsi="Franklin Gothic Book"/>
                <w:sz w:val="14"/>
                <w:szCs w:val="14"/>
                <w:lang w:val="pl-PL"/>
              </w:rPr>
            </w:pPr>
            <w:r w:rsidRPr="00433950">
              <w:rPr>
                <w:rFonts w:ascii="Franklin Gothic Book" w:hAnsi="Franklin Gothic Book"/>
                <w:sz w:val="14"/>
                <w:szCs w:val="14"/>
                <w:lang w:val="pl-PL"/>
              </w:rPr>
              <w:t>Wysokie bezpieczeństwo gromadzenia oraz przetwarzania danych stanowiących tajemnice handlowe producentów.</w:t>
            </w:r>
          </w:p>
          <w:p w:rsidR="004A3FD7" w:rsidRPr="00433950" w:rsidRDefault="004A3FD7" w:rsidP="00906290">
            <w:pPr>
              <w:pStyle w:val="StylBulletVerdana6ptInterliniapojedyncze"/>
              <w:numPr>
                <w:ilvl w:val="0"/>
                <w:numId w:val="0"/>
              </w:numPr>
              <w:spacing w:line="276" w:lineRule="auto"/>
              <w:rPr>
                <w:lang w:val="pl-PL"/>
              </w:rPr>
            </w:pPr>
          </w:p>
        </w:tc>
        <w:tc>
          <w:tcPr>
            <w:tcW w:w="284" w:type="dxa"/>
            <w:tcBorders>
              <w:left w:val="nil"/>
              <w:right w:val="single" w:sz="8" w:space="0" w:color="999999"/>
            </w:tcBorders>
            <w:shd w:val="clear" w:color="auto" w:fill="auto"/>
          </w:tcPr>
          <w:p w:rsidR="00A30027" w:rsidRPr="00433950" w:rsidRDefault="00A30027">
            <w:pPr>
              <w:rPr>
                <w:rFonts w:ascii="Verdana" w:hAnsi="Verdana"/>
              </w:rPr>
            </w:pPr>
          </w:p>
        </w:tc>
        <w:tc>
          <w:tcPr>
            <w:tcW w:w="284" w:type="dxa"/>
            <w:tcBorders>
              <w:left w:val="single" w:sz="8" w:space="0" w:color="999999"/>
            </w:tcBorders>
          </w:tcPr>
          <w:p w:rsidR="00A30027" w:rsidRPr="00433950" w:rsidRDefault="00A30027">
            <w:pPr>
              <w:rPr>
                <w:rFonts w:ascii="Verdana" w:hAnsi="Verdana"/>
              </w:rPr>
            </w:pPr>
          </w:p>
        </w:tc>
        <w:tc>
          <w:tcPr>
            <w:tcW w:w="6945" w:type="dxa"/>
          </w:tcPr>
          <w:p w:rsidR="00CE1EE7" w:rsidRPr="00433950" w:rsidRDefault="00A30027" w:rsidP="00CE1EE7">
            <w:pPr>
              <w:pStyle w:val="NoSpacing"/>
              <w:spacing w:line="276" w:lineRule="auto"/>
              <w:rPr>
                <w:i/>
                <w:color w:val="FF6600"/>
                <w:sz w:val="20"/>
                <w:szCs w:val="20"/>
              </w:rPr>
            </w:pPr>
            <w:r w:rsidRPr="00433950">
              <w:rPr>
                <w:color w:val="FF6600"/>
                <w:sz w:val="18"/>
                <w:szCs w:val="18"/>
              </w:rPr>
              <w:t>„</w:t>
            </w:r>
            <w:r w:rsidR="00CE1EE7" w:rsidRPr="00433950">
              <w:rPr>
                <w:i/>
                <w:color w:val="FF6600"/>
                <w:sz w:val="18"/>
                <w:szCs w:val="18"/>
              </w:rPr>
              <w:t xml:space="preserve">Ważne było wszystko – cena, sama propozycja architektury, doświadczenie, ale najważniejszym kryterium była w praktyce demonstracja zdolności do dostarczenia działającego systemu – wykorzystującego istniejącą infrastrukturę informatyczną, </w:t>
            </w:r>
            <w:r w:rsidR="00505E90" w:rsidRPr="00433950">
              <w:rPr>
                <w:i/>
                <w:color w:val="FF6600"/>
                <w:sz w:val="18"/>
                <w:szCs w:val="18"/>
              </w:rPr>
              <w:br/>
            </w:r>
            <w:r w:rsidR="00CE1EE7" w:rsidRPr="00433950">
              <w:rPr>
                <w:i/>
                <w:color w:val="FF6600"/>
                <w:sz w:val="18"/>
                <w:szCs w:val="18"/>
              </w:rPr>
              <w:t>a przede wszystkim spełniającego nasze oczekiwania użytkowe</w:t>
            </w:r>
            <w:r w:rsidRPr="00433950">
              <w:rPr>
                <w:color w:val="FF6600"/>
                <w:sz w:val="18"/>
                <w:szCs w:val="18"/>
              </w:rPr>
              <w:t>”</w:t>
            </w:r>
          </w:p>
          <w:p w:rsidR="00A30027" w:rsidRPr="00433950" w:rsidRDefault="00505E90" w:rsidP="00E140D5">
            <w:pPr>
              <w:pStyle w:val="NoSpacing"/>
              <w:rPr>
                <w:i/>
                <w:color w:val="FF6600"/>
                <w:sz w:val="20"/>
                <w:szCs w:val="20"/>
              </w:rPr>
            </w:pPr>
            <w:r w:rsidRPr="00433950">
              <w:rPr>
                <w:b/>
                <w:sz w:val="16"/>
                <w:szCs w:val="16"/>
              </w:rPr>
              <w:t xml:space="preserve">- </w:t>
            </w:r>
            <w:r w:rsidR="00CE1EE7" w:rsidRPr="00433950">
              <w:rPr>
                <w:b/>
                <w:sz w:val="16"/>
                <w:szCs w:val="16"/>
              </w:rPr>
              <w:t>Antoni Kunikowski</w:t>
            </w:r>
            <w:r w:rsidR="00CE1EE7" w:rsidRPr="00433950">
              <w:rPr>
                <w:sz w:val="16"/>
                <w:szCs w:val="16"/>
              </w:rPr>
              <w:t xml:space="preserve">, </w:t>
            </w:r>
            <w:r w:rsidR="008162CB" w:rsidRPr="00433950">
              <w:rPr>
                <w:sz w:val="16"/>
                <w:szCs w:val="16"/>
              </w:rPr>
              <w:t>w</w:t>
            </w:r>
            <w:r w:rsidR="00DF73DD" w:rsidRPr="00433950">
              <w:rPr>
                <w:sz w:val="16"/>
                <w:szCs w:val="16"/>
              </w:rPr>
              <w:t>ice</w:t>
            </w:r>
            <w:r w:rsidR="00CE1EE7" w:rsidRPr="00433950">
              <w:rPr>
                <w:sz w:val="16"/>
                <w:szCs w:val="16"/>
              </w:rPr>
              <w:t>prezes Urzędu.</w:t>
            </w:r>
          </w:p>
          <w:p w:rsidR="00A30027" w:rsidRPr="00433950" w:rsidRDefault="00A30027">
            <w:pPr>
              <w:spacing w:after="80"/>
              <w:jc w:val="right"/>
              <w:rPr>
                <w:rFonts w:ascii="Verdana" w:hAnsi="Verdana"/>
              </w:rPr>
            </w:pPr>
          </w:p>
        </w:tc>
      </w:tr>
      <w:tr w:rsidR="00A30027" w:rsidRPr="00433950" w:rsidTr="00431EC2">
        <w:trPr>
          <w:cantSplit/>
          <w:trHeight w:hRule="exact" w:val="8209"/>
        </w:trPr>
        <w:tc>
          <w:tcPr>
            <w:tcW w:w="3119" w:type="dxa"/>
            <w:vMerge/>
          </w:tcPr>
          <w:p w:rsidR="00A30027" w:rsidRPr="00433950" w:rsidRDefault="00A30027" w:rsidP="004A3FD7">
            <w:pPr>
              <w:pStyle w:val="Bodycopy"/>
              <w:spacing w:line="276" w:lineRule="auto"/>
              <w:rPr>
                <w:rFonts w:ascii="Verdana" w:hAnsi="Verdana"/>
                <w:sz w:val="14"/>
                <w:szCs w:val="14"/>
                <w:lang w:val="pl-PL"/>
              </w:rPr>
            </w:pPr>
          </w:p>
        </w:tc>
        <w:tc>
          <w:tcPr>
            <w:tcW w:w="284" w:type="dxa"/>
            <w:tcBorders>
              <w:left w:val="nil"/>
              <w:right w:val="single" w:sz="8" w:space="0" w:color="999999"/>
            </w:tcBorders>
            <w:shd w:val="clear" w:color="auto" w:fill="auto"/>
          </w:tcPr>
          <w:p w:rsidR="00A30027" w:rsidRPr="00433950" w:rsidRDefault="00A30027">
            <w:pPr>
              <w:pStyle w:val="Bodycopy"/>
              <w:rPr>
                <w:rFonts w:ascii="Verdana" w:hAnsi="Verdana"/>
                <w:lang w:val="pl-PL"/>
              </w:rPr>
            </w:pPr>
          </w:p>
        </w:tc>
        <w:tc>
          <w:tcPr>
            <w:tcW w:w="284" w:type="dxa"/>
            <w:tcBorders>
              <w:left w:val="single" w:sz="8" w:space="0" w:color="999999"/>
            </w:tcBorders>
          </w:tcPr>
          <w:p w:rsidR="00A30027" w:rsidRPr="00433950" w:rsidRDefault="00A30027">
            <w:pPr>
              <w:pStyle w:val="Bodycopy"/>
              <w:rPr>
                <w:rFonts w:ascii="Verdana" w:hAnsi="Verdana"/>
                <w:lang w:val="pl-PL"/>
              </w:rPr>
            </w:pPr>
          </w:p>
        </w:tc>
        <w:tc>
          <w:tcPr>
            <w:tcW w:w="6945" w:type="dxa"/>
          </w:tcPr>
          <w:p w:rsidR="006A76FF" w:rsidRPr="00433950" w:rsidRDefault="00790A53" w:rsidP="00041009">
            <w:pPr>
              <w:pStyle w:val="Bodycopy"/>
              <w:spacing w:line="264" w:lineRule="auto"/>
              <w:rPr>
                <w:rFonts w:ascii="Verdana" w:hAnsi="Verdana"/>
                <w:sz w:val="15"/>
                <w:szCs w:val="15"/>
                <w:lang w:val="pl-PL"/>
              </w:rPr>
            </w:pPr>
            <w:r w:rsidRPr="00433950">
              <w:rPr>
                <w:rFonts w:ascii="Verdana" w:hAnsi="Verdana"/>
                <w:sz w:val="15"/>
                <w:szCs w:val="15"/>
                <w:lang w:val="pl-PL"/>
              </w:rPr>
              <w:tab/>
            </w:r>
            <w:r w:rsidR="00287C27" w:rsidRPr="00433950">
              <w:rPr>
                <w:rFonts w:ascii="Verdana" w:hAnsi="Verdana"/>
                <w:sz w:val="15"/>
                <w:szCs w:val="15"/>
                <w:lang w:val="pl-PL"/>
              </w:rPr>
              <w:t xml:space="preserve">Jednym z nurtów integracji europejskiej jest harmonizacja narodowych procedur </w:t>
            </w:r>
            <w:r w:rsidR="00B641CC" w:rsidRPr="00433950">
              <w:rPr>
                <w:rFonts w:ascii="Verdana" w:hAnsi="Verdana"/>
                <w:sz w:val="15"/>
                <w:szCs w:val="15"/>
                <w:lang w:val="pl-PL"/>
              </w:rPr>
              <w:t xml:space="preserve">gromadzenia informacji, </w:t>
            </w:r>
            <w:r w:rsidR="00287C27" w:rsidRPr="00433950">
              <w:rPr>
                <w:rFonts w:ascii="Verdana" w:hAnsi="Verdana"/>
                <w:sz w:val="15"/>
                <w:szCs w:val="15"/>
                <w:lang w:val="pl-PL"/>
              </w:rPr>
              <w:t>oceny i dopuszczania do obro</w:t>
            </w:r>
            <w:r w:rsidR="00510D11" w:rsidRPr="00433950">
              <w:rPr>
                <w:rFonts w:ascii="Verdana" w:hAnsi="Verdana"/>
                <w:sz w:val="15"/>
                <w:szCs w:val="15"/>
                <w:lang w:val="pl-PL"/>
              </w:rPr>
              <w:t xml:space="preserve">tu </w:t>
            </w:r>
            <w:r w:rsidR="00DF73DD" w:rsidRPr="00433950">
              <w:rPr>
                <w:rFonts w:ascii="Verdana" w:hAnsi="Verdana"/>
                <w:sz w:val="15"/>
                <w:szCs w:val="15"/>
                <w:lang w:val="pl-PL"/>
              </w:rPr>
              <w:t>produktów</w:t>
            </w:r>
            <w:r w:rsidR="00510D11" w:rsidRPr="00433950">
              <w:rPr>
                <w:rFonts w:ascii="Verdana" w:hAnsi="Verdana"/>
                <w:sz w:val="15"/>
                <w:szCs w:val="15"/>
                <w:lang w:val="pl-PL"/>
              </w:rPr>
              <w:t xml:space="preserve"> </w:t>
            </w:r>
            <w:r w:rsidR="00287C27" w:rsidRPr="00433950">
              <w:rPr>
                <w:rFonts w:ascii="Verdana" w:hAnsi="Verdana"/>
                <w:sz w:val="15"/>
                <w:szCs w:val="15"/>
                <w:lang w:val="pl-PL"/>
              </w:rPr>
              <w:t>biobójczych.</w:t>
            </w:r>
            <w:r w:rsidR="00590F2B" w:rsidRPr="00433950">
              <w:rPr>
                <w:rFonts w:ascii="Verdana" w:hAnsi="Verdana"/>
                <w:sz w:val="15"/>
                <w:szCs w:val="15"/>
                <w:lang w:val="pl-PL"/>
              </w:rPr>
              <w:t xml:space="preserve"> </w:t>
            </w:r>
            <w:r w:rsidR="001D3FBC" w:rsidRPr="00433950">
              <w:rPr>
                <w:rFonts w:ascii="Verdana" w:hAnsi="Verdana"/>
                <w:sz w:val="15"/>
                <w:szCs w:val="15"/>
                <w:lang w:val="pl-PL"/>
              </w:rPr>
              <w:t xml:space="preserve">Ze względu na skalę i poziom skomplikowania tej dziedziny, dyrektywa UE z 1998 r. przewidziała okres 10 lat na sam proces przeglądu </w:t>
            </w:r>
            <w:r w:rsidR="00DF73DD" w:rsidRPr="00433950">
              <w:rPr>
                <w:rFonts w:ascii="Verdana" w:hAnsi="Verdana"/>
                <w:sz w:val="15"/>
                <w:szCs w:val="15"/>
                <w:lang w:val="pl-PL"/>
              </w:rPr>
              <w:t>substancji czynnych stosowanych w produktach biobójczych</w:t>
            </w:r>
            <w:r w:rsidR="00937950" w:rsidRPr="00433950">
              <w:rPr>
                <w:rFonts w:ascii="Verdana" w:hAnsi="Verdana"/>
                <w:sz w:val="15"/>
                <w:szCs w:val="15"/>
                <w:lang w:val="pl-PL"/>
              </w:rPr>
              <w:t xml:space="preserve">. Przegląd ten ma </w:t>
            </w:r>
            <w:r w:rsidR="001D3FBC" w:rsidRPr="00433950">
              <w:rPr>
                <w:rFonts w:ascii="Verdana" w:hAnsi="Verdana"/>
                <w:sz w:val="15"/>
                <w:szCs w:val="15"/>
                <w:lang w:val="pl-PL"/>
              </w:rPr>
              <w:t>poprzedzać ma</w:t>
            </w:r>
            <w:r w:rsidR="00B23E4F" w:rsidRPr="00433950">
              <w:rPr>
                <w:rFonts w:ascii="Verdana" w:hAnsi="Verdana"/>
                <w:sz w:val="15"/>
                <w:szCs w:val="15"/>
                <w:lang w:val="pl-PL"/>
              </w:rPr>
              <w:t xml:space="preserve"> </w:t>
            </w:r>
            <w:r w:rsidR="001645E8" w:rsidRPr="00433950">
              <w:rPr>
                <w:rFonts w:ascii="Verdana" w:hAnsi="Verdana"/>
                <w:sz w:val="15"/>
                <w:szCs w:val="15"/>
                <w:lang w:val="pl-PL"/>
              </w:rPr>
              <w:t>ujednolicenie procedur, wymianę informacji i wzajemne uznawanie przez kraje dopuszczeń do obrotu</w:t>
            </w:r>
            <w:r w:rsidR="006A76FF" w:rsidRPr="00433950">
              <w:rPr>
                <w:rFonts w:ascii="Verdana" w:hAnsi="Verdana"/>
                <w:sz w:val="15"/>
                <w:szCs w:val="15"/>
                <w:lang w:val="pl-PL"/>
              </w:rPr>
              <w:t xml:space="preserve"> wydanych w pozostałych krajach członkowskich</w:t>
            </w:r>
            <w:r w:rsidR="00C13958" w:rsidRPr="00433950">
              <w:rPr>
                <w:rFonts w:ascii="Verdana" w:hAnsi="Verdana"/>
                <w:sz w:val="15"/>
                <w:szCs w:val="15"/>
                <w:lang w:val="pl-PL"/>
              </w:rPr>
              <w:t xml:space="preserve">. </w:t>
            </w:r>
          </w:p>
          <w:p w:rsidR="008A43A2" w:rsidRPr="00433950" w:rsidRDefault="006A76FF" w:rsidP="00041009">
            <w:pPr>
              <w:pStyle w:val="Bodycopy"/>
              <w:spacing w:line="264" w:lineRule="auto"/>
              <w:rPr>
                <w:rFonts w:ascii="Verdana" w:hAnsi="Verdana"/>
                <w:sz w:val="15"/>
                <w:szCs w:val="15"/>
                <w:lang w:val="pl-PL"/>
              </w:rPr>
            </w:pPr>
            <w:r w:rsidRPr="00433950">
              <w:rPr>
                <w:rFonts w:ascii="Verdana" w:hAnsi="Verdana"/>
                <w:sz w:val="15"/>
                <w:szCs w:val="15"/>
                <w:lang w:val="pl-PL"/>
              </w:rPr>
              <w:tab/>
            </w:r>
            <w:r w:rsidR="00C13958" w:rsidRPr="00433950">
              <w:rPr>
                <w:rFonts w:ascii="Verdana" w:hAnsi="Verdana"/>
                <w:sz w:val="15"/>
                <w:szCs w:val="15"/>
                <w:lang w:val="pl-PL"/>
              </w:rPr>
              <w:t>Dziś wiadomo</w:t>
            </w:r>
            <w:r w:rsidR="00B23E4F" w:rsidRPr="00433950">
              <w:rPr>
                <w:rFonts w:ascii="Verdana" w:hAnsi="Verdana"/>
                <w:sz w:val="15"/>
                <w:szCs w:val="15"/>
                <w:lang w:val="pl-PL"/>
              </w:rPr>
              <w:t xml:space="preserve"> już</w:t>
            </w:r>
            <w:r w:rsidR="00C13958" w:rsidRPr="00433950">
              <w:rPr>
                <w:rFonts w:ascii="Verdana" w:hAnsi="Verdana"/>
                <w:sz w:val="15"/>
                <w:szCs w:val="15"/>
                <w:lang w:val="pl-PL"/>
              </w:rPr>
              <w:t>,</w:t>
            </w:r>
            <w:r w:rsidR="00B23E4F" w:rsidRPr="00433950">
              <w:rPr>
                <w:rFonts w:ascii="Verdana" w:hAnsi="Verdana"/>
                <w:sz w:val="15"/>
                <w:szCs w:val="15"/>
                <w:lang w:val="pl-PL"/>
              </w:rPr>
              <w:t xml:space="preserve"> że </w:t>
            </w:r>
            <w:r w:rsidR="00594379" w:rsidRPr="00433950">
              <w:rPr>
                <w:rFonts w:ascii="Verdana" w:hAnsi="Verdana"/>
                <w:sz w:val="15"/>
                <w:szCs w:val="15"/>
                <w:lang w:val="pl-PL"/>
              </w:rPr>
              <w:t>sam proces przeglądu</w:t>
            </w:r>
            <w:r w:rsidR="00B23E4F" w:rsidRPr="00433950">
              <w:rPr>
                <w:rFonts w:ascii="Verdana" w:hAnsi="Verdana"/>
                <w:sz w:val="15"/>
                <w:szCs w:val="15"/>
                <w:lang w:val="pl-PL"/>
              </w:rPr>
              <w:t xml:space="preserve"> zakończy się najwcześniej w 2014 r., ponieważ </w:t>
            </w:r>
            <w:r w:rsidR="00A47880" w:rsidRPr="00433950">
              <w:rPr>
                <w:rFonts w:ascii="Verdana" w:hAnsi="Verdana"/>
                <w:sz w:val="15"/>
                <w:szCs w:val="15"/>
                <w:lang w:val="pl-PL"/>
              </w:rPr>
              <w:t xml:space="preserve">tempo </w:t>
            </w:r>
            <w:r w:rsidR="00594379" w:rsidRPr="00433950">
              <w:rPr>
                <w:rFonts w:ascii="Verdana" w:hAnsi="Verdana"/>
                <w:sz w:val="15"/>
                <w:szCs w:val="15"/>
                <w:lang w:val="pl-PL"/>
              </w:rPr>
              <w:t>prac</w:t>
            </w:r>
            <w:r w:rsidR="00A47880" w:rsidRPr="00433950">
              <w:rPr>
                <w:rFonts w:ascii="Verdana" w:hAnsi="Verdana"/>
                <w:sz w:val="15"/>
                <w:szCs w:val="15"/>
                <w:lang w:val="pl-PL"/>
              </w:rPr>
              <w:t xml:space="preserve"> w </w:t>
            </w:r>
            <w:r w:rsidR="000014FE" w:rsidRPr="00433950">
              <w:rPr>
                <w:rFonts w:ascii="Verdana" w:hAnsi="Verdana"/>
                <w:sz w:val="15"/>
                <w:szCs w:val="15"/>
                <w:lang w:val="pl-PL"/>
              </w:rPr>
              <w:t xml:space="preserve">poszczególnych </w:t>
            </w:r>
            <w:r w:rsidR="00A47880" w:rsidRPr="00433950">
              <w:rPr>
                <w:rFonts w:ascii="Verdana" w:hAnsi="Verdana"/>
                <w:sz w:val="15"/>
                <w:szCs w:val="15"/>
                <w:lang w:val="pl-PL"/>
              </w:rPr>
              <w:t>krajach jest bardzo różne.</w:t>
            </w:r>
            <w:r w:rsidRPr="00433950">
              <w:rPr>
                <w:rFonts w:ascii="Verdana" w:hAnsi="Verdana"/>
                <w:sz w:val="15"/>
                <w:szCs w:val="15"/>
                <w:lang w:val="pl-PL"/>
              </w:rPr>
              <w:t xml:space="preserve"> </w:t>
            </w:r>
            <w:r w:rsidR="00947A13" w:rsidRPr="00433950">
              <w:rPr>
                <w:rFonts w:ascii="Verdana" w:hAnsi="Verdana"/>
                <w:sz w:val="15"/>
                <w:szCs w:val="15"/>
                <w:lang w:val="pl-PL"/>
              </w:rPr>
              <w:t>Polska</w:t>
            </w:r>
            <w:r w:rsidR="0026223C" w:rsidRPr="00433950">
              <w:rPr>
                <w:rFonts w:ascii="Verdana" w:hAnsi="Verdana"/>
                <w:sz w:val="15"/>
                <w:szCs w:val="15"/>
                <w:lang w:val="pl-PL"/>
              </w:rPr>
              <w:t xml:space="preserve"> jest w ścisłej czołówce. Podmiot odpowiedzialny za ten obszar</w:t>
            </w:r>
            <w:r w:rsidR="00947A13" w:rsidRPr="00433950">
              <w:rPr>
                <w:rFonts w:ascii="Verdana" w:hAnsi="Verdana"/>
                <w:sz w:val="15"/>
                <w:szCs w:val="15"/>
                <w:lang w:val="pl-PL"/>
              </w:rPr>
              <w:t xml:space="preserve"> </w:t>
            </w:r>
            <w:r w:rsidR="0026223C" w:rsidRPr="00433950">
              <w:rPr>
                <w:rFonts w:ascii="Verdana" w:hAnsi="Verdana"/>
                <w:sz w:val="15"/>
                <w:szCs w:val="15"/>
                <w:lang w:val="pl-PL"/>
              </w:rPr>
              <w:t xml:space="preserve">– </w:t>
            </w:r>
            <w:r w:rsidR="00287C27" w:rsidRPr="00433950">
              <w:rPr>
                <w:rFonts w:ascii="Verdana" w:hAnsi="Verdana"/>
                <w:sz w:val="15"/>
                <w:szCs w:val="15"/>
                <w:lang w:val="pl-PL"/>
              </w:rPr>
              <w:t xml:space="preserve">Urząd </w:t>
            </w:r>
            <w:r w:rsidR="000C5B2C" w:rsidRPr="00433950">
              <w:rPr>
                <w:rFonts w:ascii="Verdana" w:hAnsi="Verdana"/>
                <w:sz w:val="15"/>
                <w:szCs w:val="15"/>
                <w:lang w:val="pl-PL"/>
              </w:rPr>
              <w:t xml:space="preserve">Rejestracji Produktów </w:t>
            </w:r>
            <w:r w:rsidR="009861E5" w:rsidRPr="00433950">
              <w:rPr>
                <w:rFonts w:ascii="Verdana" w:hAnsi="Verdana"/>
                <w:sz w:val="15"/>
                <w:szCs w:val="15"/>
                <w:lang w:val="pl-PL"/>
              </w:rPr>
              <w:t xml:space="preserve">Leczniczych, Wyrobów Medycznych i Produktów </w:t>
            </w:r>
            <w:r w:rsidR="00862A46" w:rsidRPr="00433950">
              <w:rPr>
                <w:rFonts w:ascii="Verdana" w:hAnsi="Verdana"/>
                <w:sz w:val="15"/>
                <w:szCs w:val="15"/>
                <w:lang w:val="pl-PL"/>
              </w:rPr>
              <w:t>Biobójczych (Urząd</w:t>
            </w:r>
            <w:r w:rsidR="000C5B2C" w:rsidRPr="00433950">
              <w:rPr>
                <w:rFonts w:ascii="Verdana" w:hAnsi="Verdana"/>
                <w:sz w:val="15"/>
                <w:szCs w:val="15"/>
                <w:lang w:val="pl-PL"/>
              </w:rPr>
              <w:t>)</w:t>
            </w:r>
            <w:r w:rsidR="0026223C" w:rsidRPr="00433950">
              <w:rPr>
                <w:rFonts w:ascii="Verdana" w:hAnsi="Verdana"/>
                <w:sz w:val="15"/>
                <w:szCs w:val="15"/>
                <w:lang w:val="pl-PL"/>
              </w:rPr>
              <w:t xml:space="preserve"> uporał się już </w:t>
            </w:r>
            <w:r w:rsidR="00D366AC" w:rsidRPr="00433950">
              <w:rPr>
                <w:rFonts w:ascii="Verdana" w:hAnsi="Verdana"/>
                <w:sz w:val="15"/>
                <w:szCs w:val="15"/>
                <w:lang w:val="pl-PL"/>
              </w:rPr>
              <w:t xml:space="preserve">z </w:t>
            </w:r>
            <w:r w:rsidR="006D333B" w:rsidRPr="00433950">
              <w:rPr>
                <w:rFonts w:ascii="Verdana" w:hAnsi="Verdana"/>
                <w:sz w:val="15"/>
                <w:szCs w:val="15"/>
                <w:lang w:val="pl-PL"/>
              </w:rPr>
              <w:t>przygotowaniem procedur oceny substancji czynnych przydzielonych Polsce przez UE</w:t>
            </w:r>
            <w:r w:rsidR="0026223C" w:rsidRPr="00433950">
              <w:rPr>
                <w:rFonts w:ascii="Verdana" w:hAnsi="Verdana"/>
                <w:sz w:val="15"/>
                <w:szCs w:val="15"/>
                <w:lang w:val="pl-PL"/>
              </w:rPr>
              <w:t xml:space="preserve"> i ustandaryzował wymagania rejestracyjne</w:t>
            </w:r>
            <w:r w:rsidR="006D333B" w:rsidRPr="00433950">
              <w:rPr>
                <w:rFonts w:ascii="Verdana" w:hAnsi="Verdana"/>
                <w:sz w:val="15"/>
                <w:szCs w:val="15"/>
                <w:lang w:val="pl-PL"/>
              </w:rPr>
              <w:t xml:space="preserve"> dla produktów</w:t>
            </w:r>
            <w:r w:rsidR="0026223C" w:rsidRPr="00433950">
              <w:rPr>
                <w:rFonts w:ascii="Verdana" w:hAnsi="Verdana"/>
                <w:sz w:val="15"/>
                <w:szCs w:val="15"/>
                <w:lang w:val="pl-PL"/>
              </w:rPr>
              <w:t xml:space="preserve">. </w:t>
            </w:r>
            <w:r w:rsidR="00E64BBF" w:rsidRPr="00433950">
              <w:rPr>
                <w:rFonts w:ascii="Verdana" w:hAnsi="Verdana"/>
                <w:sz w:val="15"/>
                <w:szCs w:val="15"/>
                <w:lang w:val="pl-PL"/>
              </w:rPr>
              <w:t>Urząd</w:t>
            </w:r>
            <w:r w:rsidR="0026223C" w:rsidRPr="00433950">
              <w:rPr>
                <w:rFonts w:ascii="Verdana" w:hAnsi="Verdana"/>
                <w:sz w:val="15"/>
                <w:szCs w:val="15"/>
                <w:lang w:val="pl-PL"/>
              </w:rPr>
              <w:t xml:space="preserve"> zbudował już także zręby </w:t>
            </w:r>
            <w:r w:rsidRPr="00433950">
              <w:rPr>
                <w:rFonts w:ascii="Verdana" w:hAnsi="Verdana"/>
                <w:sz w:val="15"/>
                <w:szCs w:val="15"/>
                <w:lang w:val="pl-PL"/>
              </w:rPr>
              <w:t xml:space="preserve">systemu informatycznego, </w:t>
            </w:r>
            <w:r w:rsidR="0024609A" w:rsidRPr="00433950">
              <w:rPr>
                <w:rFonts w:ascii="Verdana" w:hAnsi="Verdana"/>
                <w:sz w:val="15"/>
                <w:szCs w:val="15"/>
                <w:lang w:val="pl-PL"/>
              </w:rPr>
              <w:t>obejmującego</w:t>
            </w:r>
            <w:r w:rsidR="00825412" w:rsidRPr="00433950">
              <w:rPr>
                <w:rFonts w:ascii="Verdana" w:hAnsi="Verdana"/>
                <w:sz w:val="15"/>
                <w:szCs w:val="15"/>
                <w:lang w:val="pl-PL"/>
              </w:rPr>
              <w:t xml:space="preserve"> </w:t>
            </w:r>
            <w:r w:rsidRPr="00433950">
              <w:rPr>
                <w:rFonts w:ascii="Verdana" w:hAnsi="Verdana"/>
                <w:sz w:val="15"/>
                <w:szCs w:val="15"/>
                <w:lang w:val="pl-PL"/>
              </w:rPr>
              <w:t xml:space="preserve">m.in. </w:t>
            </w:r>
            <w:r w:rsidR="00825412" w:rsidRPr="00433950">
              <w:rPr>
                <w:rFonts w:ascii="Verdana" w:hAnsi="Verdana"/>
                <w:sz w:val="15"/>
                <w:szCs w:val="15"/>
                <w:lang w:val="pl-PL"/>
              </w:rPr>
              <w:t>gromadzenie</w:t>
            </w:r>
            <w:r w:rsidR="00D366AC" w:rsidRPr="00433950">
              <w:rPr>
                <w:rFonts w:ascii="Verdana" w:hAnsi="Verdana"/>
                <w:sz w:val="15"/>
                <w:szCs w:val="15"/>
                <w:lang w:val="pl-PL"/>
              </w:rPr>
              <w:t xml:space="preserve"> informacji, obsłu</w:t>
            </w:r>
            <w:r w:rsidRPr="00433950">
              <w:rPr>
                <w:rFonts w:ascii="Verdana" w:hAnsi="Verdana"/>
                <w:sz w:val="15"/>
                <w:szCs w:val="15"/>
                <w:lang w:val="pl-PL"/>
              </w:rPr>
              <w:t>gę</w:t>
            </w:r>
            <w:r w:rsidR="00D366AC" w:rsidRPr="00433950">
              <w:rPr>
                <w:rFonts w:ascii="Verdana" w:hAnsi="Verdana"/>
                <w:sz w:val="15"/>
                <w:szCs w:val="15"/>
                <w:lang w:val="pl-PL"/>
              </w:rPr>
              <w:t xml:space="preserve"> p</w:t>
            </w:r>
            <w:r w:rsidR="0024609A" w:rsidRPr="00433950">
              <w:rPr>
                <w:rFonts w:ascii="Verdana" w:hAnsi="Verdana"/>
                <w:sz w:val="15"/>
                <w:szCs w:val="15"/>
                <w:lang w:val="pl-PL"/>
              </w:rPr>
              <w:t xml:space="preserve">rocesu rejestracyjnego, </w:t>
            </w:r>
            <w:r w:rsidR="00D366AC" w:rsidRPr="00433950">
              <w:rPr>
                <w:rFonts w:ascii="Verdana" w:hAnsi="Verdana"/>
                <w:sz w:val="15"/>
                <w:szCs w:val="15"/>
                <w:lang w:val="pl-PL"/>
              </w:rPr>
              <w:t>współprac</w:t>
            </w:r>
            <w:r w:rsidRPr="00433950">
              <w:rPr>
                <w:rFonts w:ascii="Verdana" w:hAnsi="Verdana"/>
                <w:sz w:val="15"/>
                <w:szCs w:val="15"/>
                <w:lang w:val="pl-PL"/>
              </w:rPr>
              <w:t>ę</w:t>
            </w:r>
            <w:r w:rsidR="00D366AC" w:rsidRPr="00433950">
              <w:rPr>
                <w:rFonts w:ascii="Verdana" w:hAnsi="Verdana"/>
                <w:sz w:val="15"/>
                <w:szCs w:val="15"/>
                <w:lang w:val="pl-PL"/>
              </w:rPr>
              <w:t xml:space="preserve"> z </w:t>
            </w:r>
            <w:bookmarkStart w:id="0" w:name="OLE_LINK1"/>
            <w:bookmarkStart w:id="1" w:name="OLE_LINK2"/>
            <w:r w:rsidR="00D366AC" w:rsidRPr="00433950">
              <w:rPr>
                <w:rFonts w:ascii="Verdana" w:hAnsi="Verdana"/>
                <w:sz w:val="15"/>
                <w:szCs w:val="15"/>
                <w:lang w:val="pl-PL"/>
              </w:rPr>
              <w:t>Terenowymi Ośrodkami Monitorowania Zatruć</w:t>
            </w:r>
            <w:r w:rsidR="0024609A" w:rsidRPr="00433950">
              <w:rPr>
                <w:rFonts w:ascii="Verdana" w:hAnsi="Verdana"/>
                <w:sz w:val="15"/>
                <w:szCs w:val="15"/>
                <w:lang w:val="pl-PL"/>
              </w:rPr>
              <w:t>, a w przyszłości także innymi podmiotami</w:t>
            </w:r>
            <w:r w:rsidRPr="00433950">
              <w:rPr>
                <w:rFonts w:ascii="Verdana" w:hAnsi="Verdana"/>
                <w:sz w:val="15"/>
                <w:szCs w:val="15"/>
                <w:lang w:val="pl-PL"/>
              </w:rPr>
              <w:t>, oraz komunikację z systemami innych krajów UE</w:t>
            </w:r>
            <w:bookmarkEnd w:id="0"/>
            <w:bookmarkEnd w:id="1"/>
            <w:r w:rsidRPr="00433950">
              <w:rPr>
                <w:rFonts w:ascii="Verdana" w:hAnsi="Verdana"/>
                <w:sz w:val="15"/>
                <w:szCs w:val="15"/>
                <w:lang w:val="pl-PL"/>
              </w:rPr>
              <w:t>.</w:t>
            </w:r>
          </w:p>
          <w:p w:rsidR="0006491F" w:rsidRPr="00433950" w:rsidRDefault="000375DD" w:rsidP="00041009">
            <w:pPr>
              <w:pStyle w:val="Bodycopy"/>
              <w:spacing w:line="264" w:lineRule="auto"/>
              <w:rPr>
                <w:rFonts w:ascii="Verdana" w:hAnsi="Verdana"/>
                <w:sz w:val="15"/>
                <w:szCs w:val="15"/>
                <w:lang w:val="pl-PL"/>
              </w:rPr>
            </w:pPr>
            <w:r w:rsidRPr="00433950">
              <w:rPr>
                <w:rFonts w:ascii="Verdana" w:hAnsi="Verdana"/>
                <w:sz w:val="15"/>
                <w:szCs w:val="15"/>
                <w:lang w:val="pl-PL"/>
              </w:rPr>
              <w:tab/>
              <w:t>„</w:t>
            </w:r>
            <w:r w:rsidR="008A43A2" w:rsidRPr="00433950">
              <w:rPr>
                <w:rFonts w:ascii="Verdana" w:hAnsi="Verdana"/>
                <w:i/>
                <w:sz w:val="15"/>
                <w:szCs w:val="15"/>
                <w:lang w:val="pl-PL"/>
              </w:rPr>
              <w:t xml:space="preserve">O działającym systemie </w:t>
            </w:r>
            <w:r w:rsidR="00492305" w:rsidRPr="00433950">
              <w:rPr>
                <w:rFonts w:ascii="Verdana" w:hAnsi="Verdana"/>
                <w:i/>
                <w:sz w:val="15"/>
                <w:szCs w:val="15"/>
                <w:lang w:val="pl-PL"/>
              </w:rPr>
              <w:t xml:space="preserve">będzie </w:t>
            </w:r>
            <w:r w:rsidR="008A43A2" w:rsidRPr="00433950">
              <w:rPr>
                <w:rFonts w:ascii="Verdana" w:hAnsi="Verdana"/>
                <w:i/>
                <w:sz w:val="15"/>
                <w:szCs w:val="15"/>
                <w:lang w:val="pl-PL"/>
              </w:rPr>
              <w:t>można mówić</w:t>
            </w:r>
            <w:r w:rsidR="00D72944" w:rsidRPr="00433950">
              <w:rPr>
                <w:rFonts w:ascii="Verdana" w:hAnsi="Verdana"/>
                <w:i/>
                <w:sz w:val="15"/>
                <w:szCs w:val="15"/>
                <w:lang w:val="pl-PL"/>
              </w:rPr>
              <w:t xml:space="preserve">, </w:t>
            </w:r>
            <w:r w:rsidR="008A43A2" w:rsidRPr="00433950">
              <w:rPr>
                <w:rFonts w:ascii="Verdana" w:hAnsi="Verdana"/>
                <w:i/>
                <w:sz w:val="15"/>
                <w:szCs w:val="15"/>
                <w:lang w:val="pl-PL"/>
              </w:rPr>
              <w:t xml:space="preserve">gdy </w:t>
            </w:r>
            <w:r w:rsidR="00EB02A0" w:rsidRPr="00433950">
              <w:rPr>
                <w:rFonts w:ascii="Verdana" w:hAnsi="Verdana"/>
                <w:i/>
                <w:sz w:val="15"/>
                <w:szCs w:val="15"/>
                <w:lang w:val="pl-PL"/>
              </w:rPr>
              <w:t xml:space="preserve">wprowadzimy </w:t>
            </w:r>
            <w:r w:rsidR="00D72944" w:rsidRPr="00433950">
              <w:rPr>
                <w:rFonts w:ascii="Verdana" w:hAnsi="Verdana"/>
                <w:i/>
                <w:sz w:val="15"/>
                <w:szCs w:val="15"/>
                <w:lang w:val="pl-PL"/>
              </w:rPr>
              <w:t xml:space="preserve">do niego wszystkie </w:t>
            </w:r>
            <w:r w:rsidR="008A43A2" w:rsidRPr="00433950">
              <w:rPr>
                <w:rFonts w:ascii="Verdana" w:hAnsi="Verdana"/>
                <w:i/>
                <w:sz w:val="15"/>
                <w:szCs w:val="15"/>
                <w:lang w:val="pl-PL"/>
              </w:rPr>
              <w:t>d</w:t>
            </w:r>
            <w:r w:rsidR="00D72944" w:rsidRPr="00433950">
              <w:rPr>
                <w:rFonts w:ascii="Verdana" w:hAnsi="Verdana"/>
                <w:i/>
                <w:sz w:val="15"/>
                <w:szCs w:val="15"/>
                <w:lang w:val="pl-PL"/>
              </w:rPr>
              <w:t>ane</w:t>
            </w:r>
            <w:r w:rsidR="005A0CC4" w:rsidRPr="00433950">
              <w:rPr>
                <w:rFonts w:ascii="Verdana" w:hAnsi="Verdana"/>
                <w:i/>
                <w:sz w:val="15"/>
                <w:szCs w:val="15"/>
                <w:lang w:val="pl-PL"/>
              </w:rPr>
              <w:t xml:space="preserve"> referencyjne</w:t>
            </w:r>
            <w:r w:rsidR="008A43A2" w:rsidRPr="00433950">
              <w:rPr>
                <w:rFonts w:ascii="Verdana" w:hAnsi="Verdana"/>
                <w:i/>
                <w:sz w:val="15"/>
                <w:szCs w:val="15"/>
                <w:lang w:val="pl-PL"/>
              </w:rPr>
              <w:t xml:space="preserve">. To długi i żmudny proces, który potrwa co </w:t>
            </w:r>
            <w:r w:rsidR="00EB02A0" w:rsidRPr="00433950">
              <w:rPr>
                <w:rFonts w:ascii="Verdana" w:hAnsi="Verdana"/>
                <w:i/>
                <w:sz w:val="15"/>
                <w:szCs w:val="15"/>
                <w:lang w:val="pl-PL"/>
              </w:rPr>
              <w:t xml:space="preserve">najmniej </w:t>
            </w:r>
            <w:r w:rsidR="008A43A2" w:rsidRPr="00433950">
              <w:rPr>
                <w:rFonts w:ascii="Verdana" w:hAnsi="Verdana"/>
                <w:i/>
                <w:sz w:val="15"/>
                <w:szCs w:val="15"/>
                <w:lang w:val="pl-PL"/>
              </w:rPr>
              <w:t>kilka miesięcy</w:t>
            </w:r>
            <w:r w:rsidRPr="00433950">
              <w:rPr>
                <w:rFonts w:ascii="Verdana" w:hAnsi="Verdana"/>
                <w:i/>
                <w:sz w:val="15"/>
                <w:szCs w:val="15"/>
                <w:lang w:val="pl-PL"/>
              </w:rPr>
              <w:t xml:space="preserve">. </w:t>
            </w:r>
            <w:r w:rsidR="00D72944" w:rsidRPr="00433950">
              <w:rPr>
                <w:rFonts w:ascii="Verdana" w:hAnsi="Verdana"/>
                <w:i/>
                <w:sz w:val="15"/>
                <w:szCs w:val="15"/>
                <w:lang w:val="pl-PL"/>
              </w:rPr>
              <w:t xml:space="preserve">Dopiero </w:t>
            </w:r>
            <w:r w:rsidR="005A0CC4" w:rsidRPr="00433950">
              <w:rPr>
                <w:rFonts w:ascii="Verdana" w:hAnsi="Verdana"/>
                <w:i/>
                <w:sz w:val="15"/>
                <w:szCs w:val="15"/>
                <w:lang w:val="pl-PL"/>
              </w:rPr>
              <w:t>wtedy</w:t>
            </w:r>
            <w:r w:rsidR="00D72944" w:rsidRPr="00433950">
              <w:rPr>
                <w:rFonts w:ascii="Verdana" w:hAnsi="Verdana"/>
                <w:i/>
                <w:sz w:val="15"/>
                <w:szCs w:val="15"/>
                <w:lang w:val="pl-PL"/>
              </w:rPr>
              <w:t xml:space="preserve"> uruchomimy</w:t>
            </w:r>
            <w:r w:rsidRPr="00433950">
              <w:rPr>
                <w:rFonts w:ascii="Verdana" w:hAnsi="Verdana"/>
                <w:i/>
                <w:sz w:val="15"/>
                <w:szCs w:val="15"/>
                <w:lang w:val="pl-PL"/>
              </w:rPr>
              <w:t xml:space="preserve"> elektroniczną rejestrację, ale wciąż będzie to wycinek zakresu merytorycznego, o którym </w:t>
            </w:r>
            <w:r w:rsidR="005E201B" w:rsidRPr="00433950">
              <w:rPr>
                <w:rFonts w:ascii="Verdana" w:hAnsi="Verdana"/>
                <w:i/>
                <w:sz w:val="15"/>
                <w:szCs w:val="15"/>
                <w:lang w:val="pl-PL"/>
              </w:rPr>
              <w:t>mówi</w:t>
            </w:r>
            <w:r w:rsidRPr="00433950">
              <w:rPr>
                <w:rFonts w:ascii="Verdana" w:hAnsi="Verdana"/>
                <w:i/>
                <w:sz w:val="15"/>
                <w:szCs w:val="15"/>
                <w:lang w:val="pl-PL"/>
              </w:rPr>
              <w:t xml:space="preserve"> dyrektywa.</w:t>
            </w:r>
            <w:r w:rsidR="00EB02A0" w:rsidRPr="00433950">
              <w:rPr>
                <w:rFonts w:ascii="Verdana" w:hAnsi="Verdana"/>
                <w:i/>
                <w:sz w:val="15"/>
                <w:szCs w:val="15"/>
                <w:lang w:val="pl-PL"/>
              </w:rPr>
              <w:t xml:space="preserve"> </w:t>
            </w:r>
            <w:r w:rsidR="00D72944" w:rsidRPr="00433950">
              <w:rPr>
                <w:rFonts w:ascii="Verdana" w:hAnsi="Verdana"/>
                <w:i/>
                <w:sz w:val="15"/>
                <w:szCs w:val="15"/>
                <w:lang w:val="pl-PL"/>
              </w:rPr>
              <w:t xml:space="preserve">Celem </w:t>
            </w:r>
            <w:r w:rsidR="00EB02A0" w:rsidRPr="00433950">
              <w:rPr>
                <w:rFonts w:ascii="Verdana" w:hAnsi="Verdana"/>
                <w:i/>
                <w:sz w:val="15"/>
                <w:szCs w:val="15"/>
                <w:lang w:val="pl-PL"/>
              </w:rPr>
              <w:t>harmonizacji jest bowiem bieżąca wymiana informacji między podmiotami odpowiedzialnymi na poziomie krajów i wzajemne uznawanie przez kraje członkowskie dopuszczeń wydanych w pozostałych krajach</w:t>
            </w:r>
            <w:r w:rsidR="00534247" w:rsidRPr="00433950">
              <w:rPr>
                <w:rFonts w:ascii="Verdana" w:hAnsi="Verdana"/>
                <w:i/>
                <w:sz w:val="15"/>
                <w:szCs w:val="15"/>
                <w:lang w:val="pl-PL"/>
              </w:rPr>
              <w:t>. Na razie po prostu nie mamy z k</w:t>
            </w:r>
            <w:r w:rsidR="006D333B" w:rsidRPr="00433950">
              <w:rPr>
                <w:rFonts w:ascii="Verdana" w:hAnsi="Verdana"/>
                <w:i/>
                <w:sz w:val="15"/>
                <w:szCs w:val="15"/>
                <w:lang w:val="pl-PL"/>
              </w:rPr>
              <w:t>i</w:t>
            </w:r>
            <w:r w:rsidR="00534247" w:rsidRPr="00433950">
              <w:rPr>
                <w:rFonts w:ascii="Verdana" w:hAnsi="Verdana"/>
                <w:i/>
                <w:sz w:val="15"/>
                <w:szCs w:val="15"/>
                <w:lang w:val="pl-PL"/>
              </w:rPr>
              <w:t>m tych danych wymieniać, bo w większości krajów UE prace nie wyszły jeszcze poza etap przeglądu stanu bieżącego</w:t>
            </w:r>
            <w:r w:rsidR="00EB02A0" w:rsidRPr="00433950">
              <w:rPr>
                <w:rFonts w:ascii="Verdana" w:hAnsi="Verdana"/>
                <w:sz w:val="15"/>
                <w:szCs w:val="15"/>
                <w:lang w:val="pl-PL"/>
              </w:rPr>
              <w:t xml:space="preserve">” – wyjaśnia </w:t>
            </w:r>
            <w:r w:rsidR="008162CB" w:rsidRPr="00433950">
              <w:rPr>
                <w:rFonts w:ascii="Verdana" w:hAnsi="Verdana"/>
                <w:sz w:val="15"/>
                <w:szCs w:val="15"/>
                <w:lang w:val="pl-PL"/>
              </w:rPr>
              <w:t>w</w:t>
            </w:r>
            <w:r w:rsidR="006D333B" w:rsidRPr="00433950">
              <w:rPr>
                <w:rFonts w:ascii="Verdana" w:hAnsi="Verdana"/>
                <w:sz w:val="15"/>
                <w:szCs w:val="15"/>
                <w:lang w:val="pl-PL"/>
              </w:rPr>
              <w:t>icep</w:t>
            </w:r>
            <w:r w:rsidR="00EB02A0" w:rsidRPr="00433950">
              <w:rPr>
                <w:rFonts w:ascii="Verdana" w:hAnsi="Verdana"/>
                <w:sz w:val="15"/>
                <w:szCs w:val="15"/>
                <w:lang w:val="pl-PL"/>
              </w:rPr>
              <w:t>rezes Urzędu, Antoni Kunikowski.</w:t>
            </w:r>
          </w:p>
          <w:p w:rsidR="00492305" w:rsidRPr="00433950" w:rsidRDefault="00492305" w:rsidP="00041009">
            <w:pPr>
              <w:pStyle w:val="Bodycopy"/>
              <w:spacing w:line="264" w:lineRule="auto"/>
              <w:rPr>
                <w:rFonts w:ascii="Verdana" w:hAnsi="Verdana"/>
                <w:sz w:val="15"/>
                <w:szCs w:val="15"/>
                <w:lang w:val="pl-PL"/>
              </w:rPr>
            </w:pPr>
            <w:r w:rsidRPr="00433950">
              <w:rPr>
                <w:rFonts w:ascii="Verdana" w:hAnsi="Verdana"/>
                <w:sz w:val="15"/>
                <w:szCs w:val="15"/>
                <w:lang w:val="pl-PL"/>
              </w:rPr>
              <w:tab/>
              <w:t xml:space="preserve">Mimo to, Urząd </w:t>
            </w:r>
            <w:r w:rsidR="009522C5" w:rsidRPr="00433950">
              <w:rPr>
                <w:rFonts w:ascii="Verdana" w:hAnsi="Verdana"/>
                <w:sz w:val="15"/>
                <w:szCs w:val="15"/>
                <w:lang w:val="pl-PL"/>
              </w:rPr>
              <w:t xml:space="preserve">może być dumny z tego, że wspólnie z partnerem technologicznym </w:t>
            </w:r>
            <w:r w:rsidR="005B07B3" w:rsidRPr="00433950">
              <w:rPr>
                <w:rFonts w:ascii="Verdana" w:hAnsi="Verdana"/>
                <w:sz w:val="15"/>
                <w:szCs w:val="15"/>
                <w:lang w:val="pl-PL"/>
              </w:rPr>
              <w:t xml:space="preserve">– firmą Transition Technologie SA </w:t>
            </w:r>
            <w:r w:rsidRPr="00433950">
              <w:rPr>
                <w:rFonts w:ascii="Verdana" w:hAnsi="Verdana"/>
                <w:sz w:val="15"/>
                <w:szCs w:val="15"/>
                <w:lang w:val="pl-PL"/>
              </w:rPr>
              <w:t xml:space="preserve">dokonał tego, co udało się dotychczas </w:t>
            </w:r>
            <w:r w:rsidR="006B5154" w:rsidRPr="00433950">
              <w:rPr>
                <w:rFonts w:ascii="Verdana" w:hAnsi="Verdana"/>
                <w:sz w:val="15"/>
                <w:szCs w:val="15"/>
                <w:lang w:val="pl-PL"/>
              </w:rPr>
              <w:t>tylko w kilku</w:t>
            </w:r>
            <w:r w:rsidR="008A02CC" w:rsidRPr="00433950">
              <w:rPr>
                <w:rFonts w:ascii="Verdana" w:hAnsi="Verdana"/>
                <w:sz w:val="15"/>
                <w:szCs w:val="15"/>
                <w:lang w:val="pl-PL"/>
              </w:rPr>
              <w:t xml:space="preserve"> krajach</w:t>
            </w:r>
            <w:r w:rsidRPr="00433950">
              <w:rPr>
                <w:rFonts w:ascii="Verdana" w:hAnsi="Verdana"/>
                <w:sz w:val="15"/>
                <w:szCs w:val="15"/>
                <w:lang w:val="pl-PL"/>
              </w:rPr>
              <w:t xml:space="preserve"> </w:t>
            </w:r>
            <w:r w:rsidR="007658E3" w:rsidRPr="00433950">
              <w:rPr>
                <w:rFonts w:ascii="Verdana" w:hAnsi="Verdana"/>
                <w:sz w:val="15"/>
                <w:szCs w:val="15"/>
                <w:lang w:val="pl-PL"/>
              </w:rPr>
              <w:t>członkowskich UE. Urząd s</w:t>
            </w:r>
            <w:r w:rsidR="009522C5" w:rsidRPr="00433950">
              <w:rPr>
                <w:rFonts w:ascii="Verdana" w:hAnsi="Verdana"/>
                <w:sz w:val="15"/>
                <w:szCs w:val="15"/>
                <w:lang w:val="pl-PL"/>
              </w:rPr>
              <w:t xml:space="preserve">tworzył </w:t>
            </w:r>
            <w:r w:rsidR="007658E3" w:rsidRPr="00433950">
              <w:rPr>
                <w:rFonts w:ascii="Verdana" w:hAnsi="Verdana"/>
                <w:sz w:val="15"/>
                <w:szCs w:val="15"/>
                <w:lang w:val="pl-PL"/>
              </w:rPr>
              <w:t xml:space="preserve">bowiem </w:t>
            </w:r>
            <w:r w:rsidR="009522C5" w:rsidRPr="00433950">
              <w:rPr>
                <w:rFonts w:ascii="Verdana" w:hAnsi="Verdana"/>
                <w:sz w:val="15"/>
                <w:szCs w:val="15"/>
                <w:lang w:val="pl-PL"/>
              </w:rPr>
              <w:t>jednolite</w:t>
            </w:r>
            <w:r w:rsidRPr="00433950">
              <w:rPr>
                <w:rFonts w:ascii="Verdana" w:hAnsi="Verdana"/>
                <w:sz w:val="15"/>
                <w:szCs w:val="15"/>
                <w:lang w:val="pl-PL"/>
              </w:rPr>
              <w:t xml:space="preserve"> rozwiązanie tech</w:t>
            </w:r>
            <w:r w:rsidR="009522C5" w:rsidRPr="00433950">
              <w:rPr>
                <w:rFonts w:ascii="Verdana" w:hAnsi="Verdana"/>
                <w:sz w:val="15"/>
                <w:szCs w:val="15"/>
                <w:lang w:val="pl-PL"/>
              </w:rPr>
              <w:t xml:space="preserve">niczne, które automatyzuje </w:t>
            </w:r>
            <w:r w:rsidR="00431EC2" w:rsidRPr="00433950">
              <w:rPr>
                <w:rFonts w:ascii="Verdana" w:hAnsi="Verdana"/>
                <w:sz w:val="15"/>
                <w:szCs w:val="15"/>
                <w:lang w:val="pl-PL"/>
              </w:rPr>
              <w:t>c</w:t>
            </w:r>
            <w:r w:rsidR="008A02CC" w:rsidRPr="00433950">
              <w:rPr>
                <w:rFonts w:ascii="Verdana" w:hAnsi="Verdana"/>
                <w:sz w:val="15"/>
                <w:szCs w:val="15"/>
                <w:lang w:val="pl-PL"/>
              </w:rPr>
              <w:t>zęść</w:t>
            </w:r>
            <w:r w:rsidR="00431EC2" w:rsidRPr="00433950">
              <w:rPr>
                <w:rFonts w:ascii="Verdana" w:hAnsi="Verdana"/>
                <w:sz w:val="15"/>
                <w:szCs w:val="15"/>
                <w:lang w:val="pl-PL"/>
              </w:rPr>
              <w:t xml:space="preserve"> </w:t>
            </w:r>
            <w:r w:rsidR="008A02CC" w:rsidRPr="00433950">
              <w:rPr>
                <w:rFonts w:ascii="Verdana" w:hAnsi="Verdana"/>
                <w:sz w:val="15"/>
                <w:szCs w:val="15"/>
                <w:lang w:val="pl-PL"/>
              </w:rPr>
              <w:t xml:space="preserve">administracyjną </w:t>
            </w:r>
            <w:r w:rsidR="00431EC2" w:rsidRPr="00433950">
              <w:rPr>
                <w:rFonts w:ascii="Verdana" w:hAnsi="Verdana"/>
                <w:sz w:val="15"/>
                <w:szCs w:val="15"/>
                <w:lang w:val="pl-PL"/>
              </w:rPr>
              <w:t>procesów rejestracji</w:t>
            </w:r>
            <w:r w:rsidR="009522C5" w:rsidRPr="00433950">
              <w:rPr>
                <w:rFonts w:ascii="Verdana" w:hAnsi="Verdana"/>
                <w:sz w:val="15"/>
                <w:szCs w:val="15"/>
                <w:lang w:val="pl-PL"/>
              </w:rPr>
              <w:t xml:space="preserve"> substancji i produktów</w:t>
            </w:r>
            <w:r w:rsidR="00431EC2" w:rsidRPr="00433950">
              <w:rPr>
                <w:rFonts w:ascii="Verdana" w:hAnsi="Verdana"/>
                <w:sz w:val="15"/>
                <w:szCs w:val="15"/>
                <w:lang w:val="pl-PL"/>
              </w:rPr>
              <w:t>, współpracę z ośrodkami terenowymi, jak również wymianę danych z innymi krajami</w:t>
            </w:r>
            <w:r w:rsidR="009522C5" w:rsidRPr="00433950">
              <w:rPr>
                <w:rFonts w:ascii="Verdana" w:hAnsi="Verdana"/>
                <w:sz w:val="15"/>
                <w:szCs w:val="15"/>
                <w:lang w:val="pl-PL"/>
              </w:rPr>
              <w:t>.</w:t>
            </w:r>
          </w:p>
          <w:p w:rsidR="00A30027" w:rsidRPr="00433950" w:rsidRDefault="0048415E" w:rsidP="00B13C30">
            <w:pPr>
              <w:pStyle w:val="Bodycopy"/>
              <w:spacing w:line="264" w:lineRule="auto"/>
              <w:rPr>
                <w:rFonts w:ascii="Verdana" w:hAnsi="Verdana"/>
                <w:sz w:val="15"/>
                <w:szCs w:val="15"/>
                <w:lang w:val="pl-PL"/>
              </w:rPr>
            </w:pPr>
            <w:r w:rsidRPr="00433950">
              <w:rPr>
                <w:rFonts w:ascii="Verdana" w:hAnsi="Verdana"/>
                <w:sz w:val="15"/>
                <w:szCs w:val="15"/>
                <w:lang w:val="pl-PL"/>
              </w:rPr>
              <w:tab/>
              <w:t>„</w:t>
            </w:r>
            <w:r w:rsidR="00024EFC" w:rsidRPr="00433950">
              <w:rPr>
                <w:rFonts w:ascii="Verdana" w:hAnsi="Verdana"/>
                <w:i/>
                <w:sz w:val="15"/>
                <w:szCs w:val="15"/>
                <w:lang w:val="pl-PL"/>
              </w:rPr>
              <w:t xml:space="preserve">Mamy za sobą etap najtrudniejszy pod względem technicznym, polegający na </w:t>
            </w:r>
            <w:r w:rsidR="00AF3E57" w:rsidRPr="00433950">
              <w:rPr>
                <w:rFonts w:ascii="Verdana" w:hAnsi="Verdana"/>
                <w:i/>
                <w:sz w:val="15"/>
                <w:szCs w:val="15"/>
                <w:lang w:val="pl-PL"/>
              </w:rPr>
              <w:t xml:space="preserve">przygotowaniu </w:t>
            </w:r>
            <w:r w:rsidR="00024EFC" w:rsidRPr="00433950">
              <w:rPr>
                <w:rFonts w:ascii="Verdana" w:hAnsi="Verdana"/>
                <w:i/>
                <w:sz w:val="15"/>
                <w:szCs w:val="15"/>
                <w:lang w:val="pl-PL"/>
              </w:rPr>
              <w:t>automatyzacji procesu przyjmowania wniosków</w:t>
            </w:r>
            <w:r w:rsidR="00BC2027" w:rsidRPr="00433950">
              <w:rPr>
                <w:rFonts w:ascii="Verdana" w:hAnsi="Verdana"/>
                <w:i/>
                <w:sz w:val="15"/>
                <w:szCs w:val="15"/>
                <w:lang w:val="pl-PL"/>
              </w:rPr>
              <w:t xml:space="preserve"> </w:t>
            </w:r>
            <w:r w:rsidR="00B13C30" w:rsidRPr="00433950">
              <w:rPr>
                <w:rFonts w:ascii="Verdana" w:hAnsi="Verdana"/>
                <w:i/>
                <w:sz w:val="15"/>
                <w:szCs w:val="15"/>
                <w:lang w:val="pl-PL"/>
              </w:rPr>
              <w:t>wraz z dołączoną do nich</w:t>
            </w:r>
            <w:r w:rsidR="00BC2027" w:rsidRPr="00433950">
              <w:rPr>
                <w:rFonts w:ascii="Verdana" w:hAnsi="Verdana"/>
                <w:i/>
                <w:sz w:val="15"/>
                <w:szCs w:val="15"/>
                <w:lang w:val="pl-PL"/>
              </w:rPr>
              <w:t xml:space="preserve"> dokumentac</w:t>
            </w:r>
            <w:r w:rsidR="00B13C30" w:rsidRPr="00433950">
              <w:rPr>
                <w:rFonts w:ascii="Verdana" w:hAnsi="Verdana"/>
                <w:i/>
                <w:sz w:val="15"/>
                <w:szCs w:val="15"/>
                <w:lang w:val="pl-PL"/>
              </w:rPr>
              <w:t>ją</w:t>
            </w:r>
            <w:r w:rsidR="00024EFC" w:rsidRPr="00433950">
              <w:rPr>
                <w:rFonts w:ascii="Verdana" w:hAnsi="Verdana"/>
                <w:i/>
                <w:sz w:val="15"/>
                <w:szCs w:val="15"/>
                <w:lang w:val="pl-PL"/>
              </w:rPr>
              <w:t xml:space="preserve">. Nie chodzi </w:t>
            </w:r>
            <w:r w:rsidR="000D1DCF" w:rsidRPr="00433950">
              <w:rPr>
                <w:rFonts w:ascii="Verdana" w:hAnsi="Verdana"/>
                <w:i/>
                <w:sz w:val="15"/>
                <w:szCs w:val="15"/>
                <w:lang w:val="pl-PL"/>
              </w:rPr>
              <w:t xml:space="preserve">tu </w:t>
            </w:r>
            <w:r w:rsidR="00584D8A" w:rsidRPr="00433950">
              <w:rPr>
                <w:rFonts w:ascii="Verdana" w:hAnsi="Verdana"/>
                <w:i/>
                <w:sz w:val="15"/>
                <w:szCs w:val="15"/>
                <w:lang w:val="pl-PL"/>
              </w:rPr>
              <w:t xml:space="preserve">tylko </w:t>
            </w:r>
            <w:r w:rsidR="00024EFC" w:rsidRPr="00433950">
              <w:rPr>
                <w:rFonts w:ascii="Verdana" w:hAnsi="Verdana"/>
                <w:i/>
                <w:sz w:val="15"/>
                <w:szCs w:val="15"/>
                <w:lang w:val="pl-PL"/>
              </w:rPr>
              <w:t xml:space="preserve">o sam proces obiegu, ale o </w:t>
            </w:r>
            <w:r w:rsidR="00130A86" w:rsidRPr="00433950">
              <w:rPr>
                <w:rFonts w:ascii="Verdana" w:hAnsi="Verdana"/>
                <w:i/>
                <w:sz w:val="15"/>
                <w:szCs w:val="15"/>
                <w:lang w:val="pl-PL"/>
              </w:rPr>
              <w:t xml:space="preserve">poprzedzającą go </w:t>
            </w:r>
            <w:r w:rsidR="00024EFC" w:rsidRPr="00433950">
              <w:rPr>
                <w:rFonts w:ascii="Verdana" w:hAnsi="Verdana"/>
                <w:i/>
                <w:sz w:val="15"/>
                <w:szCs w:val="15"/>
                <w:lang w:val="pl-PL"/>
              </w:rPr>
              <w:t>automatyzację weryfikacji zakresu i for</w:t>
            </w:r>
            <w:r w:rsidR="00D754AD" w:rsidRPr="00433950">
              <w:rPr>
                <w:rFonts w:ascii="Verdana" w:hAnsi="Verdana"/>
                <w:i/>
                <w:sz w:val="15"/>
                <w:szCs w:val="15"/>
                <w:lang w:val="pl-PL"/>
              </w:rPr>
              <w:t>matu</w:t>
            </w:r>
            <w:r w:rsidR="00024EFC" w:rsidRPr="00433950">
              <w:rPr>
                <w:rFonts w:ascii="Verdana" w:hAnsi="Verdana"/>
                <w:i/>
                <w:sz w:val="15"/>
                <w:szCs w:val="15"/>
                <w:lang w:val="pl-PL"/>
              </w:rPr>
              <w:t xml:space="preserve"> danych</w:t>
            </w:r>
            <w:r w:rsidR="00130A86" w:rsidRPr="00433950">
              <w:rPr>
                <w:rFonts w:ascii="Verdana" w:hAnsi="Verdana"/>
                <w:i/>
                <w:sz w:val="15"/>
                <w:szCs w:val="15"/>
                <w:lang w:val="pl-PL"/>
              </w:rPr>
              <w:t>. Takich danych</w:t>
            </w:r>
            <w:r w:rsidR="00D469E9" w:rsidRPr="00433950">
              <w:rPr>
                <w:rFonts w:ascii="Verdana" w:hAnsi="Verdana"/>
                <w:i/>
                <w:sz w:val="15"/>
                <w:szCs w:val="15"/>
                <w:lang w:val="pl-PL"/>
              </w:rPr>
              <w:t xml:space="preserve"> </w:t>
            </w:r>
            <w:r w:rsidR="00BC2027" w:rsidRPr="00433950">
              <w:rPr>
                <w:rFonts w:ascii="Verdana" w:hAnsi="Verdana"/>
                <w:i/>
                <w:sz w:val="15"/>
                <w:szCs w:val="15"/>
                <w:lang w:val="pl-PL"/>
              </w:rPr>
              <w:t xml:space="preserve">każda dokumentacja </w:t>
            </w:r>
            <w:r w:rsidR="00C03361" w:rsidRPr="00433950">
              <w:rPr>
                <w:rFonts w:ascii="Verdana" w:hAnsi="Verdana"/>
                <w:i/>
                <w:sz w:val="15"/>
                <w:szCs w:val="15"/>
                <w:lang w:val="pl-PL"/>
              </w:rPr>
              <w:t xml:space="preserve">może </w:t>
            </w:r>
            <w:r w:rsidR="00D469E9" w:rsidRPr="00433950">
              <w:rPr>
                <w:rFonts w:ascii="Verdana" w:hAnsi="Verdana"/>
                <w:i/>
                <w:sz w:val="15"/>
                <w:szCs w:val="15"/>
                <w:lang w:val="pl-PL"/>
              </w:rPr>
              <w:t>zawiera</w:t>
            </w:r>
            <w:r w:rsidR="00C03361" w:rsidRPr="00433950">
              <w:rPr>
                <w:rFonts w:ascii="Verdana" w:hAnsi="Verdana"/>
                <w:i/>
                <w:sz w:val="15"/>
                <w:szCs w:val="15"/>
                <w:lang w:val="pl-PL"/>
              </w:rPr>
              <w:t>ć</w:t>
            </w:r>
            <w:r w:rsidR="00D469E9" w:rsidRPr="00433950">
              <w:rPr>
                <w:rFonts w:ascii="Verdana" w:hAnsi="Verdana"/>
                <w:i/>
                <w:sz w:val="15"/>
                <w:szCs w:val="15"/>
                <w:lang w:val="pl-PL"/>
              </w:rPr>
              <w:t xml:space="preserve">, w przeliczeniu, </w:t>
            </w:r>
            <w:r w:rsidR="00C03361" w:rsidRPr="00433950">
              <w:rPr>
                <w:rFonts w:ascii="Verdana" w:hAnsi="Verdana"/>
                <w:i/>
                <w:sz w:val="15"/>
                <w:szCs w:val="15"/>
                <w:lang w:val="pl-PL"/>
              </w:rPr>
              <w:t xml:space="preserve">nawet </w:t>
            </w:r>
            <w:r w:rsidR="00024EFC" w:rsidRPr="00433950">
              <w:rPr>
                <w:rFonts w:ascii="Verdana" w:hAnsi="Verdana"/>
                <w:i/>
                <w:sz w:val="15"/>
                <w:szCs w:val="15"/>
                <w:lang w:val="pl-PL"/>
              </w:rPr>
              <w:t>kilkadziesiąt grubych segregatorów</w:t>
            </w:r>
            <w:r w:rsidR="00492305" w:rsidRPr="00433950">
              <w:rPr>
                <w:rFonts w:ascii="Verdana" w:hAnsi="Verdana"/>
                <w:i/>
                <w:sz w:val="15"/>
                <w:szCs w:val="15"/>
                <w:lang w:val="pl-PL"/>
              </w:rPr>
              <w:t xml:space="preserve">. </w:t>
            </w:r>
            <w:r w:rsidR="004274DC" w:rsidRPr="00433950">
              <w:rPr>
                <w:rFonts w:ascii="Verdana" w:hAnsi="Verdana"/>
                <w:i/>
                <w:sz w:val="15"/>
                <w:szCs w:val="15"/>
                <w:lang w:val="pl-PL"/>
              </w:rPr>
              <w:t>Początkowo s</w:t>
            </w:r>
            <w:r w:rsidR="00492305" w:rsidRPr="00433950">
              <w:rPr>
                <w:rFonts w:ascii="Verdana" w:hAnsi="Verdana"/>
                <w:i/>
                <w:sz w:val="15"/>
                <w:szCs w:val="15"/>
                <w:lang w:val="pl-PL"/>
              </w:rPr>
              <w:t>ami nie bardzo wierzyliśmy, ż</w:t>
            </w:r>
            <w:r w:rsidR="004274DC" w:rsidRPr="00433950">
              <w:rPr>
                <w:rFonts w:ascii="Verdana" w:hAnsi="Verdana"/>
                <w:i/>
                <w:sz w:val="15"/>
                <w:szCs w:val="15"/>
                <w:lang w:val="pl-PL"/>
              </w:rPr>
              <w:t>e to się uda</w:t>
            </w:r>
            <w:r w:rsidR="00492305" w:rsidRPr="00433950">
              <w:rPr>
                <w:rFonts w:ascii="Verdana" w:hAnsi="Verdana"/>
                <w:i/>
                <w:sz w:val="15"/>
                <w:szCs w:val="15"/>
                <w:lang w:val="pl-PL"/>
              </w:rPr>
              <w:t xml:space="preserve">, ale </w:t>
            </w:r>
            <w:r w:rsidR="00BB1EAB" w:rsidRPr="00433950">
              <w:rPr>
                <w:rFonts w:ascii="Verdana" w:hAnsi="Verdana"/>
                <w:i/>
                <w:sz w:val="15"/>
                <w:szCs w:val="15"/>
                <w:lang w:val="pl-PL"/>
              </w:rPr>
              <w:t xml:space="preserve">firma </w:t>
            </w:r>
            <w:r w:rsidR="00492305" w:rsidRPr="00433950">
              <w:rPr>
                <w:rFonts w:ascii="Verdana" w:hAnsi="Verdana"/>
                <w:i/>
                <w:sz w:val="15"/>
                <w:szCs w:val="15"/>
                <w:lang w:val="pl-PL"/>
              </w:rPr>
              <w:t>Transition Technologies</w:t>
            </w:r>
            <w:r w:rsidR="00BB1EAB" w:rsidRPr="00433950">
              <w:rPr>
                <w:rFonts w:ascii="Verdana" w:hAnsi="Verdana"/>
                <w:i/>
                <w:sz w:val="15"/>
                <w:szCs w:val="15"/>
                <w:lang w:val="pl-PL"/>
              </w:rPr>
              <w:t xml:space="preserve"> </w:t>
            </w:r>
            <w:r w:rsidR="00D469E9" w:rsidRPr="00433950">
              <w:rPr>
                <w:rFonts w:ascii="Verdana" w:hAnsi="Verdana"/>
                <w:i/>
                <w:sz w:val="15"/>
                <w:szCs w:val="15"/>
                <w:lang w:val="pl-PL"/>
              </w:rPr>
              <w:t>znalazła odpowiednie technologie i stworzyła dla nas rozwiązanie, które śmiało można nazwać unikalnym</w:t>
            </w:r>
            <w:r w:rsidR="00BB1EAB" w:rsidRPr="00433950">
              <w:rPr>
                <w:rFonts w:ascii="Verdana" w:hAnsi="Verdana"/>
                <w:i/>
                <w:sz w:val="15"/>
                <w:szCs w:val="15"/>
                <w:lang w:val="pl-PL"/>
              </w:rPr>
              <w:t xml:space="preserve"> w skali całej Unii Europejskiej </w:t>
            </w:r>
            <w:r w:rsidR="00CD7C50" w:rsidRPr="00433950">
              <w:rPr>
                <w:rFonts w:ascii="Verdana" w:hAnsi="Verdana"/>
                <w:sz w:val="15"/>
                <w:szCs w:val="15"/>
                <w:lang w:val="pl-PL"/>
              </w:rPr>
              <w:t xml:space="preserve">” – wyjaśnia </w:t>
            </w:r>
            <w:r w:rsidR="009861E5" w:rsidRPr="00433950">
              <w:rPr>
                <w:rFonts w:ascii="Verdana" w:hAnsi="Verdana"/>
                <w:sz w:val="15"/>
                <w:szCs w:val="15"/>
                <w:lang w:val="pl-PL"/>
              </w:rPr>
              <w:t xml:space="preserve">dr Robert Chrobak </w:t>
            </w:r>
            <w:r w:rsidR="00BC2027" w:rsidRPr="00433950">
              <w:rPr>
                <w:rFonts w:ascii="Verdana" w:hAnsi="Verdana"/>
                <w:sz w:val="15"/>
                <w:szCs w:val="15"/>
                <w:lang w:val="pl-PL"/>
              </w:rPr>
              <w:t xml:space="preserve">Kierownik </w:t>
            </w:r>
            <w:r w:rsidR="009861E5" w:rsidRPr="00433950">
              <w:rPr>
                <w:rFonts w:ascii="Verdana" w:hAnsi="Verdana"/>
                <w:sz w:val="15"/>
                <w:szCs w:val="15"/>
                <w:lang w:val="pl-PL"/>
              </w:rPr>
              <w:t>Działu Oceny Dokumentacji Fizyko-Chemicznej</w:t>
            </w:r>
            <w:r w:rsidR="00BC2027" w:rsidRPr="00433950">
              <w:rPr>
                <w:rFonts w:ascii="Verdana" w:hAnsi="Verdana"/>
                <w:sz w:val="15"/>
                <w:szCs w:val="15"/>
                <w:lang w:val="pl-PL"/>
              </w:rPr>
              <w:t xml:space="preserve"> Produktów Biobójczych</w:t>
            </w:r>
            <w:r w:rsidR="009861E5" w:rsidRPr="00433950">
              <w:rPr>
                <w:rFonts w:ascii="Verdana" w:hAnsi="Verdana"/>
                <w:sz w:val="15"/>
                <w:szCs w:val="15"/>
                <w:lang w:val="pl-PL"/>
              </w:rPr>
              <w:t>.</w:t>
            </w:r>
          </w:p>
        </w:tc>
      </w:tr>
      <w:tr w:rsidR="00A30027" w:rsidRPr="00433950">
        <w:trPr>
          <w:cantSplit/>
          <w:trHeight w:hRule="exact" w:val="141"/>
        </w:trPr>
        <w:tc>
          <w:tcPr>
            <w:tcW w:w="3119" w:type="dxa"/>
          </w:tcPr>
          <w:p w:rsidR="00A30027" w:rsidRPr="00433950" w:rsidRDefault="00A30027" w:rsidP="004A3FD7">
            <w:pPr>
              <w:spacing w:line="276" w:lineRule="auto"/>
              <w:rPr>
                <w:rFonts w:ascii="Verdana" w:hAnsi="Verdana"/>
                <w:sz w:val="14"/>
                <w:szCs w:val="14"/>
              </w:rPr>
            </w:pPr>
          </w:p>
        </w:tc>
        <w:tc>
          <w:tcPr>
            <w:tcW w:w="284" w:type="dxa"/>
            <w:tcBorders>
              <w:left w:val="nil"/>
              <w:right w:val="single" w:sz="8" w:space="0" w:color="999999"/>
            </w:tcBorders>
            <w:shd w:val="clear" w:color="auto" w:fill="auto"/>
          </w:tcPr>
          <w:p w:rsidR="00A30027" w:rsidRPr="00433950" w:rsidRDefault="00A30027">
            <w:pPr>
              <w:rPr>
                <w:rFonts w:ascii="Verdana" w:hAnsi="Verdana"/>
              </w:rPr>
            </w:pPr>
          </w:p>
        </w:tc>
        <w:tc>
          <w:tcPr>
            <w:tcW w:w="284" w:type="dxa"/>
            <w:tcBorders>
              <w:left w:val="single" w:sz="8" w:space="0" w:color="999999"/>
            </w:tcBorders>
          </w:tcPr>
          <w:p w:rsidR="00A30027" w:rsidRPr="00433950" w:rsidRDefault="00A30027">
            <w:pPr>
              <w:rPr>
                <w:rFonts w:ascii="Verdana" w:hAnsi="Verdana"/>
              </w:rPr>
            </w:pPr>
          </w:p>
        </w:tc>
        <w:tc>
          <w:tcPr>
            <w:tcW w:w="6945" w:type="dxa"/>
          </w:tcPr>
          <w:p w:rsidR="00A30027" w:rsidRPr="00433950" w:rsidRDefault="00A30027" w:rsidP="00790A53">
            <w:pPr>
              <w:spacing w:after="80" w:line="276" w:lineRule="auto"/>
              <w:jc w:val="right"/>
              <w:rPr>
                <w:rFonts w:ascii="Verdana" w:hAnsi="Verdana"/>
                <w:sz w:val="15"/>
                <w:szCs w:val="15"/>
              </w:rPr>
            </w:pPr>
          </w:p>
        </w:tc>
      </w:tr>
      <w:tr w:rsidR="00A30027" w:rsidRPr="00433950" w:rsidTr="00790A53">
        <w:trPr>
          <w:cantSplit/>
          <w:trHeight w:val="586"/>
        </w:trPr>
        <w:tc>
          <w:tcPr>
            <w:tcW w:w="3119" w:type="dxa"/>
            <w:vAlign w:val="bottom"/>
          </w:tcPr>
          <w:p w:rsidR="00A30027" w:rsidRPr="00433950" w:rsidRDefault="00A30027" w:rsidP="004A3FD7">
            <w:pPr>
              <w:spacing w:line="276" w:lineRule="auto"/>
              <w:rPr>
                <w:rFonts w:ascii="Verdana" w:hAnsi="Verdana"/>
                <w:sz w:val="16"/>
                <w:szCs w:val="16"/>
                <w:highlight w:val="yellow"/>
              </w:rPr>
            </w:pPr>
          </w:p>
        </w:tc>
        <w:tc>
          <w:tcPr>
            <w:tcW w:w="284" w:type="dxa"/>
            <w:tcBorders>
              <w:left w:val="nil"/>
              <w:right w:val="single" w:sz="8" w:space="0" w:color="999999"/>
            </w:tcBorders>
            <w:shd w:val="clear" w:color="auto" w:fill="auto"/>
          </w:tcPr>
          <w:p w:rsidR="00A30027" w:rsidRPr="00433950" w:rsidRDefault="00A30027">
            <w:pPr>
              <w:rPr>
                <w:rFonts w:ascii="Verdana" w:hAnsi="Verdana"/>
              </w:rPr>
            </w:pPr>
          </w:p>
        </w:tc>
        <w:tc>
          <w:tcPr>
            <w:tcW w:w="284" w:type="dxa"/>
            <w:tcBorders>
              <w:left w:val="single" w:sz="8" w:space="0" w:color="999999"/>
            </w:tcBorders>
          </w:tcPr>
          <w:p w:rsidR="00A30027" w:rsidRPr="00433950" w:rsidRDefault="00A30027">
            <w:pPr>
              <w:rPr>
                <w:rFonts w:ascii="Verdana" w:hAnsi="Verdana"/>
              </w:rPr>
            </w:pPr>
          </w:p>
        </w:tc>
        <w:tc>
          <w:tcPr>
            <w:tcW w:w="6945" w:type="dxa"/>
            <w:vAlign w:val="bottom"/>
          </w:tcPr>
          <w:p w:rsidR="00A30027" w:rsidRPr="00433950" w:rsidRDefault="00772BE8">
            <w:pPr>
              <w:jc w:val="right"/>
              <w:rPr>
                <w:rFonts w:ascii="Verdana" w:hAnsi="Verdana"/>
                <w:sz w:val="15"/>
                <w:szCs w:val="15"/>
              </w:rPr>
            </w:pPr>
            <w:r w:rsidRPr="00433950">
              <w:rPr>
                <w:rFonts w:ascii="Verdana" w:hAnsi="Verdana"/>
                <w:noProof/>
                <w:sz w:val="15"/>
                <w:szCs w:val="15"/>
                <w:lang w:eastAsia="pl-PL"/>
              </w:rPr>
              <w:drawing>
                <wp:inline distT="0" distB="0" distL="0" distR="0">
                  <wp:extent cx="908050" cy="419100"/>
                  <wp:effectExtent l="19050" t="0" r="6350" b="0"/>
                  <wp:docPr id="1" name="Obraz 2" descr="CEPFiles_logo_Win_Ser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EPFiles_logo_Win_Ser_System"/>
                          <pic:cNvPicPr>
                            <a:picLocks noChangeAspect="1" noChangeArrowheads="1"/>
                          </pic:cNvPicPr>
                        </pic:nvPicPr>
                        <pic:blipFill>
                          <a:blip r:embed="rId7" cstate="print"/>
                          <a:srcRect/>
                          <a:stretch>
                            <a:fillRect/>
                          </a:stretch>
                        </pic:blipFill>
                        <pic:spPr bwMode="auto">
                          <a:xfrm>
                            <a:off x="0" y="0"/>
                            <a:ext cx="908050" cy="419100"/>
                          </a:xfrm>
                          <a:prstGeom prst="rect">
                            <a:avLst/>
                          </a:prstGeom>
                          <a:noFill/>
                          <a:ln w="9525">
                            <a:noFill/>
                            <a:miter lim="800000"/>
                            <a:headEnd/>
                            <a:tailEnd/>
                          </a:ln>
                        </pic:spPr>
                      </pic:pic>
                    </a:graphicData>
                  </a:graphic>
                </wp:inline>
              </w:drawing>
            </w:r>
          </w:p>
        </w:tc>
      </w:tr>
    </w:tbl>
    <w:p w:rsidR="00A30027" w:rsidRPr="00433950" w:rsidRDefault="00A30027">
      <w:pPr>
        <w:rPr>
          <w:rFonts w:ascii="Verdana" w:hAnsi="Verdana"/>
          <w:sz w:val="2"/>
        </w:rPr>
        <w:sectPr w:rsidR="00A30027" w:rsidRPr="00433950">
          <w:headerReference w:type="even" r:id="rId8"/>
          <w:headerReference w:type="default" r:id="rId9"/>
          <w:footerReference w:type="even" r:id="rId10"/>
          <w:footerReference w:type="default" r:id="rId11"/>
          <w:headerReference w:type="first" r:id="rId12"/>
          <w:footerReference w:type="first" r:id="rId13"/>
          <w:pgSz w:w="12242" w:h="15842" w:code="1"/>
          <w:pgMar w:top="3119" w:right="851" w:bottom="200" w:left="851" w:header="0" w:footer="300" w:gutter="0"/>
          <w:cols w:space="227"/>
          <w:docGrid w:linePitch="360"/>
        </w:sectPr>
      </w:pPr>
    </w:p>
    <w:p w:rsidR="001771A9" w:rsidRPr="00433950" w:rsidRDefault="00AB69FD" w:rsidP="001771A9">
      <w:pPr>
        <w:pStyle w:val="SectionHeading"/>
        <w:outlineLvl w:val="0"/>
        <w:rPr>
          <w:color w:val="E36C0A"/>
          <w:sz w:val="20"/>
          <w:szCs w:val="20"/>
          <w:lang w:val="pl-PL"/>
        </w:rPr>
      </w:pPr>
      <w:r>
        <w:rPr>
          <w:color w:val="E36C0A"/>
          <w:sz w:val="20"/>
          <w:szCs w:val="20"/>
          <w:lang w:val="pl-PL" w:eastAsia="pl-PL"/>
        </w:rPr>
        <w:lastRenderedPageBreak/>
        <w:pict>
          <v:shapetype id="_x0000_t202" coordsize="21600,21600" o:spt="202" path="m,l,21600r21600,l21600,xe">
            <v:stroke joinstyle="miter"/>
            <v:path gradientshapeok="t" o:connecttype="rect"/>
          </v:shapetype>
          <v:shape id="_x0000_s1026" type="#_x0000_t202" style="position:absolute;margin-left:27pt;margin-top:168pt;width:161pt;height:487pt;z-index:251656192;mso-position-horizontal-relative:page;mso-position-vertical-relative:page" stroked="f">
            <v:textbox style="mso-next-textbox:#_x0000_s1026" inset="0,0,0,0">
              <w:txbxContent>
                <w:p w:rsidR="001771A9" w:rsidRPr="007657FD" w:rsidRDefault="001771A9" w:rsidP="001771A9">
                  <w:pPr>
                    <w:spacing w:line="360" w:lineRule="auto"/>
                    <w:rPr>
                      <w:i/>
                      <w:color w:val="E36C0A"/>
                      <w:sz w:val="24"/>
                    </w:rPr>
                  </w:pPr>
                  <w:r w:rsidRPr="007203FB">
                    <w:rPr>
                      <w:color w:val="E36C0A"/>
                      <w:sz w:val="24"/>
                    </w:rPr>
                    <w:t>„</w:t>
                  </w:r>
                  <w:r w:rsidR="008B0301" w:rsidRPr="008B0301">
                    <w:rPr>
                      <w:i/>
                      <w:color w:val="E36C0A"/>
                      <w:sz w:val="24"/>
                    </w:rPr>
                    <w:t xml:space="preserve">Zależało nam na stworzeniu jednolitego rozwiązania, </w:t>
                  </w:r>
                  <w:r w:rsidR="007203FB">
                    <w:rPr>
                      <w:i/>
                      <w:color w:val="E36C0A"/>
                      <w:sz w:val="24"/>
                    </w:rPr>
                    <w:br/>
                  </w:r>
                  <w:r w:rsidR="008B0301" w:rsidRPr="008B0301">
                    <w:rPr>
                      <w:i/>
                      <w:color w:val="E36C0A"/>
                      <w:sz w:val="24"/>
                    </w:rPr>
                    <w:t>które możliwie kompleksowo obsłuży</w:t>
                  </w:r>
                  <w:r w:rsidR="002C18A8">
                    <w:rPr>
                      <w:i/>
                      <w:color w:val="E36C0A"/>
                      <w:sz w:val="24"/>
                    </w:rPr>
                    <w:t>łoby</w:t>
                  </w:r>
                  <w:r w:rsidR="008B0301" w:rsidRPr="008B0301">
                    <w:rPr>
                      <w:i/>
                      <w:color w:val="E36C0A"/>
                      <w:sz w:val="24"/>
                    </w:rPr>
                    <w:t xml:space="preserve"> obecne i przyszłe potrzeby Urzędu. Nominalnie</w:t>
                  </w:r>
                  <w:r w:rsidR="00EC014C">
                    <w:rPr>
                      <w:i/>
                      <w:color w:val="E36C0A"/>
                      <w:sz w:val="24"/>
                    </w:rPr>
                    <w:t>,</w:t>
                  </w:r>
                  <w:r w:rsidR="008B0301" w:rsidRPr="008B0301">
                    <w:rPr>
                      <w:i/>
                      <w:color w:val="E36C0A"/>
                      <w:sz w:val="24"/>
                    </w:rPr>
                    <w:t xml:space="preserve"> wymiana danych w ramach UE </w:t>
                  </w:r>
                  <w:r w:rsidR="009D67D9">
                    <w:rPr>
                      <w:i/>
                      <w:color w:val="E36C0A"/>
                      <w:sz w:val="24"/>
                    </w:rPr>
                    <w:br/>
                  </w:r>
                  <w:r w:rsidR="008B0301" w:rsidRPr="008B0301">
                    <w:rPr>
                      <w:i/>
                      <w:color w:val="E36C0A"/>
                      <w:sz w:val="24"/>
                    </w:rPr>
                    <w:t xml:space="preserve">i nasze potrzeby wewnętrzne to dwie całkiem odrębne sprawy, w praktyce jednak silnie się zazębiają. Intencją dyrektywy </w:t>
                  </w:r>
                  <w:r w:rsidR="009D67D9">
                    <w:rPr>
                      <w:i/>
                      <w:color w:val="E36C0A"/>
                      <w:sz w:val="24"/>
                    </w:rPr>
                    <w:br/>
                  </w:r>
                  <w:r w:rsidR="008B0301" w:rsidRPr="008B0301">
                    <w:rPr>
                      <w:i/>
                      <w:color w:val="E36C0A"/>
                      <w:sz w:val="24"/>
                    </w:rPr>
                    <w:t xml:space="preserve">i naszą misją nie jest bowiem trzymanie się formalizmów </w:t>
                  </w:r>
                  <w:r w:rsidR="007203FB">
                    <w:rPr>
                      <w:i/>
                      <w:color w:val="E36C0A"/>
                      <w:sz w:val="24"/>
                    </w:rPr>
                    <w:br/>
                  </w:r>
                  <w:r w:rsidR="008B0301" w:rsidRPr="008B0301">
                    <w:rPr>
                      <w:i/>
                      <w:color w:val="E36C0A"/>
                      <w:sz w:val="24"/>
                    </w:rPr>
                    <w:t xml:space="preserve">dla nich samych, ale uporządkowanie całości spraw związanych z obrotem </w:t>
                  </w:r>
                  <w:r w:rsidR="006D333B">
                    <w:rPr>
                      <w:i/>
                      <w:color w:val="E36C0A"/>
                      <w:sz w:val="24"/>
                    </w:rPr>
                    <w:t>produktami</w:t>
                  </w:r>
                  <w:r w:rsidR="00E274D9">
                    <w:rPr>
                      <w:i/>
                      <w:color w:val="E36C0A"/>
                      <w:sz w:val="24"/>
                    </w:rPr>
                    <w:t xml:space="preserve"> </w:t>
                  </w:r>
                  <w:r w:rsidR="008B0301" w:rsidRPr="008B0301">
                    <w:rPr>
                      <w:i/>
                      <w:color w:val="E36C0A"/>
                      <w:sz w:val="24"/>
                    </w:rPr>
                    <w:t xml:space="preserve">biobójczymi, mające na celu ochronę obywateli i środowiska </w:t>
                  </w:r>
                  <w:r w:rsidR="007203FB">
                    <w:rPr>
                      <w:i/>
                      <w:color w:val="E36C0A"/>
                      <w:sz w:val="24"/>
                    </w:rPr>
                    <w:br/>
                  </w:r>
                  <w:r w:rsidR="008B0301" w:rsidRPr="008B0301">
                    <w:rPr>
                      <w:i/>
                      <w:color w:val="E36C0A"/>
                      <w:sz w:val="24"/>
                    </w:rPr>
                    <w:t xml:space="preserve">przed niewłaściwym </w:t>
                  </w:r>
                  <w:r w:rsidR="007203FB">
                    <w:rPr>
                      <w:i/>
                      <w:color w:val="E36C0A"/>
                      <w:sz w:val="24"/>
                    </w:rPr>
                    <w:br/>
                  </w:r>
                  <w:r w:rsidR="008B0301" w:rsidRPr="008B0301">
                    <w:rPr>
                      <w:i/>
                      <w:color w:val="E36C0A"/>
                      <w:sz w:val="24"/>
                    </w:rPr>
                    <w:t>ich stosowaniem</w:t>
                  </w:r>
                  <w:r w:rsidR="008B0301" w:rsidRPr="00E67440">
                    <w:rPr>
                      <w:color w:val="E36C0A"/>
                      <w:sz w:val="24"/>
                    </w:rPr>
                    <w:t>”</w:t>
                  </w:r>
                </w:p>
                <w:p w:rsidR="001771A9" w:rsidRDefault="001771A9" w:rsidP="001771A9">
                  <w:pPr>
                    <w:rPr>
                      <w:i/>
                      <w:color w:val="00CCFF"/>
                      <w:sz w:val="24"/>
                    </w:rPr>
                  </w:pPr>
                </w:p>
                <w:p w:rsidR="001771A9" w:rsidRPr="007A244F" w:rsidRDefault="00884450" w:rsidP="001771A9">
                  <w:pPr>
                    <w:rPr>
                      <w:color w:val="000000"/>
                    </w:rPr>
                  </w:pPr>
                  <w:r>
                    <w:rPr>
                      <w:b/>
                      <w:color w:val="000000"/>
                    </w:rPr>
                    <w:t>Antoni Kunikowski</w:t>
                  </w:r>
                  <w:r w:rsidR="001771A9" w:rsidRPr="00A400BE">
                    <w:rPr>
                      <w:b/>
                      <w:color w:val="000000"/>
                    </w:rPr>
                    <w:t>,</w:t>
                  </w:r>
                  <w:r w:rsidR="001771A9" w:rsidRPr="00A400BE">
                    <w:rPr>
                      <w:color w:val="000000"/>
                    </w:rPr>
                    <w:t xml:space="preserve"> </w:t>
                  </w:r>
                  <w:r w:rsidR="006D333B">
                    <w:rPr>
                      <w:color w:val="000000"/>
                    </w:rPr>
                    <w:t>wice</w:t>
                  </w:r>
                  <w:r w:rsidRPr="00884450">
                    <w:rPr>
                      <w:color w:val="000000"/>
                    </w:rPr>
                    <w:t>prezes Urzędu Rejestracji Produktów Leczniczych, Wyrobów Medycznych i Produktów Biobójczych w Warszawie.</w:t>
                  </w:r>
                </w:p>
              </w:txbxContent>
            </v:textbox>
            <w10:wrap anchorx="page" anchory="page"/>
          </v:shape>
        </w:pict>
      </w:r>
      <w:r w:rsidR="001771A9" w:rsidRPr="00433950">
        <w:rPr>
          <w:color w:val="E36C0A"/>
          <w:sz w:val="20"/>
          <w:szCs w:val="20"/>
          <w:lang w:val="pl-PL"/>
        </w:rPr>
        <w:t xml:space="preserve">Sytuacja </w:t>
      </w:r>
    </w:p>
    <w:p w:rsidR="004B77A6" w:rsidRPr="00433950" w:rsidRDefault="004B77A6" w:rsidP="004B77A6">
      <w:pPr>
        <w:pStyle w:val="Bodycopy"/>
        <w:rPr>
          <w:color w:val="000000"/>
          <w:sz w:val="16"/>
          <w:szCs w:val="16"/>
          <w:lang w:val="pl-PL"/>
        </w:rPr>
      </w:pPr>
      <w:r w:rsidRPr="00433950">
        <w:rPr>
          <w:color w:val="000000"/>
          <w:sz w:val="16"/>
          <w:szCs w:val="16"/>
          <w:lang w:val="pl-PL"/>
        </w:rPr>
        <w:t xml:space="preserve">Wchodząc do UE Polska zobowiązała się do harmonizacji procedur rejestracji i dopuszczania do obrotu substancji chemicznych i produktów o działaniu biobójczym. Choć etap przeglądu istniejących list substancji </w:t>
      </w:r>
      <w:r w:rsidR="00095033" w:rsidRPr="00433950">
        <w:rPr>
          <w:color w:val="000000"/>
          <w:sz w:val="16"/>
          <w:szCs w:val="16"/>
          <w:lang w:val="pl-PL"/>
        </w:rPr>
        <w:t xml:space="preserve">i produktów </w:t>
      </w:r>
      <w:r w:rsidRPr="00433950">
        <w:rPr>
          <w:color w:val="000000"/>
          <w:sz w:val="16"/>
          <w:szCs w:val="16"/>
          <w:lang w:val="pl-PL"/>
        </w:rPr>
        <w:t>potrwa co najmniej do 2014 r., kraje członkowskie muszą przygotować się do elektronicznej wymiany danych na temat substancji i produktów biobójczych, a także wzajemnego uznawania dopuszczeń wydanych w pozostałych krajach.</w:t>
      </w:r>
    </w:p>
    <w:p w:rsidR="00584D8A" w:rsidRPr="00433950" w:rsidRDefault="004B77A6" w:rsidP="004B77A6">
      <w:pPr>
        <w:pStyle w:val="Bodycopy"/>
        <w:ind w:firstLine="284"/>
        <w:rPr>
          <w:color w:val="000000"/>
          <w:sz w:val="16"/>
          <w:szCs w:val="16"/>
          <w:lang w:val="pl-PL"/>
        </w:rPr>
      </w:pPr>
      <w:r w:rsidRPr="00433950">
        <w:rPr>
          <w:color w:val="000000"/>
          <w:sz w:val="16"/>
          <w:szCs w:val="16"/>
          <w:lang w:val="pl-PL"/>
        </w:rPr>
        <w:t>Podmiot odpowiedzialny za ten obszar w Polsce to Urząd Rejestracji Produktów Leczniczych, Wyrobów Medycznych i Produktów Biobójczych (Urząd).</w:t>
      </w:r>
      <w:r w:rsidR="00095033" w:rsidRPr="00433950">
        <w:rPr>
          <w:color w:val="000000"/>
          <w:sz w:val="16"/>
          <w:szCs w:val="16"/>
          <w:lang w:val="pl-PL"/>
        </w:rPr>
        <w:t xml:space="preserve"> Znając poziom skomplikowania zagadnienia, a jednocześnie </w:t>
      </w:r>
      <w:r w:rsidR="00354BE4" w:rsidRPr="00433950">
        <w:rPr>
          <w:color w:val="000000"/>
          <w:sz w:val="16"/>
          <w:szCs w:val="16"/>
          <w:lang w:val="pl-PL"/>
        </w:rPr>
        <w:t xml:space="preserve">śledząc na bieżąco prace nad propozycjami nowelizacji dyrektywy dotyczącej produktów biobójczych, Urząd już kilka lat temu stworzył specyfikację dla systemu informatycznego. </w:t>
      </w:r>
    </w:p>
    <w:p w:rsidR="0094404F" w:rsidRPr="00F21F25" w:rsidRDefault="00354BE4" w:rsidP="004B77A6">
      <w:pPr>
        <w:pStyle w:val="Bodycopy"/>
        <w:ind w:firstLine="284"/>
        <w:rPr>
          <w:color w:val="000000"/>
          <w:sz w:val="16"/>
          <w:szCs w:val="16"/>
        </w:rPr>
      </w:pPr>
      <w:r w:rsidRPr="00433950">
        <w:rPr>
          <w:color w:val="000000"/>
          <w:sz w:val="16"/>
          <w:szCs w:val="16"/>
          <w:lang w:val="pl-PL"/>
        </w:rPr>
        <w:t xml:space="preserve">W założeniu, </w:t>
      </w:r>
      <w:r w:rsidR="00966634" w:rsidRPr="00433950">
        <w:rPr>
          <w:color w:val="000000"/>
          <w:sz w:val="16"/>
          <w:szCs w:val="16"/>
          <w:lang w:val="pl-PL"/>
        </w:rPr>
        <w:t>system miał</w:t>
      </w:r>
      <w:r w:rsidRPr="00433950">
        <w:rPr>
          <w:color w:val="000000"/>
          <w:sz w:val="16"/>
          <w:szCs w:val="16"/>
          <w:lang w:val="pl-PL"/>
        </w:rPr>
        <w:t xml:space="preserve"> pomóc w systematyzacji informacji i usprawnić procesy rejestracyjne Urzędu, a jednocześnie umożliwić wywiązanie się Polski ze zobowiązań dotyczących wymiany danych z innymi krajami.</w:t>
      </w:r>
      <w:r w:rsidR="00584D8A" w:rsidRPr="00433950">
        <w:rPr>
          <w:color w:val="000000"/>
          <w:sz w:val="16"/>
          <w:szCs w:val="16"/>
          <w:lang w:val="pl-PL"/>
        </w:rPr>
        <w:t xml:space="preserve"> </w:t>
      </w:r>
      <w:r w:rsidRPr="00433950">
        <w:rPr>
          <w:color w:val="000000"/>
          <w:sz w:val="16"/>
          <w:szCs w:val="16"/>
          <w:lang w:val="pl-PL"/>
        </w:rPr>
        <w:t xml:space="preserve">Szansa na budowę systemu w tym </w:t>
      </w:r>
      <w:r w:rsidR="0099489F" w:rsidRPr="00433950">
        <w:rPr>
          <w:color w:val="000000"/>
          <w:sz w:val="16"/>
          <w:szCs w:val="16"/>
          <w:lang w:val="pl-PL"/>
        </w:rPr>
        <w:t xml:space="preserve">– trzeba powiedzieć, ambitnym – </w:t>
      </w:r>
      <w:r w:rsidRPr="00433950">
        <w:rPr>
          <w:color w:val="000000"/>
          <w:sz w:val="16"/>
          <w:szCs w:val="16"/>
          <w:lang w:val="pl-PL"/>
        </w:rPr>
        <w:t xml:space="preserve">kształcie pojawiła się wraz z pozyskaniem źródła finansowania projektu – </w:t>
      </w:r>
      <w:r w:rsidR="00C03361" w:rsidRPr="00433950">
        <w:rPr>
          <w:i/>
          <w:color w:val="000000"/>
          <w:sz w:val="16"/>
          <w:szCs w:val="16"/>
          <w:lang w:val="pl-PL"/>
        </w:rPr>
        <w:t xml:space="preserve">Transition Facility. </w:t>
      </w:r>
      <w:r w:rsidR="00C03361" w:rsidRPr="00F21F25">
        <w:rPr>
          <w:i/>
          <w:color w:val="000000"/>
          <w:sz w:val="16"/>
          <w:szCs w:val="16"/>
        </w:rPr>
        <w:t xml:space="preserve">2005/017-488.03.01 </w:t>
      </w:r>
      <w:r w:rsidR="0094404F" w:rsidRPr="00F21F25">
        <w:rPr>
          <w:i/>
          <w:color w:val="000000"/>
          <w:sz w:val="16"/>
          <w:szCs w:val="16"/>
        </w:rPr>
        <w:t>–</w:t>
      </w:r>
      <w:r w:rsidR="00C03361" w:rsidRPr="00F21F25">
        <w:rPr>
          <w:i/>
          <w:color w:val="000000"/>
          <w:sz w:val="16"/>
          <w:szCs w:val="16"/>
        </w:rPr>
        <w:t xml:space="preserve"> Evaluation of existing active substances and registration and surveillance of biocidal products</w:t>
      </w:r>
      <w:r w:rsidR="00C03361" w:rsidRPr="00F21F25">
        <w:rPr>
          <w:color w:val="000000"/>
          <w:sz w:val="16"/>
          <w:szCs w:val="16"/>
        </w:rPr>
        <w:t>.</w:t>
      </w:r>
      <w:r w:rsidR="00C03361" w:rsidRPr="00F21F25" w:rsidDel="00C03361">
        <w:rPr>
          <w:color w:val="000000"/>
          <w:sz w:val="16"/>
          <w:szCs w:val="16"/>
        </w:rPr>
        <w:t xml:space="preserve"> </w:t>
      </w:r>
    </w:p>
    <w:p w:rsidR="00805195" w:rsidRPr="00433950" w:rsidRDefault="0099489F" w:rsidP="004B77A6">
      <w:pPr>
        <w:pStyle w:val="Bodycopy"/>
        <w:ind w:firstLine="284"/>
        <w:rPr>
          <w:color w:val="000000"/>
          <w:sz w:val="16"/>
          <w:szCs w:val="16"/>
          <w:lang w:val="pl-PL"/>
        </w:rPr>
      </w:pPr>
      <w:r w:rsidRPr="00433950">
        <w:rPr>
          <w:color w:val="000000"/>
          <w:sz w:val="16"/>
          <w:szCs w:val="16"/>
          <w:lang w:val="pl-PL"/>
        </w:rPr>
        <w:t>„</w:t>
      </w:r>
      <w:r w:rsidRPr="00433950">
        <w:rPr>
          <w:i/>
          <w:color w:val="000000"/>
          <w:sz w:val="16"/>
          <w:szCs w:val="16"/>
          <w:lang w:val="pl-PL"/>
        </w:rPr>
        <w:t>Zależało nam na stworzeniu jednolitego rozwiązania, które możliwie kompleksowo obsłuży</w:t>
      </w:r>
      <w:r w:rsidR="002C18A8" w:rsidRPr="00433950">
        <w:rPr>
          <w:i/>
          <w:color w:val="000000"/>
          <w:sz w:val="16"/>
          <w:szCs w:val="16"/>
          <w:lang w:val="pl-PL"/>
        </w:rPr>
        <w:t>łoby</w:t>
      </w:r>
      <w:r w:rsidRPr="00433950">
        <w:rPr>
          <w:i/>
          <w:color w:val="000000"/>
          <w:sz w:val="16"/>
          <w:szCs w:val="16"/>
          <w:lang w:val="pl-PL"/>
        </w:rPr>
        <w:t xml:space="preserve"> obecne i przyszłe potrzeby Urzędu. Nominalnie</w:t>
      </w:r>
      <w:r w:rsidR="00EC014C" w:rsidRPr="00433950">
        <w:rPr>
          <w:i/>
          <w:color w:val="000000"/>
          <w:sz w:val="16"/>
          <w:szCs w:val="16"/>
          <w:lang w:val="pl-PL"/>
        </w:rPr>
        <w:t>,</w:t>
      </w:r>
      <w:r w:rsidRPr="00433950">
        <w:rPr>
          <w:i/>
          <w:color w:val="000000"/>
          <w:sz w:val="16"/>
          <w:szCs w:val="16"/>
          <w:lang w:val="pl-PL"/>
        </w:rPr>
        <w:t xml:space="preserve"> wymiana danych w ramach UE i nasze potrzeby wewnętrzne to dwie </w:t>
      </w:r>
      <w:r w:rsidR="00733142" w:rsidRPr="00433950">
        <w:rPr>
          <w:i/>
          <w:color w:val="000000"/>
          <w:sz w:val="16"/>
          <w:szCs w:val="16"/>
          <w:lang w:val="pl-PL"/>
        </w:rPr>
        <w:t>całkiem odrębne</w:t>
      </w:r>
      <w:r w:rsidRPr="00433950">
        <w:rPr>
          <w:i/>
          <w:color w:val="000000"/>
          <w:sz w:val="16"/>
          <w:szCs w:val="16"/>
          <w:lang w:val="pl-PL"/>
        </w:rPr>
        <w:t xml:space="preserve"> sprawy, w praktyce jednak silnie się zazębiają. </w:t>
      </w:r>
      <w:r w:rsidR="00AC5B3C" w:rsidRPr="00433950">
        <w:rPr>
          <w:i/>
          <w:color w:val="000000"/>
          <w:sz w:val="16"/>
          <w:szCs w:val="16"/>
          <w:lang w:val="pl-PL"/>
        </w:rPr>
        <w:t>Intencją dyrektywy i naszą misją nie jest bowiem trzymanie się formalizmów dla nich samych</w:t>
      </w:r>
      <w:r w:rsidRPr="00433950">
        <w:rPr>
          <w:i/>
          <w:color w:val="000000"/>
          <w:sz w:val="16"/>
          <w:szCs w:val="16"/>
          <w:lang w:val="pl-PL"/>
        </w:rPr>
        <w:t xml:space="preserve">, ale </w:t>
      </w:r>
      <w:r w:rsidR="00AC5B3C" w:rsidRPr="00433950">
        <w:rPr>
          <w:i/>
          <w:color w:val="000000"/>
          <w:sz w:val="16"/>
          <w:szCs w:val="16"/>
          <w:lang w:val="pl-PL"/>
        </w:rPr>
        <w:t xml:space="preserve">uporządkowanie całości spraw związanych z obrotem substancjami biobójczymi, </w:t>
      </w:r>
      <w:r w:rsidR="008B0301" w:rsidRPr="00433950">
        <w:rPr>
          <w:i/>
          <w:color w:val="000000"/>
          <w:sz w:val="16"/>
          <w:szCs w:val="16"/>
          <w:lang w:val="pl-PL"/>
        </w:rPr>
        <w:t>mające</w:t>
      </w:r>
      <w:r w:rsidR="00AC5B3C" w:rsidRPr="00433950">
        <w:rPr>
          <w:i/>
          <w:color w:val="000000"/>
          <w:sz w:val="16"/>
          <w:szCs w:val="16"/>
          <w:lang w:val="pl-PL"/>
        </w:rPr>
        <w:t xml:space="preserve"> na celu ochronę</w:t>
      </w:r>
      <w:r w:rsidRPr="00433950">
        <w:rPr>
          <w:i/>
          <w:color w:val="000000"/>
          <w:sz w:val="16"/>
          <w:szCs w:val="16"/>
          <w:lang w:val="pl-PL"/>
        </w:rPr>
        <w:t xml:space="preserve"> obywateli i środowiska przed niewłaściwym </w:t>
      </w:r>
      <w:r w:rsidR="00AC5B3C" w:rsidRPr="00433950">
        <w:rPr>
          <w:i/>
          <w:color w:val="000000"/>
          <w:sz w:val="16"/>
          <w:szCs w:val="16"/>
          <w:lang w:val="pl-PL"/>
        </w:rPr>
        <w:t xml:space="preserve">ich </w:t>
      </w:r>
      <w:r w:rsidRPr="00433950">
        <w:rPr>
          <w:i/>
          <w:color w:val="000000"/>
          <w:sz w:val="16"/>
          <w:szCs w:val="16"/>
          <w:lang w:val="pl-PL"/>
        </w:rPr>
        <w:t>stosowaniem</w:t>
      </w:r>
      <w:r w:rsidRPr="00433950">
        <w:rPr>
          <w:color w:val="000000"/>
          <w:sz w:val="16"/>
          <w:szCs w:val="16"/>
          <w:lang w:val="pl-PL"/>
        </w:rPr>
        <w:t xml:space="preserve">” – tłumaczy </w:t>
      </w:r>
      <w:r w:rsidR="00CD0493" w:rsidRPr="00433950">
        <w:rPr>
          <w:color w:val="000000"/>
          <w:sz w:val="16"/>
          <w:szCs w:val="16"/>
          <w:lang w:val="pl-PL"/>
        </w:rPr>
        <w:t xml:space="preserve">Antoni Kunikowski, </w:t>
      </w:r>
      <w:r w:rsidR="00143A17" w:rsidRPr="00433950">
        <w:rPr>
          <w:color w:val="000000"/>
          <w:sz w:val="16"/>
          <w:szCs w:val="16"/>
          <w:lang w:val="pl-PL"/>
        </w:rPr>
        <w:t>wice</w:t>
      </w:r>
      <w:r w:rsidR="00CD0493" w:rsidRPr="00433950">
        <w:rPr>
          <w:color w:val="000000"/>
          <w:sz w:val="16"/>
          <w:szCs w:val="16"/>
          <w:lang w:val="pl-PL"/>
        </w:rPr>
        <w:t xml:space="preserve">prezes Urzędu Rejestracji Produktów </w:t>
      </w:r>
      <w:r w:rsidR="00CD0493" w:rsidRPr="00433950">
        <w:rPr>
          <w:color w:val="000000"/>
          <w:sz w:val="16"/>
          <w:szCs w:val="16"/>
          <w:lang w:val="pl-PL"/>
        </w:rPr>
        <w:lastRenderedPageBreak/>
        <w:t>Leczniczych, Wyrobów Medycznych i Produktów Biobójczych w Warszawie.</w:t>
      </w:r>
    </w:p>
    <w:p w:rsidR="002E5E52" w:rsidRPr="00433950" w:rsidRDefault="001F49D8" w:rsidP="000C4803">
      <w:pPr>
        <w:pStyle w:val="Bodycopy"/>
        <w:ind w:firstLine="284"/>
        <w:rPr>
          <w:color w:val="000000"/>
          <w:sz w:val="16"/>
          <w:szCs w:val="16"/>
          <w:lang w:val="pl-PL"/>
        </w:rPr>
      </w:pPr>
      <w:r w:rsidRPr="00433950">
        <w:rPr>
          <w:color w:val="000000"/>
          <w:sz w:val="16"/>
          <w:szCs w:val="16"/>
          <w:lang w:val="pl-PL"/>
        </w:rPr>
        <w:t xml:space="preserve">Sednem wyzwania, przed którym stanął Urząd </w:t>
      </w:r>
      <w:r w:rsidR="005A4E47" w:rsidRPr="00433950">
        <w:rPr>
          <w:color w:val="000000"/>
          <w:sz w:val="16"/>
          <w:szCs w:val="16"/>
          <w:lang w:val="pl-PL"/>
        </w:rPr>
        <w:t xml:space="preserve">była </w:t>
      </w:r>
      <w:r w:rsidRPr="00433950">
        <w:rPr>
          <w:color w:val="000000"/>
          <w:sz w:val="16"/>
          <w:szCs w:val="16"/>
          <w:lang w:val="pl-PL"/>
        </w:rPr>
        <w:t xml:space="preserve">w pierwszym rzędzie skala problemu. W Unii Europejskiej w obrocie znajduje się kilkadziesiąt tysięcy </w:t>
      </w:r>
      <w:r w:rsidR="00447519" w:rsidRPr="00433950">
        <w:rPr>
          <w:color w:val="000000"/>
          <w:sz w:val="16"/>
          <w:szCs w:val="16"/>
          <w:lang w:val="pl-PL"/>
        </w:rPr>
        <w:t>produktów</w:t>
      </w:r>
      <w:r w:rsidRPr="00433950">
        <w:rPr>
          <w:color w:val="000000"/>
          <w:sz w:val="16"/>
          <w:szCs w:val="16"/>
          <w:lang w:val="pl-PL"/>
        </w:rPr>
        <w:t xml:space="preserve"> biobójczych, </w:t>
      </w:r>
      <w:r w:rsidR="008A02CC" w:rsidRPr="00433950">
        <w:rPr>
          <w:color w:val="000000"/>
          <w:sz w:val="16"/>
          <w:szCs w:val="16"/>
          <w:lang w:val="pl-PL"/>
        </w:rPr>
        <w:t xml:space="preserve">zawierających kilkaset substancji czynnych </w:t>
      </w:r>
      <w:r w:rsidRPr="00433950">
        <w:rPr>
          <w:color w:val="000000"/>
          <w:sz w:val="16"/>
          <w:szCs w:val="16"/>
          <w:lang w:val="pl-PL"/>
        </w:rPr>
        <w:t xml:space="preserve">występujących w różnych stężeniach i proporcjach w </w:t>
      </w:r>
      <w:r w:rsidR="00E360CF" w:rsidRPr="00433950">
        <w:rPr>
          <w:color w:val="000000"/>
          <w:sz w:val="16"/>
          <w:szCs w:val="16"/>
          <w:lang w:val="pl-PL"/>
        </w:rPr>
        <w:t xml:space="preserve">produktach </w:t>
      </w:r>
      <w:r w:rsidRPr="00433950">
        <w:rPr>
          <w:color w:val="000000"/>
          <w:sz w:val="16"/>
          <w:szCs w:val="16"/>
          <w:lang w:val="pl-PL"/>
        </w:rPr>
        <w:t>handlowych.</w:t>
      </w:r>
      <w:r w:rsidR="002E5E52" w:rsidRPr="00433950">
        <w:rPr>
          <w:color w:val="000000"/>
          <w:sz w:val="16"/>
          <w:szCs w:val="16"/>
          <w:lang w:val="pl-PL"/>
        </w:rPr>
        <w:t xml:space="preserve"> Drugim, nie mniej istotnym wyzwaniem, był poziom skomplikowania </w:t>
      </w:r>
      <w:r w:rsidR="000C4803" w:rsidRPr="00433950">
        <w:rPr>
          <w:color w:val="000000"/>
          <w:sz w:val="16"/>
          <w:szCs w:val="16"/>
          <w:lang w:val="pl-PL"/>
        </w:rPr>
        <w:t>procesu rejestracji i wynikające z niego utrudnienia dla skutecznej automatyzacji.</w:t>
      </w:r>
    </w:p>
    <w:p w:rsidR="001329B6" w:rsidRPr="00433950" w:rsidRDefault="000C4803" w:rsidP="001329B6">
      <w:pPr>
        <w:pStyle w:val="Bodycopy"/>
        <w:ind w:firstLine="284"/>
        <w:rPr>
          <w:color w:val="000000"/>
          <w:sz w:val="16"/>
          <w:szCs w:val="16"/>
          <w:lang w:val="pl-PL"/>
        </w:rPr>
      </w:pPr>
      <w:r w:rsidRPr="00433950">
        <w:rPr>
          <w:color w:val="000000"/>
          <w:sz w:val="16"/>
          <w:szCs w:val="16"/>
          <w:lang w:val="pl-PL"/>
        </w:rPr>
        <w:t>„</w:t>
      </w:r>
      <w:r w:rsidR="00836FF1" w:rsidRPr="00433950">
        <w:rPr>
          <w:i/>
          <w:color w:val="000000"/>
          <w:sz w:val="16"/>
          <w:szCs w:val="16"/>
          <w:lang w:val="pl-PL"/>
        </w:rPr>
        <w:t xml:space="preserve">Rejestracji podlegają produkty, które </w:t>
      </w:r>
      <w:r w:rsidR="00BC2027" w:rsidRPr="00433950">
        <w:rPr>
          <w:i/>
          <w:color w:val="000000"/>
          <w:sz w:val="16"/>
          <w:szCs w:val="16"/>
          <w:lang w:val="pl-PL"/>
        </w:rPr>
        <w:t xml:space="preserve">mogą składać się </w:t>
      </w:r>
      <w:r w:rsidR="00836FF1" w:rsidRPr="00433950">
        <w:rPr>
          <w:i/>
          <w:color w:val="000000"/>
          <w:sz w:val="16"/>
          <w:szCs w:val="16"/>
          <w:lang w:val="pl-PL"/>
        </w:rPr>
        <w:t xml:space="preserve"> z wielu substancji czynnych, występujących w różnych stężeniach, oraz uzupełnionych dodatkami w różnych proporcjach. Różne stężenia i proporcje dodatków </w:t>
      </w:r>
      <w:r w:rsidR="008A02CC" w:rsidRPr="00433950">
        <w:rPr>
          <w:i/>
          <w:color w:val="000000"/>
          <w:sz w:val="16"/>
          <w:szCs w:val="16"/>
          <w:lang w:val="pl-PL"/>
        </w:rPr>
        <w:t>tworzą</w:t>
      </w:r>
      <w:r w:rsidR="00836FF1" w:rsidRPr="00433950">
        <w:rPr>
          <w:i/>
          <w:color w:val="000000"/>
          <w:sz w:val="16"/>
          <w:szCs w:val="16"/>
          <w:lang w:val="pl-PL"/>
        </w:rPr>
        <w:t xml:space="preserve"> oddzielny produkt, wymagający odrębnej rejestracji</w:t>
      </w:r>
      <w:r w:rsidR="003D08D6" w:rsidRPr="00433950">
        <w:rPr>
          <w:i/>
          <w:color w:val="000000"/>
          <w:sz w:val="16"/>
          <w:szCs w:val="16"/>
          <w:lang w:val="pl-PL"/>
        </w:rPr>
        <w:t xml:space="preserve"> i</w:t>
      </w:r>
      <w:r w:rsidR="00836FF1" w:rsidRPr="00433950">
        <w:rPr>
          <w:i/>
          <w:color w:val="000000"/>
          <w:sz w:val="16"/>
          <w:szCs w:val="16"/>
          <w:lang w:val="pl-PL"/>
        </w:rPr>
        <w:t xml:space="preserve"> bada</w:t>
      </w:r>
      <w:r w:rsidR="003D08D6" w:rsidRPr="00433950">
        <w:rPr>
          <w:i/>
          <w:color w:val="000000"/>
          <w:sz w:val="16"/>
          <w:szCs w:val="16"/>
          <w:lang w:val="pl-PL"/>
        </w:rPr>
        <w:t>nia</w:t>
      </w:r>
      <w:r w:rsidR="00836FF1" w:rsidRPr="00433950">
        <w:rPr>
          <w:i/>
          <w:color w:val="000000"/>
          <w:sz w:val="16"/>
          <w:szCs w:val="16"/>
          <w:lang w:val="pl-PL"/>
        </w:rPr>
        <w:t xml:space="preserve"> </w:t>
      </w:r>
      <w:r w:rsidR="008A02CC" w:rsidRPr="00433950">
        <w:rPr>
          <w:i/>
          <w:color w:val="000000"/>
          <w:sz w:val="16"/>
          <w:szCs w:val="16"/>
          <w:lang w:val="pl-PL"/>
        </w:rPr>
        <w:t xml:space="preserve">ich </w:t>
      </w:r>
      <w:r w:rsidR="00BC2027" w:rsidRPr="00433950">
        <w:rPr>
          <w:i/>
          <w:color w:val="000000"/>
          <w:sz w:val="16"/>
          <w:szCs w:val="16"/>
          <w:lang w:val="pl-PL"/>
        </w:rPr>
        <w:t>różn</w:t>
      </w:r>
      <w:r w:rsidR="003D08D6" w:rsidRPr="00433950">
        <w:rPr>
          <w:i/>
          <w:color w:val="000000"/>
          <w:sz w:val="16"/>
          <w:szCs w:val="16"/>
          <w:lang w:val="pl-PL"/>
        </w:rPr>
        <w:t xml:space="preserve">orodnych </w:t>
      </w:r>
      <w:r w:rsidR="00B7347F" w:rsidRPr="00433950">
        <w:rPr>
          <w:i/>
          <w:color w:val="000000"/>
          <w:sz w:val="16"/>
          <w:szCs w:val="16"/>
          <w:lang w:val="pl-PL"/>
        </w:rPr>
        <w:t>właściwości</w:t>
      </w:r>
      <w:r w:rsidR="00836FF1" w:rsidRPr="00433950">
        <w:rPr>
          <w:i/>
          <w:color w:val="000000"/>
          <w:sz w:val="16"/>
          <w:szCs w:val="16"/>
          <w:lang w:val="pl-PL"/>
        </w:rPr>
        <w:t>. To tysiące stron dokumentacji chemiczne</w:t>
      </w:r>
      <w:r w:rsidR="00BC2027" w:rsidRPr="00433950">
        <w:rPr>
          <w:i/>
          <w:color w:val="000000"/>
          <w:sz w:val="16"/>
          <w:szCs w:val="16"/>
          <w:lang w:val="pl-PL"/>
        </w:rPr>
        <w:t>j, toksykologicznej, ekotoksykologiczne</w:t>
      </w:r>
      <w:r w:rsidR="00836FF1" w:rsidRPr="00433950">
        <w:rPr>
          <w:i/>
          <w:color w:val="000000"/>
          <w:sz w:val="16"/>
          <w:szCs w:val="16"/>
          <w:lang w:val="pl-PL"/>
        </w:rPr>
        <w:t>j</w:t>
      </w:r>
      <w:r w:rsidR="00B7347F" w:rsidRPr="00433950">
        <w:rPr>
          <w:i/>
          <w:color w:val="000000"/>
          <w:sz w:val="16"/>
          <w:szCs w:val="16"/>
          <w:lang w:val="pl-PL"/>
        </w:rPr>
        <w:t xml:space="preserve">, </w:t>
      </w:r>
      <w:r w:rsidR="00BC2027" w:rsidRPr="00433950">
        <w:rPr>
          <w:i/>
          <w:color w:val="000000"/>
          <w:sz w:val="16"/>
          <w:szCs w:val="16"/>
          <w:lang w:val="pl-PL"/>
        </w:rPr>
        <w:t>skuteczności działania</w:t>
      </w:r>
      <w:r w:rsidR="00B7347F" w:rsidRPr="00433950">
        <w:rPr>
          <w:i/>
          <w:color w:val="000000"/>
          <w:sz w:val="16"/>
          <w:szCs w:val="16"/>
          <w:lang w:val="pl-PL"/>
        </w:rPr>
        <w:t>,</w:t>
      </w:r>
      <w:r w:rsidR="00836FF1" w:rsidRPr="00433950">
        <w:rPr>
          <w:i/>
          <w:color w:val="000000"/>
          <w:sz w:val="16"/>
          <w:szCs w:val="16"/>
          <w:lang w:val="pl-PL"/>
        </w:rPr>
        <w:t xml:space="preserve"> wyników testów, setki tabel…</w:t>
      </w:r>
      <w:r w:rsidR="001329B6" w:rsidRPr="00433950">
        <w:rPr>
          <w:i/>
          <w:color w:val="000000"/>
          <w:sz w:val="16"/>
          <w:szCs w:val="16"/>
          <w:lang w:val="pl-PL"/>
        </w:rPr>
        <w:t xml:space="preserve"> doświadczony </w:t>
      </w:r>
      <w:r w:rsidR="00B7347F" w:rsidRPr="00433950">
        <w:rPr>
          <w:i/>
          <w:color w:val="000000"/>
          <w:sz w:val="16"/>
          <w:szCs w:val="16"/>
          <w:lang w:val="pl-PL"/>
        </w:rPr>
        <w:t>specjalista</w:t>
      </w:r>
      <w:r w:rsidR="001329B6" w:rsidRPr="00433950">
        <w:rPr>
          <w:i/>
          <w:color w:val="000000"/>
          <w:sz w:val="16"/>
          <w:szCs w:val="16"/>
          <w:lang w:val="pl-PL"/>
        </w:rPr>
        <w:t xml:space="preserve"> wie, jak się z taką dokumentacją obejść, jak ją interpretować, ale wcześniej musi odbyć się weryfikacja jej struktury, zakresu, poprawności i kompletności danych na tle wymogów formalnych. I </w:t>
      </w:r>
      <w:r w:rsidR="008A02CC" w:rsidRPr="00433950">
        <w:rPr>
          <w:i/>
          <w:color w:val="000000"/>
          <w:sz w:val="16"/>
          <w:szCs w:val="16"/>
          <w:lang w:val="pl-PL"/>
        </w:rPr>
        <w:t xml:space="preserve"> stanowi to </w:t>
      </w:r>
      <w:r w:rsidR="007918B8" w:rsidRPr="00433950">
        <w:rPr>
          <w:i/>
          <w:color w:val="000000"/>
          <w:sz w:val="16"/>
          <w:szCs w:val="16"/>
          <w:lang w:val="pl-PL"/>
        </w:rPr>
        <w:t xml:space="preserve"> niezmiernie ważny problem</w:t>
      </w:r>
      <w:r w:rsidR="001329B6" w:rsidRPr="00433950">
        <w:rPr>
          <w:color w:val="000000"/>
          <w:sz w:val="16"/>
          <w:szCs w:val="16"/>
          <w:lang w:val="pl-PL"/>
        </w:rPr>
        <w:t>” – wyjaśnia dr Robert Chrobak</w:t>
      </w:r>
      <w:r w:rsidR="00025A72" w:rsidRPr="00433950">
        <w:rPr>
          <w:color w:val="000000"/>
          <w:sz w:val="16"/>
          <w:szCs w:val="16"/>
          <w:lang w:val="pl-PL"/>
        </w:rPr>
        <w:t xml:space="preserve">, </w:t>
      </w:r>
      <w:r w:rsidR="007918B8" w:rsidRPr="00433950">
        <w:rPr>
          <w:color w:val="000000"/>
          <w:sz w:val="16"/>
          <w:szCs w:val="16"/>
          <w:lang w:val="pl-PL"/>
        </w:rPr>
        <w:t>Kierownik</w:t>
      </w:r>
      <w:r w:rsidR="00025A72" w:rsidRPr="00433950">
        <w:rPr>
          <w:color w:val="000000"/>
          <w:sz w:val="16"/>
          <w:szCs w:val="16"/>
          <w:lang w:val="pl-PL"/>
        </w:rPr>
        <w:t xml:space="preserve"> </w:t>
      </w:r>
      <w:r w:rsidR="007918B8" w:rsidRPr="00433950">
        <w:rPr>
          <w:color w:val="000000"/>
          <w:sz w:val="16"/>
          <w:szCs w:val="16"/>
          <w:lang w:val="pl-PL"/>
        </w:rPr>
        <w:t xml:space="preserve">Działu </w:t>
      </w:r>
      <w:r w:rsidR="001329B6" w:rsidRPr="00433950">
        <w:rPr>
          <w:color w:val="000000"/>
          <w:sz w:val="16"/>
          <w:szCs w:val="16"/>
          <w:lang w:val="pl-PL"/>
        </w:rPr>
        <w:t>Oceny Dokumentacji Fizyko-Chemicznej</w:t>
      </w:r>
      <w:r w:rsidR="007918B8" w:rsidRPr="00433950">
        <w:rPr>
          <w:color w:val="000000"/>
          <w:sz w:val="16"/>
          <w:szCs w:val="16"/>
          <w:lang w:val="pl-PL"/>
        </w:rPr>
        <w:t xml:space="preserve"> Produktów Biobójczych</w:t>
      </w:r>
      <w:r w:rsidR="001329B6" w:rsidRPr="00433950">
        <w:rPr>
          <w:color w:val="000000"/>
          <w:sz w:val="16"/>
          <w:szCs w:val="16"/>
          <w:lang w:val="pl-PL"/>
        </w:rPr>
        <w:t>, w Urzędzie Rejestracji Produktów Leczniczych, Wyrobów Medycznych i Produktów Biobójczych w Warszawie.</w:t>
      </w:r>
    </w:p>
    <w:p w:rsidR="006E1865" w:rsidRPr="00433950" w:rsidRDefault="003A3BC4" w:rsidP="001329B6">
      <w:pPr>
        <w:pStyle w:val="Bodycopy"/>
        <w:rPr>
          <w:color w:val="000000"/>
          <w:sz w:val="16"/>
          <w:szCs w:val="16"/>
          <w:lang w:val="pl-PL"/>
        </w:rPr>
      </w:pPr>
      <w:r w:rsidRPr="00433950">
        <w:rPr>
          <w:color w:val="000000"/>
          <w:sz w:val="16"/>
          <w:szCs w:val="16"/>
          <w:lang w:val="pl-PL"/>
        </w:rPr>
        <w:tab/>
        <w:t>Wyspecyfikowanie rozwiązania nie było proste, jednak jego faktyczne wytworzenie było jeszcze trudniejsze. Przetarg na dostawę systemu wygrała firma Transition Technologies z Warszawy.</w:t>
      </w:r>
    </w:p>
    <w:p w:rsidR="003A3BC4" w:rsidRPr="00433950" w:rsidRDefault="003A3BC4" w:rsidP="001329B6">
      <w:pPr>
        <w:pStyle w:val="Bodycopy"/>
        <w:rPr>
          <w:color w:val="000000"/>
          <w:sz w:val="16"/>
          <w:szCs w:val="16"/>
          <w:lang w:val="pl-PL"/>
        </w:rPr>
      </w:pPr>
      <w:r w:rsidRPr="00433950">
        <w:rPr>
          <w:color w:val="000000"/>
          <w:sz w:val="16"/>
          <w:szCs w:val="16"/>
          <w:lang w:val="pl-PL"/>
        </w:rPr>
        <w:tab/>
        <w:t>„</w:t>
      </w:r>
      <w:r w:rsidRPr="00433950">
        <w:rPr>
          <w:i/>
          <w:color w:val="000000"/>
          <w:sz w:val="16"/>
          <w:szCs w:val="16"/>
          <w:lang w:val="pl-PL"/>
        </w:rPr>
        <w:t>Ważne było wszystko – cena, sama propozycja architektury, doświadczenie, ale najważniejszym kryterium była w praktyce demonstracja zdolności do dosta</w:t>
      </w:r>
      <w:r w:rsidR="003C1D3A" w:rsidRPr="00433950">
        <w:rPr>
          <w:i/>
          <w:color w:val="000000"/>
          <w:sz w:val="16"/>
          <w:szCs w:val="16"/>
          <w:lang w:val="pl-PL"/>
        </w:rPr>
        <w:t>rczenia działającego systemu –</w:t>
      </w:r>
      <w:r w:rsidRPr="00433950">
        <w:rPr>
          <w:i/>
          <w:color w:val="000000"/>
          <w:sz w:val="16"/>
          <w:szCs w:val="16"/>
          <w:lang w:val="pl-PL"/>
        </w:rPr>
        <w:t xml:space="preserve"> wykorzystującego istniejącą infrastrukturę informatyczną, a przede </w:t>
      </w:r>
      <w:r w:rsidRPr="00433950">
        <w:rPr>
          <w:i/>
          <w:color w:val="000000"/>
          <w:sz w:val="16"/>
          <w:szCs w:val="16"/>
          <w:lang w:val="pl-PL"/>
        </w:rPr>
        <w:lastRenderedPageBreak/>
        <w:t>wszystkim spełniając</w:t>
      </w:r>
      <w:r w:rsidR="003C1D3A" w:rsidRPr="00433950">
        <w:rPr>
          <w:i/>
          <w:color w:val="000000"/>
          <w:sz w:val="16"/>
          <w:szCs w:val="16"/>
          <w:lang w:val="pl-PL"/>
        </w:rPr>
        <w:t>ego</w:t>
      </w:r>
      <w:r w:rsidRPr="00433950">
        <w:rPr>
          <w:i/>
          <w:color w:val="000000"/>
          <w:sz w:val="16"/>
          <w:szCs w:val="16"/>
          <w:lang w:val="pl-PL"/>
        </w:rPr>
        <w:t xml:space="preserve"> nasze oczekiwania użytkowe</w:t>
      </w:r>
      <w:r w:rsidRPr="00433950">
        <w:rPr>
          <w:color w:val="000000"/>
          <w:sz w:val="16"/>
          <w:szCs w:val="16"/>
          <w:lang w:val="pl-PL"/>
        </w:rPr>
        <w:t>” – podkreśla Antoni Kunikowski.</w:t>
      </w:r>
    </w:p>
    <w:p w:rsidR="003A3BC4" w:rsidRPr="00433950" w:rsidRDefault="00AB69FD" w:rsidP="001329B6">
      <w:pPr>
        <w:pStyle w:val="Bodycopy"/>
        <w:rPr>
          <w:color w:val="000000"/>
          <w:sz w:val="16"/>
          <w:szCs w:val="16"/>
          <w:lang w:val="pl-PL"/>
        </w:rPr>
      </w:pPr>
      <w:r w:rsidRPr="00AB69FD">
        <w:rPr>
          <w:b/>
          <w:color w:val="000000"/>
          <w:sz w:val="16"/>
          <w:szCs w:val="16"/>
          <w:lang w:val="pl-PL" w:eastAsia="pl-PL"/>
        </w:rPr>
        <w:pict>
          <v:shape id="_x0000_s1027" type="#_x0000_t202" style="position:absolute;margin-left:17.5pt;margin-top:161pt;width:174.5pt;height:575.5pt;z-index:251657216;mso-position-horizontal-relative:page;mso-position-vertical-relative:page" stroked="f">
            <v:textbox style="mso-next-textbox:#_x0000_s1027" inset="0,0,0,0">
              <w:txbxContent>
                <w:p w:rsidR="00F90652" w:rsidRPr="007657FD" w:rsidRDefault="00F90652" w:rsidP="00F90652">
                  <w:pPr>
                    <w:spacing w:line="360" w:lineRule="auto"/>
                    <w:rPr>
                      <w:i/>
                      <w:color w:val="E36C0A"/>
                      <w:sz w:val="24"/>
                    </w:rPr>
                  </w:pPr>
                  <w:r w:rsidRPr="007203FB">
                    <w:rPr>
                      <w:color w:val="E36C0A"/>
                      <w:sz w:val="24"/>
                    </w:rPr>
                    <w:t>„</w:t>
                  </w:r>
                  <w:r w:rsidR="003D08D6" w:rsidRPr="003D08D6">
                    <w:rPr>
                      <w:i/>
                      <w:color w:val="E36C0A"/>
                      <w:sz w:val="24"/>
                    </w:rPr>
                    <w:t xml:space="preserve">Rejestracji podlegają produkty, które mogą składać się  z wielu substancji czynnych, występujących w różnych stężeniach, oraz uzupełnionych dodatkami w różnych proporcjach. Różne stężenia </w:t>
                  </w:r>
                  <w:r w:rsidR="003D08D6">
                    <w:rPr>
                      <w:i/>
                      <w:color w:val="E36C0A"/>
                      <w:sz w:val="24"/>
                    </w:rPr>
                    <w:br/>
                  </w:r>
                  <w:r w:rsidR="003D08D6" w:rsidRPr="003D08D6">
                    <w:rPr>
                      <w:i/>
                      <w:color w:val="E36C0A"/>
                      <w:sz w:val="24"/>
                    </w:rPr>
                    <w:t>i proporcje dodatków tworzą oddzielny produkt, wymagający odrębnej rejestracji i badania ich różnorodnych właściwości. To tysiące stron dokumentacji chemicznej, toksykologicznej, ekotoksykologicznej, skuteczności działania, wyników testów, setki tabel… doświadczony specjalista wie, jak się z taką dokumentacją obejść, jak ją interpretować, ale wcześniej musi odbyć się weryfikacja jej struktury, zakresu, poprawności i kompletności danych na tle wymogów formalnych. I  stanowi to  niezmiernie ważny problem</w:t>
                  </w:r>
                  <w:r w:rsidRPr="00E67440">
                    <w:rPr>
                      <w:color w:val="E36C0A"/>
                      <w:sz w:val="24"/>
                    </w:rPr>
                    <w:t>”</w:t>
                  </w:r>
                </w:p>
                <w:p w:rsidR="00F90652" w:rsidRDefault="00F90652" w:rsidP="00F90652">
                  <w:pPr>
                    <w:rPr>
                      <w:i/>
                      <w:color w:val="00CCFF"/>
                      <w:sz w:val="24"/>
                    </w:rPr>
                  </w:pPr>
                </w:p>
                <w:p w:rsidR="00F90652" w:rsidRPr="002C2245" w:rsidRDefault="00F90652" w:rsidP="00F90652">
                  <w:pPr>
                    <w:rPr>
                      <w:b/>
                      <w:color w:val="000000"/>
                    </w:rPr>
                  </w:pPr>
                  <w:r>
                    <w:rPr>
                      <w:b/>
                      <w:color w:val="000000"/>
                    </w:rPr>
                    <w:t>dr Robert Chrobak</w:t>
                  </w:r>
                  <w:r w:rsidRPr="00F90652">
                    <w:rPr>
                      <w:color w:val="000000"/>
                    </w:rPr>
                    <w:t xml:space="preserve">, </w:t>
                  </w:r>
                  <w:r w:rsidR="002C2245" w:rsidRPr="002C2245">
                    <w:rPr>
                      <w:color w:val="000000"/>
                    </w:rPr>
                    <w:t>dr Robert Chrobak Kierownik Działu Oceny Dokumentacji Fizyko-Chemicznej Produktów Biobójczych</w:t>
                  </w:r>
                  <w:r w:rsidR="002C2245">
                    <w:rPr>
                      <w:color w:val="000000"/>
                    </w:rPr>
                    <w:t xml:space="preserve"> </w:t>
                  </w:r>
                  <w:r w:rsidRPr="00F90652">
                    <w:rPr>
                      <w:color w:val="000000"/>
                    </w:rPr>
                    <w:t>w Warszawie.</w:t>
                  </w:r>
                </w:p>
              </w:txbxContent>
            </v:textbox>
            <w10:wrap anchorx="page" anchory="page"/>
          </v:shape>
        </w:pict>
      </w:r>
    </w:p>
    <w:p w:rsidR="001771A9" w:rsidRPr="00433950" w:rsidRDefault="001771A9" w:rsidP="001771A9">
      <w:pPr>
        <w:pStyle w:val="SectionHeading"/>
        <w:outlineLvl w:val="0"/>
        <w:rPr>
          <w:color w:val="E36C0A"/>
          <w:sz w:val="20"/>
          <w:szCs w:val="20"/>
          <w:lang w:val="pl-PL"/>
        </w:rPr>
      </w:pPr>
      <w:r w:rsidRPr="00433950">
        <w:rPr>
          <w:color w:val="E36C0A"/>
          <w:sz w:val="20"/>
          <w:szCs w:val="20"/>
          <w:lang w:val="pl-PL"/>
        </w:rPr>
        <w:t>Rozwiązanie</w:t>
      </w:r>
    </w:p>
    <w:p w:rsidR="006E1865" w:rsidRPr="00433950" w:rsidRDefault="005B07B3" w:rsidP="006E1865">
      <w:pPr>
        <w:pStyle w:val="Bodycopy"/>
        <w:rPr>
          <w:b/>
          <w:color w:val="000000"/>
          <w:sz w:val="16"/>
          <w:szCs w:val="16"/>
          <w:lang w:val="pl-PL"/>
        </w:rPr>
      </w:pPr>
      <w:r w:rsidRPr="00433950">
        <w:rPr>
          <w:b/>
          <w:color w:val="000000"/>
          <w:sz w:val="16"/>
          <w:szCs w:val="16"/>
          <w:lang w:val="pl-PL"/>
        </w:rPr>
        <w:t>Automatyzacja importu danych</w:t>
      </w:r>
    </w:p>
    <w:p w:rsidR="00F64595" w:rsidRPr="00433950" w:rsidRDefault="00F64595" w:rsidP="006E1865">
      <w:pPr>
        <w:pStyle w:val="Bodycopy"/>
        <w:rPr>
          <w:color w:val="000000"/>
          <w:sz w:val="16"/>
          <w:szCs w:val="16"/>
          <w:lang w:val="pl-PL"/>
        </w:rPr>
      </w:pPr>
      <w:r w:rsidRPr="00433950">
        <w:rPr>
          <w:color w:val="000000"/>
          <w:sz w:val="16"/>
          <w:szCs w:val="16"/>
          <w:lang w:val="pl-PL"/>
        </w:rPr>
        <w:t xml:space="preserve">Wnioski rejestracyjne zawierają bardzo szczegółowe opisy zgłaszanych produktów. Działanie każdego składnika produktu musi być udokumentowane wynikami testów prowadzonych </w:t>
      </w:r>
      <w:r w:rsidR="00BE0121" w:rsidRPr="00433950">
        <w:rPr>
          <w:color w:val="000000"/>
          <w:sz w:val="16"/>
          <w:szCs w:val="16"/>
          <w:lang w:val="pl-PL"/>
        </w:rPr>
        <w:t xml:space="preserve">zarówno </w:t>
      </w:r>
      <w:r w:rsidRPr="00433950">
        <w:rPr>
          <w:color w:val="000000"/>
          <w:sz w:val="16"/>
          <w:szCs w:val="16"/>
          <w:lang w:val="pl-PL"/>
        </w:rPr>
        <w:t xml:space="preserve">w laboratoriach, </w:t>
      </w:r>
      <w:r w:rsidR="00BE0121" w:rsidRPr="00433950">
        <w:rPr>
          <w:color w:val="000000"/>
          <w:sz w:val="16"/>
          <w:szCs w:val="16"/>
          <w:lang w:val="pl-PL"/>
        </w:rPr>
        <w:t xml:space="preserve">jak i </w:t>
      </w:r>
      <w:r w:rsidRPr="00433950">
        <w:rPr>
          <w:color w:val="000000"/>
          <w:sz w:val="16"/>
          <w:szCs w:val="16"/>
          <w:lang w:val="pl-PL"/>
        </w:rPr>
        <w:t xml:space="preserve">w warunkach analogicznych </w:t>
      </w:r>
      <w:r w:rsidR="00BE0121" w:rsidRPr="00433950">
        <w:rPr>
          <w:color w:val="000000"/>
          <w:sz w:val="16"/>
          <w:szCs w:val="16"/>
          <w:lang w:val="pl-PL"/>
        </w:rPr>
        <w:t>do tych</w:t>
      </w:r>
      <w:r w:rsidRPr="00433950">
        <w:rPr>
          <w:color w:val="000000"/>
          <w:sz w:val="16"/>
          <w:szCs w:val="16"/>
          <w:lang w:val="pl-PL"/>
        </w:rPr>
        <w:t>, w których produkt ma być stosowany</w:t>
      </w:r>
      <w:r w:rsidR="00BE0121" w:rsidRPr="00433950">
        <w:rPr>
          <w:color w:val="000000"/>
          <w:sz w:val="16"/>
          <w:szCs w:val="16"/>
          <w:lang w:val="pl-PL"/>
        </w:rPr>
        <w:t>. Każdy typ opakowania, formuła (proszek, żel itp.) a także sposób stosowania (np. nakładanie pędzlem, spray itd.</w:t>
      </w:r>
      <w:r w:rsidR="001D366C" w:rsidRPr="00433950">
        <w:rPr>
          <w:color w:val="000000"/>
          <w:sz w:val="16"/>
          <w:szCs w:val="16"/>
          <w:lang w:val="pl-PL"/>
        </w:rPr>
        <w:t>) wymaga odrębnego wniosku i odrębnego dopuszczenia do obrotu.</w:t>
      </w:r>
      <w:r w:rsidR="00450D6F" w:rsidRPr="00433950">
        <w:rPr>
          <w:color w:val="000000"/>
          <w:sz w:val="16"/>
          <w:szCs w:val="16"/>
          <w:lang w:val="pl-PL"/>
        </w:rPr>
        <w:t xml:space="preserve"> Danych jest więc mnóstwo.</w:t>
      </w:r>
    </w:p>
    <w:p w:rsidR="00450D6F" w:rsidRPr="00433950" w:rsidRDefault="001D366C" w:rsidP="006E1865">
      <w:pPr>
        <w:pStyle w:val="Bodycopy"/>
        <w:rPr>
          <w:color w:val="000000"/>
          <w:sz w:val="16"/>
          <w:szCs w:val="16"/>
          <w:lang w:val="pl-PL"/>
        </w:rPr>
      </w:pPr>
      <w:r w:rsidRPr="00433950">
        <w:rPr>
          <w:color w:val="000000"/>
          <w:sz w:val="16"/>
          <w:szCs w:val="16"/>
          <w:lang w:val="pl-PL"/>
        </w:rPr>
        <w:tab/>
        <w:t xml:space="preserve">Wnioski dostarczane są w formie </w:t>
      </w:r>
      <w:r w:rsidR="00450D6F" w:rsidRPr="00433950">
        <w:rPr>
          <w:color w:val="000000"/>
          <w:sz w:val="16"/>
          <w:szCs w:val="16"/>
          <w:lang w:val="pl-PL"/>
        </w:rPr>
        <w:t>dokumentów elektronicznych zapisanych</w:t>
      </w:r>
      <w:r w:rsidRPr="00433950">
        <w:rPr>
          <w:color w:val="000000"/>
          <w:sz w:val="16"/>
          <w:szCs w:val="16"/>
          <w:lang w:val="pl-PL"/>
        </w:rPr>
        <w:t xml:space="preserve"> na nośnikach CD/DVD. </w:t>
      </w:r>
    </w:p>
    <w:p w:rsidR="001D366C" w:rsidRPr="00433950" w:rsidRDefault="00450D6F" w:rsidP="00450D6F">
      <w:pPr>
        <w:pStyle w:val="Bodycopy"/>
        <w:ind w:firstLine="284"/>
        <w:rPr>
          <w:color w:val="000000"/>
          <w:sz w:val="16"/>
          <w:szCs w:val="16"/>
          <w:lang w:val="pl-PL"/>
        </w:rPr>
      </w:pPr>
      <w:r w:rsidRPr="00433950">
        <w:rPr>
          <w:color w:val="000000"/>
          <w:sz w:val="16"/>
          <w:szCs w:val="16"/>
          <w:lang w:val="pl-PL"/>
        </w:rPr>
        <w:t>„</w:t>
      </w:r>
      <w:r w:rsidR="000609FC" w:rsidRPr="00433950">
        <w:rPr>
          <w:i/>
          <w:color w:val="000000"/>
          <w:sz w:val="16"/>
          <w:szCs w:val="16"/>
          <w:lang w:val="pl-PL"/>
        </w:rPr>
        <w:t>Komisja Europejska</w:t>
      </w:r>
      <w:r w:rsidR="008B4F29" w:rsidRPr="00433950">
        <w:rPr>
          <w:i/>
          <w:color w:val="000000"/>
          <w:sz w:val="16"/>
          <w:szCs w:val="16"/>
          <w:lang w:val="pl-PL"/>
        </w:rPr>
        <w:t>,</w:t>
      </w:r>
      <w:r w:rsidR="000609FC" w:rsidRPr="00433950">
        <w:rPr>
          <w:i/>
          <w:color w:val="000000"/>
          <w:sz w:val="16"/>
          <w:szCs w:val="16"/>
          <w:lang w:val="pl-PL"/>
        </w:rPr>
        <w:t xml:space="preserve"> a za nią</w:t>
      </w:r>
      <w:r w:rsidR="007918B8" w:rsidRPr="00433950">
        <w:rPr>
          <w:color w:val="000000"/>
          <w:sz w:val="16"/>
          <w:szCs w:val="16"/>
          <w:lang w:val="pl-PL"/>
        </w:rPr>
        <w:t xml:space="preserve"> </w:t>
      </w:r>
      <w:r w:rsidR="001D366C" w:rsidRPr="00433950">
        <w:rPr>
          <w:i/>
          <w:color w:val="000000"/>
          <w:sz w:val="16"/>
          <w:szCs w:val="16"/>
          <w:lang w:val="pl-PL"/>
        </w:rPr>
        <w:t>Urząd</w:t>
      </w:r>
      <w:r w:rsidR="008B4F29" w:rsidRPr="00433950">
        <w:rPr>
          <w:i/>
          <w:color w:val="000000"/>
          <w:sz w:val="16"/>
          <w:szCs w:val="16"/>
          <w:lang w:val="pl-PL"/>
        </w:rPr>
        <w:t>,</w:t>
      </w:r>
      <w:r w:rsidR="001D366C" w:rsidRPr="00433950">
        <w:rPr>
          <w:i/>
          <w:color w:val="000000"/>
          <w:sz w:val="16"/>
          <w:szCs w:val="16"/>
          <w:lang w:val="pl-PL"/>
        </w:rPr>
        <w:t xml:space="preserve"> zapewnia</w:t>
      </w:r>
      <w:r w:rsidRPr="00433950">
        <w:rPr>
          <w:i/>
          <w:color w:val="000000"/>
          <w:sz w:val="16"/>
          <w:szCs w:val="16"/>
          <w:lang w:val="pl-PL"/>
        </w:rPr>
        <w:t xml:space="preserve"> producentom wzory obowiązkowych elementów treści poszczególnych typów dokumentów rejestracyjnych, nie ma jednak wpływu na formaty</w:t>
      </w:r>
      <w:r w:rsidR="00DF6B95" w:rsidRPr="00433950">
        <w:rPr>
          <w:i/>
          <w:color w:val="000000"/>
          <w:sz w:val="16"/>
          <w:szCs w:val="16"/>
          <w:lang w:val="pl-PL"/>
        </w:rPr>
        <w:t xml:space="preserve"> plików i </w:t>
      </w:r>
      <w:r w:rsidRPr="00433950">
        <w:rPr>
          <w:i/>
          <w:color w:val="000000"/>
          <w:sz w:val="16"/>
          <w:szCs w:val="16"/>
          <w:lang w:val="pl-PL"/>
        </w:rPr>
        <w:t>wersje programów, za pomocą których dokumenty zostały przygotowane. Nie może też przewidzieć, czy wymagania dotyczące struktury informacji zostaną właściwie zrozumiane</w:t>
      </w:r>
      <w:r w:rsidR="00DF6B95" w:rsidRPr="00433950">
        <w:rPr>
          <w:i/>
          <w:color w:val="000000"/>
          <w:sz w:val="16"/>
          <w:szCs w:val="16"/>
          <w:lang w:val="pl-PL"/>
        </w:rPr>
        <w:t>,</w:t>
      </w:r>
      <w:r w:rsidRPr="00433950">
        <w:rPr>
          <w:i/>
          <w:color w:val="000000"/>
          <w:sz w:val="16"/>
          <w:szCs w:val="16"/>
          <w:lang w:val="pl-PL"/>
        </w:rPr>
        <w:t xml:space="preserve"> i czy w trakcie wprowadzania danych nie powstaną błędy</w:t>
      </w:r>
      <w:r w:rsidRPr="00433950">
        <w:rPr>
          <w:color w:val="000000"/>
          <w:sz w:val="16"/>
          <w:szCs w:val="16"/>
          <w:lang w:val="pl-PL"/>
        </w:rPr>
        <w:t>”</w:t>
      </w:r>
      <w:r w:rsidR="00DF6B95" w:rsidRPr="00433950">
        <w:rPr>
          <w:color w:val="000000"/>
          <w:sz w:val="16"/>
          <w:szCs w:val="16"/>
          <w:lang w:val="pl-PL"/>
        </w:rPr>
        <w:t xml:space="preserve"> – wyjaśnia </w:t>
      </w:r>
      <w:r w:rsidR="00563095" w:rsidRPr="00433950">
        <w:rPr>
          <w:color w:val="000000"/>
          <w:sz w:val="16"/>
          <w:szCs w:val="16"/>
          <w:lang w:val="pl-PL"/>
        </w:rPr>
        <w:t xml:space="preserve">dr </w:t>
      </w:r>
      <w:r w:rsidR="00DF6B95" w:rsidRPr="00433950">
        <w:rPr>
          <w:color w:val="000000"/>
          <w:sz w:val="16"/>
          <w:szCs w:val="16"/>
          <w:lang w:val="pl-PL"/>
        </w:rPr>
        <w:t xml:space="preserve">Robert </w:t>
      </w:r>
      <w:r w:rsidR="00563095" w:rsidRPr="00433950">
        <w:rPr>
          <w:color w:val="000000"/>
          <w:sz w:val="16"/>
          <w:szCs w:val="16"/>
          <w:lang w:val="pl-PL"/>
        </w:rPr>
        <w:t>Chrobak.</w:t>
      </w:r>
    </w:p>
    <w:p w:rsidR="005B07B3" w:rsidRPr="00433950" w:rsidRDefault="00F075B8" w:rsidP="006E1865">
      <w:pPr>
        <w:pStyle w:val="Bodycopy"/>
        <w:rPr>
          <w:color w:val="000000"/>
          <w:sz w:val="16"/>
          <w:szCs w:val="16"/>
          <w:lang w:val="pl-PL"/>
        </w:rPr>
      </w:pPr>
      <w:r w:rsidRPr="00433950">
        <w:rPr>
          <w:color w:val="000000"/>
          <w:sz w:val="16"/>
          <w:szCs w:val="16"/>
          <w:lang w:val="pl-PL"/>
        </w:rPr>
        <w:tab/>
        <w:t>Transition Technologies SA rozwiązała ten problem za pomocą zaawansowanych parserów struktur XML, zbudowanych na fundamencie pakietu Microsoft Office 2007.</w:t>
      </w:r>
    </w:p>
    <w:p w:rsidR="00137350" w:rsidRPr="00433950" w:rsidRDefault="00F075B8" w:rsidP="006E1865">
      <w:pPr>
        <w:pStyle w:val="Bodycopy"/>
        <w:rPr>
          <w:color w:val="000000"/>
          <w:sz w:val="16"/>
          <w:szCs w:val="16"/>
          <w:lang w:val="pl-PL"/>
        </w:rPr>
      </w:pPr>
      <w:r w:rsidRPr="00433950">
        <w:rPr>
          <w:color w:val="000000"/>
          <w:sz w:val="16"/>
          <w:szCs w:val="16"/>
          <w:lang w:val="pl-PL"/>
        </w:rPr>
        <w:tab/>
        <w:t>„</w:t>
      </w:r>
      <w:r w:rsidRPr="00433950">
        <w:rPr>
          <w:i/>
          <w:color w:val="000000"/>
          <w:sz w:val="16"/>
          <w:szCs w:val="16"/>
          <w:lang w:val="pl-PL"/>
        </w:rPr>
        <w:t xml:space="preserve">Pakiet Microsoft Office 2007 traktuje format XML jako podstawowy format zapisu danych. Dostępne wraz z nim interfejsy API umożliwiły naszym programistom </w:t>
      </w:r>
      <w:r w:rsidR="00137350" w:rsidRPr="00433950">
        <w:rPr>
          <w:i/>
          <w:color w:val="000000"/>
          <w:sz w:val="16"/>
          <w:szCs w:val="16"/>
          <w:lang w:val="pl-PL"/>
        </w:rPr>
        <w:t>stworzenie  mechanizmów służących do importu zawartości tekstu i tabel z dokumentów źródłowych do struktur XML. Tak przygotowane dane trafiają do parserów, które dokonują walidacji struktury i zawartości danych na tle wzorcowych schematów XML i związanych z nimi reguł interpretowania treści</w:t>
      </w:r>
      <w:r w:rsidR="00137350" w:rsidRPr="00433950">
        <w:rPr>
          <w:color w:val="000000"/>
          <w:sz w:val="16"/>
          <w:szCs w:val="16"/>
          <w:lang w:val="pl-PL"/>
        </w:rPr>
        <w:t xml:space="preserve">” – opowiada </w:t>
      </w:r>
      <w:r w:rsidR="00ED02E5" w:rsidRPr="00433950">
        <w:rPr>
          <w:color w:val="000000"/>
          <w:sz w:val="16"/>
          <w:szCs w:val="16"/>
          <w:lang w:val="pl-PL"/>
        </w:rPr>
        <w:t xml:space="preserve">Sebastian </w:t>
      </w:r>
      <w:r w:rsidR="00ED02E5" w:rsidRPr="00433950">
        <w:rPr>
          <w:color w:val="000000"/>
          <w:sz w:val="16"/>
          <w:szCs w:val="16"/>
          <w:lang w:val="pl-PL"/>
        </w:rPr>
        <w:lastRenderedPageBreak/>
        <w:t xml:space="preserve">Sokołowski, </w:t>
      </w:r>
      <w:r w:rsidR="00F9757A" w:rsidRPr="00433950">
        <w:rPr>
          <w:color w:val="000000"/>
          <w:sz w:val="16"/>
          <w:szCs w:val="16"/>
          <w:lang w:val="pl-PL"/>
        </w:rPr>
        <w:t>Dyrektor Działu Oprogramowania</w:t>
      </w:r>
      <w:r w:rsidR="00ED02E5" w:rsidRPr="00433950">
        <w:rPr>
          <w:color w:val="000000"/>
          <w:sz w:val="16"/>
          <w:szCs w:val="16"/>
          <w:lang w:val="pl-PL"/>
        </w:rPr>
        <w:t xml:space="preserve"> w Transition Technologies SA w Warszawie.</w:t>
      </w:r>
    </w:p>
    <w:p w:rsidR="00277488" w:rsidRPr="00433950" w:rsidRDefault="008D06D8" w:rsidP="006E1865">
      <w:pPr>
        <w:pStyle w:val="Bodycopy"/>
        <w:rPr>
          <w:color w:val="000000"/>
          <w:sz w:val="16"/>
          <w:szCs w:val="16"/>
          <w:lang w:val="pl-PL"/>
        </w:rPr>
      </w:pPr>
      <w:r w:rsidRPr="00433950">
        <w:rPr>
          <w:color w:val="000000"/>
          <w:sz w:val="16"/>
          <w:szCs w:val="16"/>
          <w:lang w:val="pl-PL"/>
        </w:rPr>
        <w:tab/>
        <w:t xml:space="preserve">Dzięki tym mechanizmom, pracownicy Urzędu wprowadzający wnioski do systemu w kilka </w:t>
      </w:r>
      <w:r w:rsidR="00EC79AE" w:rsidRPr="00433950">
        <w:rPr>
          <w:color w:val="000000"/>
          <w:sz w:val="16"/>
          <w:szCs w:val="16"/>
          <w:lang w:val="pl-PL"/>
        </w:rPr>
        <w:t xml:space="preserve">chwil </w:t>
      </w:r>
      <w:r w:rsidR="007640C9" w:rsidRPr="00433950">
        <w:rPr>
          <w:color w:val="000000"/>
          <w:sz w:val="16"/>
          <w:szCs w:val="16"/>
          <w:lang w:val="pl-PL"/>
        </w:rPr>
        <w:t>mogą widzieć</w:t>
      </w:r>
      <w:r w:rsidR="00EC79AE" w:rsidRPr="00433950">
        <w:rPr>
          <w:color w:val="000000"/>
          <w:sz w:val="16"/>
          <w:szCs w:val="16"/>
          <w:lang w:val="pl-PL"/>
        </w:rPr>
        <w:t xml:space="preserve"> na ekranie informacje</w:t>
      </w:r>
      <w:r w:rsidRPr="00433950">
        <w:rPr>
          <w:color w:val="000000"/>
          <w:sz w:val="16"/>
          <w:szCs w:val="16"/>
          <w:lang w:val="pl-PL"/>
        </w:rPr>
        <w:t xml:space="preserve">, które dokumenty i które ich fragmenty wymagają doprecyzowania ze strony dostawcy, </w:t>
      </w:r>
      <w:r w:rsidR="002B2300" w:rsidRPr="00433950">
        <w:rPr>
          <w:color w:val="000000"/>
          <w:sz w:val="16"/>
          <w:szCs w:val="16"/>
          <w:lang w:val="pl-PL"/>
        </w:rPr>
        <w:t>lub</w:t>
      </w:r>
      <w:r w:rsidRPr="00433950">
        <w:rPr>
          <w:color w:val="000000"/>
          <w:sz w:val="16"/>
          <w:szCs w:val="16"/>
          <w:lang w:val="pl-PL"/>
        </w:rPr>
        <w:t xml:space="preserve"> </w:t>
      </w:r>
      <w:r w:rsidR="002B2300" w:rsidRPr="00433950">
        <w:rPr>
          <w:color w:val="000000"/>
          <w:sz w:val="16"/>
          <w:szCs w:val="16"/>
          <w:lang w:val="pl-PL"/>
        </w:rPr>
        <w:t xml:space="preserve">tylko </w:t>
      </w:r>
      <w:r w:rsidRPr="00433950">
        <w:rPr>
          <w:color w:val="000000"/>
          <w:sz w:val="16"/>
          <w:szCs w:val="16"/>
          <w:lang w:val="pl-PL"/>
        </w:rPr>
        <w:t xml:space="preserve">drobnej korekty edytorskiej. </w:t>
      </w:r>
    </w:p>
    <w:p w:rsidR="008D06D8" w:rsidRPr="00433950" w:rsidRDefault="00277488" w:rsidP="00277488">
      <w:pPr>
        <w:pStyle w:val="Bodycopy"/>
        <w:ind w:firstLine="284"/>
        <w:rPr>
          <w:color w:val="000000"/>
          <w:sz w:val="16"/>
          <w:szCs w:val="16"/>
          <w:lang w:val="pl-PL"/>
        </w:rPr>
      </w:pPr>
      <w:r w:rsidRPr="00433950">
        <w:rPr>
          <w:color w:val="000000"/>
          <w:sz w:val="16"/>
          <w:szCs w:val="16"/>
          <w:lang w:val="pl-PL"/>
        </w:rPr>
        <w:t>„</w:t>
      </w:r>
      <w:r w:rsidR="008D06D8" w:rsidRPr="00433950">
        <w:rPr>
          <w:i/>
          <w:color w:val="000000"/>
          <w:sz w:val="16"/>
          <w:szCs w:val="16"/>
          <w:lang w:val="pl-PL"/>
        </w:rPr>
        <w:t xml:space="preserve">Gdyby etapu automatycznego filtrowania nie było, weryfikowanie wniosków, pomimo formy elektronicznej, trwałoby bardzo długo, a przy tym wcale nie </w:t>
      </w:r>
      <w:r w:rsidR="008B4F29" w:rsidRPr="00433950">
        <w:rPr>
          <w:i/>
          <w:color w:val="000000"/>
          <w:sz w:val="16"/>
          <w:szCs w:val="16"/>
          <w:lang w:val="pl-PL"/>
        </w:rPr>
        <w:t>gwarantowałoby</w:t>
      </w:r>
      <w:r w:rsidR="008D06D8" w:rsidRPr="00433950">
        <w:rPr>
          <w:i/>
          <w:color w:val="000000"/>
          <w:sz w:val="16"/>
          <w:szCs w:val="16"/>
          <w:lang w:val="pl-PL"/>
        </w:rPr>
        <w:t>, że dane są wolne od błędów</w:t>
      </w:r>
      <w:r w:rsidR="008D06D8" w:rsidRPr="00433950">
        <w:rPr>
          <w:color w:val="000000"/>
          <w:sz w:val="16"/>
          <w:szCs w:val="16"/>
          <w:lang w:val="pl-PL"/>
        </w:rPr>
        <w:t>” – podkreśla dr Robert Chrobak.</w:t>
      </w:r>
    </w:p>
    <w:p w:rsidR="00D5789F" w:rsidRPr="00433950" w:rsidRDefault="00FB4FD1" w:rsidP="00277488">
      <w:pPr>
        <w:pStyle w:val="Bodycopy"/>
        <w:ind w:firstLine="284"/>
        <w:rPr>
          <w:color w:val="000000"/>
          <w:sz w:val="16"/>
          <w:szCs w:val="16"/>
          <w:lang w:val="pl-PL"/>
        </w:rPr>
      </w:pPr>
      <w:r w:rsidRPr="00433950">
        <w:rPr>
          <w:color w:val="000000"/>
          <w:sz w:val="16"/>
          <w:szCs w:val="16"/>
          <w:lang w:val="pl-PL"/>
        </w:rPr>
        <w:t>K</w:t>
      </w:r>
      <w:r w:rsidR="00D5789F" w:rsidRPr="00433950">
        <w:rPr>
          <w:color w:val="000000"/>
          <w:sz w:val="16"/>
          <w:szCs w:val="16"/>
          <w:lang w:val="pl-PL"/>
        </w:rPr>
        <w:t xml:space="preserve">omponenty </w:t>
      </w:r>
      <w:r w:rsidR="001F4F8F" w:rsidRPr="00433950">
        <w:rPr>
          <w:color w:val="000000"/>
          <w:sz w:val="16"/>
          <w:szCs w:val="16"/>
          <w:lang w:val="pl-PL"/>
        </w:rPr>
        <w:t xml:space="preserve">pakietu </w:t>
      </w:r>
      <w:r w:rsidR="00D5789F" w:rsidRPr="00433950">
        <w:rPr>
          <w:color w:val="000000"/>
          <w:sz w:val="16"/>
          <w:szCs w:val="16"/>
          <w:lang w:val="pl-PL"/>
        </w:rPr>
        <w:t xml:space="preserve">Microsoft Office </w:t>
      </w:r>
      <w:r w:rsidRPr="00433950">
        <w:rPr>
          <w:color w:val="000000"/>
          <w:sz w:val="16"/>
          <w:szCs w:val="16"/>
          <w:lang w:val="pl-PL"/>
        </w:rPr>
        <w:t xml:space="preserve">2007, jego rozszerzenia </w:t>
      </w:r>
      <w:r w:rsidR="00D5789F" w:rsidRPr="00433950">
        <w:rPr>
          <w:color w:val="000000"/>
          <w:sz w:val="16"/>
          <w:szCs w:val="16"/>
          <w:lang w:val="pl-PL"/>
        </w:rPr>
        <w:t>uruchamia</w:t>
      </w:r>
      <w:r w:rsidRPr="00433950">
        <w:rPr>
          <w:color w:val="000000"/>
          <w:sz w:val="16"/>
          <w:szCs w:val="16"/>
          <w:lang w:val="pl-PL"/>
        </w:rPr>
        <w:t>jące parsery</w:t>
      </w:r>
      <w:r w:rsidR="00D5789F" w:rsidRPr="00433950">
        <w:rPr>
          <w:color w:val="000000"/>
          <w:sz w:val="16"/>
          <w:szCs w:val="16"/>
          <w:lang w:val="pl-PL"/>
        </w:rPr>
        <w:t xml:space="preserve"> </w:t>
      </w:r>
      <w:r w:rsidRPr="00433950">
        <w:rPr>
          <w:color w:val="000000"/>
          <w:sz w:val="16"/>
          <w:szCs w:val="16"/>
          <w:lang w:val="pl-PL"/>
        </w:rPr>
        <w:t>oraz</w:t>
      </w:r>
      <w:r w:rsidR="00D5789F" w:rsidRPr="00433950">
        <w:rPr>
          <w:color w:val="000000"/>
          <w:sz w:val="16"/>
          <w:szCs w:val="16"/>
          <w:lang w:val="pl-PL"/>
        </w:rPr>
        <w:t xml:space="preserve"> same parsery</w:t>
      </w:r>
      <w:r w:rsidR="009C74EA" w:rsidRPr="00433950">
        <w:rPr>
          <w:color w:val="000000"/>
          <w:sz w:val="16"/>
          <w:szCs w:val="16"/>
          <w:lang w:val="pl-PL"/>
        </w:rPr>
        <w:t xml:space="preserve"> działają na dedykowanym serwerze w sieci lokalnej Urzędu. Wyniki weryfikacji i ewentualne rozbieżności do poprawienia dostępne są za pośrednictwem </w:t>
      </w:r>
      <w:r w:rsidR="008E6424" w:rsidRPr="00433950">
        <w:rPr>
          <w:color w:val="000000"/>
          <w:sz w:val="16"/>
          <w:szCs w:val="16"/>
          <w:lang w:val="pl-PL"/>
        </w:rPr>
        <w:t xml:space="preserve">aplikacji klienckiej wykorzystującej </w:t>
      </w:r>
      <w:r w:rsidR="00DA5EBE" w:rsidRPr="00433950">
        <w:rPr>
          <w:color w:val="000000"/>
          <w:sz w:val="16"/>
          <w:szCs w:val="16"/>
          <w:lang w:val="pl-PL"/>
        </w:rPr>
        <w:t>biblioteki</w:t>
      </w:r>
      <w:r w:rsidR="00AE5DA1" w:rsidRPr="00433950">
        <w:rPr>
          <w:color w:val="000000"/>
          <w:sz w:val="16"/>
          <w:szCs w:val="16"/>
          <w:lang w:val="pl-PL"/>
        </w:rPr>
        <w:t xml:space="preserve"> </w:t>
      </w:r>
      <w:r w:rsidR="008E6424" w:rsidRPr="00433950">
        <w:rPr>
          <w:color w:val="000000"/>
          <w:sz w:val="16"/>
          <w:szCs w:val="16"/>
          <w:lang w:val="pl-PL"/>
        </w:rPr>
        <w:t>.NET 3.5 – Windows Presentation Foundation oraz Windows Communication Foundation.</w:t>
      </w:r>
      <w:r w:rsidRPr="00433950">
        <w:rPr>
          <w:color w:val="000000"/>
          <w:sz w:val="16"/>
          <w:szCs w:val="16"/>
          <w:lang w:val="pl-PL"/>
        </w:rPr>
        <w:t xml:space="preserve"> Dokumentacja sprawdzona pod względem formalnym </w:t>
      </w:r>
      <w:r w:rsidR="001E67B7" w:rsidRPr="00433950">
        <w:rPr>
          <w:color w:val="000000"/>
          <w:sz w:val="16"/>
          <w:szCs w:val="16"/>
          <w:lang w:val="pl-PL"/>
        </w:rPr>
        <w:t xml:space="preserve">zapisywana jest </w:t>
      </w:r>
      <w:r w:rsidRPr="00433950">
        <w:rPr>
          <w:color w:val="000000"/>
          <w:sz w:val="16"/>
          <w:szCs w:val="16"/>
          <w:lang w:val="pl-PL"/>
        </w:rPr>
        <w:t xml:space="preserve">w </w:t>
      </w:r>
      <w:r w:rsidR="001E67B7" w:rsidRPr="00433950">
        <w:rPr>
          <w:color w:val="000000"/>
          <w:sz w:val="16"/>
          <w:szCs w:val="16"/>
          <w:lang w:val="pl-PL"/>
        </w:rPr>
        <w:t xml:space="preserve">centralnej </w:t>
      </w:r>
      <w:r w:rsidRPr="00433950">
        <w:rPr>
          <w:color w:val="000000"/>
          <w:sz w:val="16"/>
          <w:szCs w:val="16"/>
          <w:lang w:val="pl-PL"/>
        </w:rPr>
        <w:t>bazie danych w formacie XML, w czym pośredniczą dedykowane serwisy Web</w:t>
      </w:r>
      <w:r w:rsidR="002B1BDF" w:rsidRPr="00433950">
        <w:rPr>
          <w:color w:val="000000"/>
          <w:sz w:val="16"/>
          <w:szCs w:val="16"/>
          <w:lang w:val="pl-PL"/>
        </w:rPr>
        <w:t>.</w:t>
      </w:r>
    </w:p>
    <w:p w:rsidR="00FB4FD1" w:rsidRPr="00433950" w:rsidRDefault="00FB4FD1" w:rsidP="00277488">
      <w:pPr>
        <w:pStyle w:val="Bodycopy"/>
        <w:ind w:firstLine="284"/>
        <w:rPr>
          <w:color w:val="000000"/>
          <w:sz w:val="16"/>
          <w:szCs w:val="16"/>
          <w:lang w:val="pl-PL"/>
        </w:rPr>
      </w:pPr>
      <w:r w:rsidRPr="00433950">
        <w:rPr>
          <w:color w:val="000000"/>
          <w:sz w:val="16"/>
          <w:szCs w:val="16"/>
          <w:lang w:val="pl-PL"/>
        </w:rPr>
        <w:t>„</w:t>
      </w:r>
      <w:r w:rsidRPr="00433950">
        <w:rPr>
          <w:i/>
          <w:color w:val="000000"/>
          <w:sz w:val="16"/>
          <w:szCs w:val="16"/>
          <w:lang w:val="pl-PL"/>
        </w:rPr>
        <w:t xml:space="preserve">Zapisując dane w bazie w </w:t>
      </w:r>
      <w:r w:rsidR="0077664C" w:rsidRPr="00433950">
        <w:rPr>
          <w:i/>
          <w:color w:val="000000"/>
          <w:sz w:val="16"/>
          <w:szCs w:val="16"/>
          <w:lang w:val="pl-PL"/>
        </w:rPr>
        <w:t xml:space="preserve">formie </w:t>
      </w:r>
      <w:r w:rsidR="001E67B7" w:rsidRPr="00433950">
        <w:rPr>
          <w:i/>
          <w:color w:val="000000"/>
          <w:sz w:val="16"/>
          <w:szCs w:val="16"/>
          <w:lang w:val="pl-PL"/>
        </w:rPr>
        <w:t xml:space="preserve">dokumentów </w:t>
      </w:r>
      <w:r w:rsidRPr="00433950">
        <w:rPr>
          <w:i/>
          <w:color w:val="000000"/>
          <w:sz w:val="16"/>
          <w:szCs w:val="16"/>
          <w:lang w:val="pl-PL"/>
        </w:rPr>
        <w:t>XML</w:t>
      </w:r>
      <w:r w:rsidR="0077664C" w:rsidRPr="00433950">
        <w:rPr>
          <w:i/>
          <w:color w:val="000000"/>
          <w:sz w:val="16"/>
          <w:szCs w:val="16"/>
          <w:lang w:val="pl-PL"/>
        </w:rPr>
        <w:t>,</w:t>
      </w:r>
      <w:r w:rsidRPr="00433950">
        <w:rPr>
          <w:i/>
          <w:color w:val="000000"/>
          <w:sz w:val="16"/>
          <w:szCs w:val="16"/>
          <w:lang w:val="pl-PL"/>
        </w:rPr>
        <w:t xml:space="preserve"> Urząd </w:t>
      </w:r>
      <w:r w:rsidR="0077664C" w:rsidRPr="00433950">
        <w:rPr>
          <w:i/>
          <w:color w:val="000000"/>
          <w:sz w:val="16"/>
          <w:szCs w:val="16"/>
          <w:lang w:val="pl-PL"/>
        </w:rPr>
        <w:t>uzyskuje</w:t>
      </w:r>
      <w:r w:rsidRPr="00433950">
        <w:rPr>
          <w:i/>
          <w:color w:val="000000"/>
          <w:sz w:val="16"/>
          <w:szCs w:val="16"/>
          <w:lang w:val="pl-PL"/>
        </w:rPr>
        <w:t xml:space="preserve"> pełną elastyczność</w:t>
      </w:r>
      <w:r w:rsidR="0077664C" w:rsidRPr="00433950">
        <w:rPr>
          <w:i/>
          <w:color w:val="000000"/>
          <w:sz w:val="16"/>
          <w:szCs w:val="16"/>
          <w:lang w:val="pl-PL"/>
        </w:rPr>
        <w:t xml:space="preserve">. </w:t>
      </w:r>
      <w:r w:rsidR="001F17DB" w:rsidRPr="00433950">
        <w:rPr>
          <w:i/>
          <w:color w:val="000000"/>
          <w:sz w:val="16"/>
          <w:szCs w:val="16"/>
          <w:lang w:val="pl-PL"/>
        </w:rPr>
        <w:t>Dane mogą być łatwo wykorzystane na potrzeby aplikacji – istniejąc</w:t>
      </w:r>
      <w:r w:rsidR="001F4F8F" w:rsidRPr="00433950">
        <w:rPr>
          <w:i/>
          <w:color w:val="000000"/>
          <w:sz w:val="16"/>
          <w:szCs w:val="16"/>
          <w:lang w:val="pl-PL"/>
        </w:rPr>
        <w:t>ych i przyszłych. T</w:t>
      </w:r>
      <w:r w:rsidR="001F17DB" w:rsidRPr="00433950">
        <w:rPr>
          <w:i/>
          <w:color w:val="000000"/>
          <w:sz w:val="16"/>
          <w:szCs w:val="16"/>
          <w:lang w:val="pl-PL"/>
        </w:rPr>
        <w:t xml:space="preserve">e same dane można </w:t>
      </w:r>
      <w:r w:rsidRPr="00433950">
        <w:rPr>
          <w:i/>
          <w:color w:val="000000"/>
          <w:sz w:val="16"/>
          <w:szCs w:val="16"/>
          <w:lang w:val="pl-PL"/>
        </w:rPr>
        <w:t>odczytać i łatwo umieścić w dokumencie dowolnego formatu. System gwarantuje Urzędowi obsługę wszystkich obecnych i przyszłych formatów dokumentów</w:t>
      </w:r>
      <w:r w:rsidRPr="00433950">
        <w:rPr>
          <w:color w:val="000000"/>
          <w:sz w:val="16"/>
          <w:szCs w:val="16"/>
          <w:lang w:val="pl-PL"/>
        </w:rPr>
        <w:t>” – mówi Sebastian</w:t>
      </w:r>
      <w:r w:rsidR="0077664C" w:rsidRPr="00433950">
        <w:rPr>
          <w:color w:val="000000"/>
          <w:sz w:val="16"/>
          <w:szCs w:val="16"/>
          <w:lang w:val="pl-PL"/>
        </w:rPr>
        <w:t xml:space="preserve"> </w:t>
      </w:r>
      <w:r w:rsidR="001F17DB" w:rsidRPr="00433950">
        <w:rPr>
          <w:color w:val="000000"/>
          <w:sz w:val="16"/>
          <w:szCs w:val="16"/>
          <w:lang w:val="pl-PL"/>
        </w:rPr>
        <w:t>Sokołowski</w:t>
      </w:r>
      <w:r w:rsidR="0077664C" w:rsidRPr="00433950">
        <w:rPr>
          <w:color w:val="000000"/>
          <w:sz w:val="16"/>
          <w:szCs w:val="16"/>
          <w:lang w:val="pl-PL"/>
        </w:rPr>
        <w:t>.</w:t>
      </w:r>
    </w:p>
    <w:p w:rsidR="00360F10" w:rsidRPr="00433950" w:rsidRDefault="00360F10" w:rsidP="00277488">
      <w:pPr>
        <w:pStyle w:val="Bodycopy"/>
        <w:ind w:firstLine="284"/>
        <w:rPr>
          <w:color w:val="000000"/>
          <w:sz w:val="16"/>
          <w:szCs w:val="16"/>
          <w:lang w:val="pl-PL"/>
        </w:rPr>
      </w:pPr>
    </w:p>
    <w:p w:rsidR="00671166" w:rsidRPr="00433950" w:rsidRDefault="00671166" w:rsidP="006E1865">
      <w:pPr>
        <w:pStyle w:val="Bodycopy"/>
        <w:rPr>
          <w:b/>
          <w:color w:val="000000"/>
          <w:sz w:val="16"/>
          <w:szCs w:val="16"/>
          <w:lang w:val="pl-PL"/>
        </w:rPr>
      </w:pPr>
      <w:r w:rsidRPr="00433950">
        <w:rPr>
          <w:b/>
          <w:color w:val="000000"/>
          <w:sz w:val="16"/>
          <w:szCs w:val="16"/>
          <w:lang w:val="pl-PL"/>
        </w:rPr>
        <w:t>Obieg wniosków rejestracyjnych</w:t>
      </w:r>
    </w:p>
    <w:p w:rsidR="002A4D17" w:rsidRPr="00433950" w:rsidRDefault="00300F16" w:rsidP="006E1865">
      <w:pPr>
        <w:pStyle w:val="Bodycopy"/>
        <w:rPr>
          <w:color w:val="000000"/>
          <w:sz w:val="16"/>
          <w:szCs w:val="16"/>
          <w:lang w:val="pl-PL"/>
        </w:rPr>
      </w:pPr>
      <w:r w:rsidRPr="00433950">
        <w:rPr>
          <w:color w:val="000000"/>
          <w:sz w:val="16"/>
          <w:szCs w:val="16"/>
          <w:lang w:val="pl-PL"/>
        </w:rPr>
        <w:t>Wnioski, które przejdą pomyślnie proces importu danych, podlegają ocenie merytorycznej przez pracowników Urzędu. Kluczową rolę odgrywa w tej mierze Dział Nazwa Działu, który analizuje i weryfikuje wyniki przedstawionych przez wnioskodawcę badań chemicznych.</w:t>
      </w:r>
    </w:p>
    <w:p w:rsidR="00300F16" w:rsidRPr="00433950" w:rsidRDefault="00300F16" w:rsidP="006E1865">
      <w:pPr>
        <w:pStyle w:val="Bodycopy"/>
        <w:rPr>
          <w:color w:val="000000"/>
          <w:sz w:val="16"/>
          <w:szCs w:val="16"/>
          <w:lang w:val="pl-PL"/>
        </w:rPr>
      </w:pPr>
      <w:r w:rsidRPr="00433950">
        <w:rPr>
          <w:color w:val="000000"/>
          <w:sz w:val="16"/>
          <w:szCs w:val="16"/>
          <w:lang w:val="pl-PL"/>
        </w:rPr>
        <w:tab/>
        <w:t>„</w:t>
      </w:r>
      <w:r w:rsidRPr="00433950">
        <w:rPr>
          <w:i/>
          <w:color w:val="000000"/>
          <w:sz w:val="16"/>
          <w:szCs w:val="16"/>
          <w:lang w:val="pl-PL"/>
        </w:rPr>
        <w:t xml:space="preserve">Proces </w:t>
      </w:r>
      <w:r w:rsidR="007918B8" w:rsidRPr="00433950">
        <w:rPr>
          <w:i/>
          <w:color w:val="000000"/>
          <w:sz w:val="16"/>
          <w:szCs w:val="16"/>
          <w:lang w:val="pl-PL"/>
        </w:rPr>
        <w:t xml:space="preserve">akceptacji wniosku wraz z oceną dokumentacji do niego dołączonej </w:t>
      </w:r>
      <w:r w:rsidRPr="00433950">
        <w:rPr>
          <w:i/>
          <w:color w:val="000000"/>
          <w:sz w:val="16"/>
          <w:szCs w:val="16"/>
          <w:lang w:val="pl-PL"/>
        </w:rPr>
        <w:t xml:space="preserve">ma </w:t>
      </w:r>
      <w:r w:rsidRPr="00433950">
        <w:rPr>
          <w:i/>
          <w:color w:val="000000"/>
          <w:sz w:val="16"/>
          <w:szCs w:val="16"/>
          <w:lang w:val="pl-PL"/>
        </w:rPr>
        <w:lastRenderedPageBreak/>
        <w:t xml:space="preserve">skończoną liczbę kroków, </w:t>
      </w:r>
      <w:r w:rsidR="001F4474" w:rsidRPr="00433950">
        <w:rPr>
          <w:i/>
          <w:color w:val="000000"/>
          <w:sz w:val="16"/>
          <w:szCs w:val="16"/>
          <w:lang w:val="pl-PL"/>
        </w:rPr>
        <w:t xml:space="preserve">które są odzwierciedlone w podsystemie obiegu </w:t>
      </w:r>
      <w:r w:rsidR="007918B8" w:rsidRPr="00433950">
        <w:rPr>
          <w:i/>
          <w:color w:val="000000"/>
          <w:sz w:val="16"/>
          <w:szCs w:val="16"/>
          <w:lang w:val="pl-PL"/>
        </w:rPr>
        <w:t>dokumentów</w:t>
      </w:r>
      <w:r w:rsidR="001F4474" w:rsidRPr="00433950">
        <w:rPr>
          <w:i/>
          <w:color w:val="000000"/>
          <w:sz w:val="16"/>
          <w:szCs w:val="16"/>
          <w:lang w:val="pl-PL"/>
        </w:rPr>
        <w:t>. System dba o to, aby czasy poszczególnych etapów nie były przekraczane i informuje osoby nadzorujące proces rejestracji o zbliżających się datach granicznych.</w:t>
      </w:r>
      <w:r w:rsidR="00061750" w:rsidRPr="00433950">
        <w:rPr>
          <w:i/>
          <w:color w:val="000000"/>
          <w:sz w:val="16"/>
          <w:szCs w:val="16"/>
          <w:lang w:val="pl-PL"/>
        </w:rPr>
        <w:t xml:space="preserve"> Proces obiegu </w:t>
      </w:r>
      <w:r w:rsidR="007918B8" w:rsidRPr="00433950">
        <w:rPr>
          <w:i/>
          <w:color w:val="000000"/>
          <w:sz w:val="16"/>
          <w:szCs w:val="16"/>
          <w:lang w:val="pl-PL"/>
        </w:rPr>
        <w:t xml:space="preserve">dokumentów </w:t>
      </w:r>
      <w:r w:rsidR="006E24BF" w:rsidRPr="00433950">
        <w:rPr>
          <w:i/>
          <w:color w:val="000000"/>
          <w:sz w:val="16"/>
          <w:szCs w:val="16"/>
          <w:lang w:val="pl-PL"/>
        </w:rPr>
        <w:t xml:space="preserve">został zaprojektowany tak, by </w:t>
      </w:r>
      <w:r w:rsidR="00061750" w:rsidRPr="00433950">
        <w:rPr>
          <w:i/>
          <w:color w:val="000000"/>
          <w:sz w:val="16"/>
          <w:szCs w:val="16"/>
          <w:lang w:val="pl-PL"/>
        </w:rPr>
        <w:t>uwzględnia</w:t>
      </w:r>
      <w:r w:rsidR="006E24BF" w:rsidRPr="00433950">
        <w:rPr>
          <w:i/>
          <w:color w:val="000000"/>
          <w:sz w:val="16"/>
          <w:szCs w:val="16"/>
          <w:lang w:val="pl-PL"/>
        </w:rPr>
        <w:t>ł</w:t>
      </w:r>
      <w:r w:rsidR="00061750" w:rsidRPr="00433950">
        <w:rPr>
          <w:i/>
          <w:color w:val="000000"/>
          <w:sz w:val="16"/>
          <w:szCs w:val="16"/>
          <w:lang w:val="pl-PL"/>
        </w:rPr>
        <w:t xml:space="preserve"> realia, a więc na przykład to, że poszczególne kroki mogą trwać dłużej, niż pierwotnie zakładano. Zdarza się, że badania z różnych względów trzeba powtórzyć lub też, że potrzebne są dodatkowe wyjaśnienia </w:t>
      </w:r>
      <w:r w:rsidR="00813688" w:rsidRPr="00433950">
        <w:rPr>
          <w:i/>
          <w:color w:val="000000"/>
          <w:sz w:val="16"/>
          <w:szCs w:val="16"/>
          <w:lang w:val="pl-PL"/>
        </w:rPr>
        <w:t xml:space="preserve">ze strony </w:t>
      </w:r>
      <w:r w:rsidR="00061750" w:rsidRPr="00433950">
        <w:rPr>
          <w:i/>
          <w:color w:val="000000"/>
          <w:sz w:val="16"/>
          <w:szCs w:val="16"/>
          <w:lang w:val="pl-PL"/>
        </w:rPr>
        <w:t>wnioskodawcy</w:t>
      </w:r>
      <w:r w:rsidR="00813688" w:rsidRPr="00433950">
        <w:rPr>
          <w:i/>
          <w:color w:val="000000"/>
          <w:sz w:val="16"/>
          <w:szCs w:val="16"/>
          <w:lang w:val="pl-PL"/>
        </w:rPr>
        <w:t>. To wymaga czasu</w:t>
      </w:r>
      <w:r w:rsidR="00061750" w:rsidRPr="00433950">
        <w:rPr>
          <w:i/>
          <w:color w:val="000000"/>
          <w:sz w:val="16"/>
          <w:szCs w:val="16"/>
          <w:lang w:val="pl-PL"/>
        </w:rPr>
        <w:t>”</w:t>
      </w:r>
      <w:r w:rsidRPr="00433950">
        <w:rPr>
          <w:color w:val="000000"/>
          <w:sz w:val="16"/>
          <w:szCs w:val="16"/>
          <w:lang w:val="pl-PL"/>
        </w:rPr>
        <w:t xml:space="preserve">– mówi </w:t>
      </w:r>
      <w:r w:rsidR="00E41581" w:rsidRPr="00433950">
        <w:rPr>
          <w:color w:val="000000"/>
          <w:sz w:val="16"/>
          <w:szCs w:val="16"/>
          <w:lang w:val="pl-PL"/>
        </w:rPr>
        <w:t xml:space="preserve">dr </w:t>
      </w:r>
      <w:r w:rsidRPr="00433950">
        <w:rPr>
          <w:color w:val="000000"/>
          <w:sz w:val="16"/>
          <w:szCs w:val="16"/>
          <w:lang w:val="pl-PL"/>
        </w:rPr>
        <w:t>Robert Chrobak.</w:t>
      </w:r>
    </w:p>
    <w:p w:rsidR="002B1BDF" w:rsidRPr="00433950" w:rsidRDefault="00AB69FD" w:rsidP="00442B05">
      <w:pPr>
        <w:pStyle w:val="Bodycopy"/>
        <w:ind w:firstLine="284"/>
        <w:rPr>
          <w:color w:val="000000"/>
          <w:sz w:val="16"/>
          <w:szCs w:val="16"/>
          <w:lang w:val="pl-PL"/>
        </w:rPr>
      </w:pPr>
      <w:r>
        <w:rPr>
          <w:noProof/>
          <w:color w:val="000000"/>
          <w:sz w:val="16"/>
          <w:szCs w:val="16"/>
          <w:lang w:val="pl-PL" w:eastAsia="pl-PL"/>
        </w:rPr>
        <w:pict>
          <v:shape id="_x0000_s1029" type="#_x0000_t202" style="position:absolute;left:0;text-align:left;margin-left:21pt;margin-top:162.5pt;width:174.5pt;height:471.25pt;z-index:251659264;mso-position-horizontal-relative:page;mso-position-vertical-relative:page" stroked="f">
            <v:textbox style="mso-next-textbox:#_x0000_s1029" inset="0,0,0,0">
              <w:txbxContent>
                <w:p w:rsidR="005067E7" w:rsidRPr="0028568A" w:rsidRDefault="005067E7" w:rsidP="005067E7">
                  <w:pPr>
                    <w:spacing w:line="360" w:lineRule="auto"/>
                    <w:rPr>
                      <w:i/>
                      <w:color w:val="E36C0A"/>
                      <w:sz w:val="24"/>
                    </w:rPr>
                  </w:pPr>
                  <w:r w:rsidRPr="007203FB">
                    <w:rPr>
                      <w:color w:val="E36C0A"/>
                      <w:sz w:val="24"/>
                    </w:rPr>
                    <w:t>„</w:t>
                  </w:r>
                  <w:r w:rsidRPr="0028568A">
                    <w:rPr>
                      <w:i/>
                      <w:color w:val="E36C0A"/>
                      <w:sz w:val="24"/>
                    </w:rPr>
                    <w:t xml:space="preserve">Zlecenie od Urzędu było </w:t>
                  </w:r>
                  <w:r>
                    <w:rPr>
                      <w:i/>
                      <w:color w:val="E36C0A"/>
                      <w:sz w:val="24"/>
                    </w:rPr>
                    <w:t>dużym wyzwaniem dla</w:t>
                  </w:r>
                  <w:r w:rsidRPr="0028568A">
                    <w:rPr>
                      <w:i/>
                      <w:color w:val="E36C0A"/>
                      <w:sz w:val="24"/>
                    </w:rPr>
                    <w:t xml:space="preserve"> naszej firmy. Musieliśmy stworzyć unikaln</w:t>
                  </w:r>
                  <w:r>
                    <w:rPr>
                      <w:i/>
                      <w:color w:val="E36C0A"/>
                      <w:sz w:val="24"/>
                    </w:rPr>
                    <w:t>ą</w:t>
                  </w:r>
                  <w:r w:rsidRPr="0028568A">
                    <w:rPr>
                      <w:i/>
                      <w:color w:val="E36C0A"/>
                      <w:sz w:val="24"/>
                    </w:rPr>
                    <w:t xml:space="preserve"> architekturę, </w:t>
                  </w:r>
                  <w:r>
                    <w:rPr>
                      <w:i/>
                      <w:color w:val="E36C0A"/>
                      <w:sz w:val="24"/>
                    </w:rPr>
                    <w:t>mającą gwarantować</w:t>
                  </w:r>
                  <w:r w:rsidRPr="0028568A">
                    <w:rPr>
                      <w:i/>
                      <w:color w:val="E36C0A"/>
                      <w:sz w:val="24"/>
                    </w:rPr>
                    <w:t xml:space="preserve"> </w:t>
                  </w:r>
                  <w:r>
                    <w:rPr>
                      <w:i/>
                      <w:color w:val="E36C0A"/>
                      <w:sz w:val="24"/>
                    </w:rPr>
                    <w:t>wysoką</w:t>
                  </w:r>
                  <w:r w:rsidRPr="0028568A">
                    <w:rPr>
                      <w:i/>
                      <w:color w:val="E36C0A"/>
                      <w:sz w:val="24"/>
                    </w:rPr>
                    <w:t xml:space="preserve"> skalowa</w:t>
                  </w:r>
                  <w:r>
                    <w:rPr>
                      <w:i/>
                      <w:color w:val="E36C0A"/>
                      <w:sz w:val="24"/>
                    </w:rPr>
                    <w:t>lność</w:t>
                  </w:r>
                  <w:r w:rsidRPr="0028568A">
                    <w:rPr>
                      <w:i/>
                      <w:color w:val="E36C0A"/>
                      <w:sz w:val="24"/>
                    </w:rPr>
                    <w:t xml:space="preserve">, </w:t>
                  </w:r>
                  <w:r>
                    <w:rPr>
                      <w:i/>
                      <w:color w:val="E36C0A"/>
                      <w:sz w:val="24"/>
                    </w:rPr>
                    <w:t>bezpieczeństwo danych (dane objęte tajemnicą handlową),</w:t>
                  </w:r>
                  <w:r w:rsidRPr="0028568A">
                    <w:rPr>
                      <w:i/>
                      <w:color w:val="E36C0A"/>
                      <w:sz w:val="24"/>
                    </w:rPr>
                    <w:t xml:space="preserve"> </w:t>
                  </w:r>
                  <w:r>
                    <w:rPr>
                      <w:i/>
                      <w:color w:val="E36C0A"/>
                      <w:sz w:val="24"/>
                    </w:rPr>
                    <w:t>oraz poprawność zaimplementowanych procesów</w:t>
                  </w:r>
                  <w:r w:rsidRPr="0028568A">
                    <w:rPr>
                      <w:i/>
                      <w:color w:val="E36C0A"/>
                      <w:sz w:val="24"/>
                    </w:rPr>
                    <w:t xml:space="preserve">. Łatwo nie było, ale mamy przeświadczenie, że to, </w:t>
                  </w:r>
                  <w:r>
                    <w:rPr>
                      <w:i/>
                      <w:color w:val="E36C0A"/>
                      <w:sz w:val="24"/>
                    </w:rPr>
                    <w:br/>
                  </w:r>
                  <w:r w:rsidRPr="0028568A">
                    <w:rPr>
                      <w:i/>
                      <w:color w:val="E36C0A"/>
                      <w:sz w:val="24"/>
                    </w:rPr>
                    <w:t>co zbudowaliśmy</w:t>
                  </w:r>
                  <w:r>
                    <w:rPr>
                      <w:i/>
                      <w:color w:val="E36C0A"/>
                      <w:sz w:val="24"/>
                    </w:rPr>
                    <w:t>, sprosta oczekiwaniom naszego klienta</w:t>
                  </w:r>
                  <w:r w:rsidRPr="00E67440">
                    <w:rPr>
                      <w:color w:val="E36C0A"/>
                      <w:sz w:val="24"/>
                    </w:rPr>
                    <w:t>”</w:t>
                  </w:r>
                </w:p>
                <w:p w:rsidR="005067E7" w:rsidRPr="00F90652" w:rsidRDefault="005067E7" w:rsidP="005067E7">
                  <w:pPr>
                    <w:rPr>
                      <w:b/>
                      <w:color w:val="000000"/>
                    </w:rPr>
                  </w:pPr>
                  <w:r>
                    <w:rPr>
                      <w:b/>
                      <w:color w:val="000000"/>
                    </w:rPr>
                    <w:t>Sebastian Sokołowski</w:t>
                  </w:r>
                  <w:r w:rsidRPr="00F90652">
                    <w:rPr>
                      <w:color w:val="000000"/>
                    </w:rPr>
                    <w:t xml:space="preserve">, </w:t>
                  </w:r>
                  <w:r>
                    <w:rPr>
                      <w:color w:val="000000"/>
                    </w:rPr>
                    <w:t>Dyrektor Działu Oprogramowania w Transition Technologies.</w:t>
                  </w:r>
                </w:p>
                <w:p w:rsidR="005067E7" w:rsidRPr="007A244F" w:rsidRDefault="005067E7" w:rsidP="005067E7">
                  <w:pPr>
                    <w:rPr>
                      <w:color w:val="000000"/>
                    </w:rPr>
                  </w:pPr>
                </w:p>
              </w:txbxContent>
            </v:textbox>
            <w10:wrap anchorx="page" anchory="page"/>
          </v:shape>
        </w:pict>
      </w:r>
      <w:r w:rsidR="00442B05" w:rsidRPr="00433950">
        <w:rPr>
          <w:color w:val="000000"/>
          <w:sz w:val="16"/>
          <w:szCs w:val="16"/>
          <w:lang w:val="pl-PL"/>
        </w:rPr>
        <w:t xml:space="preserve">Wnioski rejestracyjne zawierają dane będące tajemnicą handlową producentów, ważnym elementem systemu jest więc rozbudowany system uprawnień. </w:t>
      </w:r>
    </w:p>
    <w:p w:rsidR="00442B05" w:rsidRPr="00433950" w:rsidRDefault="00442B05" w:rsidP="00442B05">
      <w:pPr>
        <w:pStyle w:val="Bodycopy"/>
        <w:ind w:firstLine="284"/>
        <w:rPr>
          <w:color w:val="000000"/>
          <w:sz w:val="16"/>
          <w:szCs w:val="16"/>
          <w:lang w:val="pl-PL"/>
        </w:rPr>
      </w:pPr>
      <w:r w:rsidRPr="00433950">
        <w:rPr>
          <w:color w:val="000000"/>
          <w:sz w:val="16"/>
          <w:szCs w:val="16"/>
          <w:lang w:val="pl-PL"/>
        </w:rPr>
        <w:t>Po wstępnej weryfikacji formalnej wnioski trafiają do chronionej bazy danych, do której bezpośredniego dostępu nie ma żaden pracownik Urzędu. Praca z danymi zawartymi we wnioskach możliwa jest jedynie za pośrednictwem aplikacji</w:t>
      </w:r>
      <w:r w:rsidR="002B1BDF" w:rsidRPr="00433950">
        <w:rPr>
          <w:color w:val="000000"/>
          <w:sz w:val="16"/>
          <w:szCs w:val="16"/>
          <w:lang w:val="pl-PL"/>
        </w:rPr>
        <w:t xml:space="preserve"> klienckiej, której komunikacja z bazą danych może odbywać się wyłącznie za pośrednictwem wspomnianych usług Web</w:t>
      </w:r>
      <w:r w:rsidRPr="00433950">
        <w:rPr>
          <w:color w:val="000000"/>
          <w:sz w:val="16"/>
          <w:szCs w:val="16"/>
          <w:lang w:val="pl-PL"/>
        </w:rPr>
        <w:t>.</w:t>
      </w:r>
    </w:p>
    <w:p w:rsidR="00E36FAC" w:rsidRPr="00433950" w:rsidRDefault="00E36FAC" w:rsidP="006E1865">
      <w:pPr>
        <w:pStyle w:val="Bodycopy"/>
        <w:rPr>
          <w:i/>
          <w:color w:val="000000"/>
          <w:sz w:val="16"/>
          <w:szCs w:val="16"/>
          <w:lang w:val="pl-PL"/>
        </w:rPr>
      </w:pPr>
    </w:p>
    <w:p w:rsidR="001771A9" w:rsidRPr="00433950" w:rsidRDefault="00E36FAC" w:rsidP="001771A9">
      <w:pPr>
        <w:pStyle w:val="Bodycopy"/>
        <w:rPr>
          <w:b/>
          <w:color w:val="000000"/>
          <w:sz w:val="16"/>
          <w:szCs w:val="16"/>
          <w:lang w:val="pl-PL" w:eastAsia="pl-PL"/>
        </w:rPr>
      </w:pPr>
      <w:r w:rsidRPr="00433950">
        <w:rPr>
          <w:b/>
          <w:color w:val="000000"/>
          <w:sz w:val="16"/>
          <w:szCs w:val="16"/>
          <w:lang w:val="pl-PL" w:eastAsia="pl-PL"/>
        </w:rPr>
        <w:t xml:space="preserve">Rejestr </w:t>
      </w:r>
      <w:r w:rsidR="00102793" w:rsidRPr="00433950">
        <w:rPr>
          <w:b/>
          <w:color w:val="000000"/>
          <w:sz w:val="16"/>
          <w:szCs w:val="16"/>
          <w:lang w:val="pl-PL" w:eastAsia="pl-PL"/>
        </w:rPr>
        <w:t>i wymiana danych</w:t>
      </w:r>
    </w:p>
    <w:p w:rsidR="002B1BDF" w:rsidRPr="00433950" w:rsidRDefault="002B1BDF" w:rsidP="002B1BDF">
      <w:pPr>
        <w:pStyle w:val="Bodycopy"/>
        <w:rPr>
          <w:color w:val="000000"/>
          <w:sz w:val="16"/>
          <w:szCs w:val="16"/>
          <w:lang w:val="pl-PL" w:eastAsia="pl-PL"/>
        </w:rPr>
      </w:pPr>
      <w:r w:rsidRPr="00433950">
        <w:rPr>
          <w:color w:val="000000"/>
          <w:sz w:val="16"/>
          <w:szCs w:val="16"/>
          <w:lang w:val="pl-PL" w:eastAsia="pl-PL"/>
        </w:rPr>
        <w:t xml:space="preserve">Jeśli substancja lub produkt pomyślnie przejdzie proces rejestracyjny, producent lub dystrybutor otrzymują formalne potwierdzenie rejestracji. </w:t>
      </w:r>
      <w:r w:rsidR="00E94896" w:rsidRPr="00433950">
        <w:rPr>
          <w:color w:val="000000"/>
          <w:sz w:val="16"/>
          <w:szCs w:val="16"/>
          <w:lang w:val="pl-PL" w:eastAsia="pl-PL"/>
        </w:rPr>
        <w:t xml:space="preserve">Informacja o fakcie </w:t>
      </w:r>
      <w:r w:rsidR="007918B8" w:rsidRPr="00433950">
        <w:rPr>
          <w:color w:val="000000"/>
          <w:sz w:val="16"/>
          <w:szCs w:val="16"/>
          <w:lang w:val="pl-PL" w:eastAsia="pl-PL"/>
        </w:rPr>
        <w:t xml:space="preserve">zakończenia oceny (pozytywnej lub nie) </w:t>
      </w:r>
      <w:r w:rsidR="00E94896" w:rsidRPr="00433950">
        <w:rPr>
          <w:color w:val="000000"/>
          <w:sz w:val="16"/>
          <w:szCs w:val="16"/>
          <w:lang w:val="pl-PL" w:eastAsia="pl-PL"/>
        </w:rPr>
        <w:t>substancji lub produktu jest wysyłana do</w:t>
      </w:r>
      <w:r w:rsidRPr="00433950">
        <w:rPr>
          <w:color w:val="000000"/>
          <w:sz w:val="16"/>
          <w:szCs w:val="16"/>
          <w:lang w:val="pl-PL" w:eastAsia="pl-PL"/>
        </w:rPr>
        <w:t xml:space="preserve"> Komisji Europejskiej, </w:t>
      </w:r>
      <w:r w:rsidR="007918B8" w:rsidRPr="00433950">
        <w:rPr>
          <w:color w:val="000000"/>
          <w:sz w:val="16"/>
          <w:szCs w:val="16"/>
          <w:lang w:val="pl-PL" w:eastAsia="pl-PL"/>
        </w:rPr>
        <w:t xml:space="preserve"> w postaci dokumentu </w:t>
      </w:r>
      <w:r w:rsidR="00A822D2" w:rsidRPr="00433950">
        <w:rPr>
          <w:color w:val="000000"/>
          <w:sz w:val="16"/>
          <w:szCs w:val="16"/>
          <w:lang w:val="pl-PL" w:eastAsia="pl-PL"/>
        </w:rPr>
        <w:t>zwanego</w:t>
      </w:r>
      <w:r w:rsidRPr="00433950">
        <w:rPr>
          <w:color w:val="000000"/>
          <w:sz w:val="16"/>
          <w:szCs w:val="16"/>
          <w:lang w:val="pl-PL" w:eastAsia="pl-PL"/>
        </w:rPr>
        <w:t>, tzw. Raport</w:t>
      </w:r>
      <w:r w:rsidR="007918B8" w:rsidRPr="00433950">
        <w:rPr>
          <w:color w:val="000000"/>
          <w:sz w:val="16"/>
          <w:szCs w:val="16"/>
          <w:lang w:val="pl-PL" w:eastAsia="pl-PL"/>
        </w:rPr>
        <w:t>em</w:t>
      </w:r>
      <w:r w:rsidRPr="00433950">
        <w:rPr>
          <w:color w:val="000000"/>
          <w:sz w:val="16"/>
          <w:szCs w:val="16"/>
          <w:lang w:val="pl-PL" w:eastAsia="pl-PL"/>
        </w:rPr>
        <w:t xml:space="preserve"> </w:t>
      </w:r>
      <w:r w:rsidR="00E94896" w:rsidRPr="00433950">
        <w:rPr>
          <w:color w:val="000000"/>
          <w:sz w:val="16"/>
          <w:szCs w:val="16"/>
          <w:lang w:val="pl-PL" w:eastAsia="pl-PL"/>
        </w:rPr>
        <w:t>CA</w:t>
      </w:r>
      <w:r w:rsidR="007918B8" w:rsidRPr="00433950">
        <w:rPr>
          <w:color w:val="000000"/>
          <w:sz w:val="16"/>
          <w:szCs w:val="16"/>
          <w:lang w:val="pl-PL" w:eastAsia="pl-PL"/>
        </w:rPr>
        <w:t xml:space="preserve">. </w:t>
      </w:r>
      <w:r w:rsidR="00A822D2" w:rsidRPr="00433950">
        <w:rPr>
          <w:color w:val="000000"/>
          <w:sz w:val="16"/>
          <w:szCs w:val="16"/>
          <w:lang w:val="pl-PL" w:eastAsia="pl-PL"/>
        </w:rPr>
        <w:t xml:space="preserve">Ten </w:t>
      </w:r>
      <w:r w:rsidR="00E360CF" w:rsidRPr="00433950">
        <w:rPr>
          <w:color w:val="000000"/>
          <w:sz w:val="16"/>
          <w:szCs w:val="16"/>
          <w:lang w:val="pl-PL" w:eastAsia="pl-PL"/>
        </w:rPr>
        <w:t>obszerny</w:t>
      </w:r>
      <w:r w:rsidR="00A822D2" w:rsidRPr="00433950">
        <w:rPr>
          <w:color w:val="000000"/>
          <w:sz w:val="16"/>
          <w:szCs w:val="16"/>
          <w:lang w:val="pl-PL" w:eastAsia="pl-PL"/>
        </w:rPr>
        <w:t xml:space="preserve"> dokument zawiera</w:t>
      </w:r>
      <w:r w:rsidR="007918B8" w:rsidRPr="00433950">
        <w:rPr>
          <w:color w:val="000000"/>
          <w:sz w:val="16"/>
          <w:szCs w:val="16"/>
          <w:lang w:val="pl-PL" w:eastAsia="pl-PL"/>
        </w:rPr>
        <w:t xml:space="preserve"> ocenę wszystkich badań</w:t>
      </w:r>
      <w:r w:rsidR="00A822D2" w:rsidRPr="00433950">
        <w:rPr>
          <w:color w:val="000000"/>
          <w:sz w:val="16"/>
          <w:szCs w:val="16"/>
          <w:lang w:val="pl-PL" w:eastAsia="pl-PL"/>
        </w:rPr>
        <w:t xml:space="preserve"> </w:t>
      </w:r>
      <w:r w:rsidR="007918B8" w:rsidRPr="00433950">
        <w:rPr>
          <w:color w:val="000000"/>
          <w:sz w:val="16"/>
          <w:szCs w:val="16"/>
          <w:lang w:val="pl-PL" w:eastAsia="pl-PL"/>
        </w:rPr>
        <w:t>przesłanych przez aplikanta</w:t>
      </w:r>
      <w:r w:rsidR="00A822D2" w:rsidRPr="00433950">
        <w:rPr>
          <w:color w:val="000000"/>
          <w:sz w:val="16"/>
          <w:szCs w:val="16"/>
          <w:lang w:val="pl-PL" w:eastAsia="pl-PL"/>
        </w:rPr>
        <w:t>,</w:t>
      </w:r>
      <w:r w:rsidR="007918B8" w:rsidRPr="00433950">
        <w:rPr>
          <w:color w:val="000000"/>
          <w:sz w:val="16"/>
          <w:szCs w:val="16"/>
          <w:lang w:val="pl-PL" w:eastAsia="pl-PL"/>
        </w:rPr>
        <w:t xml:space="preserve"> wraz z oceną ryzyka stosowania danej substancji lub produktu i finalną decyzją w sprawie akceptacji (lub</w:t>
      </w:r>
      <w:r w:rsidR="009D6DCE" w:rsidRPr="00433950">
        <w:rPr>
          <w:color w:val="000000"/>
          <w:sz w:val="16"/>
          <w:szCs w:val="16"/>
          <w:lang w:val="pl-PL" w:eastAsia="pl-PL"/>
        </w:rPr>
        <w:t xml:space="preserve"> </w:t>
      </w:r>
      <w:r w:rsidR="007918B8" w:rsidRPr="00433950">
        <w:rPr>
          <w:color w:val="000000"/>
          <w:sz w:val="16"/>
          <w:szCs w:val="16"/>
          <w:lang w:val="pl-PL" w:eastAsia="pl-PL"/>
        </w:rPr>
        <w:t>nie</w:t>
      </w:r>
      <w:r w:rsidR="009D6DCE" w:rsidRPr="00433950">
        <w:rPr>
          <w:color w:val="000000"/>
          <w:sz w:val="16"/>
          <w:szCs w:val="16"/>
          <w:lang w:val="pl-PL" w:eastAsia="pl-PL"/>
        </w:rPr>
        <w:t xml:space="preserve">) </w:t>
      </w:r>
      <w:r w:rsidR="007918B8" w:rsidRPr="00433950">
        <w:rPr>
          <w:color w:val="000000"/>
          <w:sz w:val="16"/>
          <w:szCs w:val="16"/>
          <w:lang w:val="pl-PL" w:eastAsia="pl-PL"/>
        </w:rPr>
        <w:t xml:space="preserve"> ryzyka związanego z </w:t>
      </w:r>
      <w:r w:rsidR="009D6DCE" w:rsidRPr="00433950">
        <w:rPr>
          <w:color w:val="000000"/>
          <w:sz w:val="16"/>
          <w:szCs w:val="16"/>
          <w:lang w:val="pl-PL" w:eastAsia="pl-PL"/>
        </w:rPr>
        <w:t>stosowaniem danej substancji bądź rejestracją danego produktu.</w:t>
      </w:r>
    </w:p>
    <w:p w:rsidR="00102793" w:rsidRPr="00433950" w:rsidRDefault="00E36FAC" w:rsidP="00A822D2">
      <w:pPr>
        <w:pStyle w:val="Bodycopy"/>
        <w:ind w:firstLine="284"/>
        <w:rPr>
          <w:color w:val="000000"/>
          <w:sz w:val="16"/>
          <w:szCs w:val="16"/>
          <w:lang w:val="pl-PL" w:eastAsia="pl-PL"/>
        </w:rPr>
      </w:pPr>
      <w:r w:rsidRPr="00433950">
        <w:rPr>
          <w:color w:val="000000"/>
          <w:sz w:val="16"/>
          <w:szCs w:val="16"/>
          <w:lang w:val="pl-PL" w:eastAsia="pl-PL"/>
        </w:rPr>
        <w:t xml:space="preserve">Opis </w:t>
      </w:r>
      <w:r w:rsidR="00102793" w:rsidRPr="00433950">
        <w:rPr>
          <w:color w:val="000000"/>
          <w:sz w:val="16"/>
          <w:szCs w:val="16"/>
          <w:lang w:val="pl-PL" w:eastAsia="pl-PL"/>
        </w:rPr>
        <w:t xml:space="preserve">zarejestrowanej </w:t>
      </w:r>
      <w:r w:rsidRPr="00433950">
        <w:rPr>
          <w:color w:val="000000"/>
          <w:sz w:val="16"/>
          <w:szCs w:val="16"/>
          <w:lang w:val="pl-PL" w:eastAsia="pl-PL"/>
        </w:rPr>
        <w:t xml:space="preserve">substancji lub produktu </w:t>
      </w:r>
      <w:r w:rsidR="0098082C" w:rsidRPr="00433950">
        <w:rPr>
          <w:color w:val="000000"/>
          <w:sz w:val="16"/>
          <w:szCs w:val="16"/>
          <w:lang w:val="pl-PL" w:eastAsia="pl-PL"/>
        </w:rPr>
        <w:t>trafia do Rejestru</w:t>
      </w:r>
      <w:r w:rsidRPr="00433950">
        <w:rPr>
          <w:color w:val="000000"/>
          <w:sz w:val="16"/>
          <w:szCs w:val="16"/>
          <w:lang w:val="pl-PL" w:eastAsia="pl-PL"/>
        </w:rPr>
        <w:t>.</w:t>
      </w:r>
      <w:r w:rsidR="009512C9" w:rsidRPr="00433950">
        <w:rPr>
          <w:color w:val="000000"/>
          <w:sz w:val="16"/>
          <w:szCs w:val="16"/>
          <w:lang w:val="pl-PL" w:eastAsia="pl-PL"/>
        </w:rPr>
        <w:t xml:space="preserve"> Na razie rejestr będzie służyć głównie samemu Urzędowi</w:t>
      </w:r>
      <w:r w:rsidR="008F1363" w:rsidRPr="00433950">
        <w:rPr>
          <w:color w:val="000000"/>
          <w:sz w:val="16"/>
          <w:szCs w:val="16"/>
          <w:lang w:val="pl-PL" w:eastAsia="pl-PL"/>
        </w:rPr>
        <w:t xml:space="preserve">, </w:t>
      </w:r>
      <w:r w:rsidR="00102793" w:rsidRPr="00433950">
        <w:rPr>
          <w:color w:val="000000"/>
          <w:sz w:val="16"/>
          <w:szCs w:val="16"/>
          <w:lang w:val="pl-PL" w:eastAsia="pl-PL"/>
        </w:rPr>
        <w:t xml:space="preserve">bowiem zakładane przez UE uruchomienie </w:t>
      </w:r>
      <w:r w:rsidR="00102793" w:rsidRPr="00433950">
        <w:rPr>
          <w:color w:val="000000"/>
          <w:sz w:val="16"/>
          <w:szCs w:val="16"/>
          <w:lang w:val="pl-PL" w:eastAsia="pl-PL"/>
        </w:rPr>
        <w:lastRenderedPageBreak/>
        <w:t xml:space="preserve">analogicznych </w:t>
      </w:r>
      <w:r w:rsidR="008F1363" w:rsidRPr="00433950">
        <w:rPr>
          <w:color w:val="000000"/>
          <w:sz w:val="16"/>
          <w:szCs w:val="16"/>
          <w:lang w:val="pl-PL" w:eastAsia="pl-PL"/>
        </w:rPr>
        <w:t xml:space="preserve"> systemów przez wszystkie kraje Wspólnoty nie nastąpiło.</w:t>
      </w:r>
    </w:p>
    <w:p w:rsidR="008F1363" w:rsidRPr="00433950" w:rsidRDefault="008F1363" w:rsidP="00442B05">
      <w:pPr>
        <w:pStyle w:val="Bodycopy"/>
        <w:rPr>
          <w:color w:val="000000"/>
          <w:sz w:val="16"/>
          <w:szCs w:val="16"/>
          <w:lang w:val="pl-PL" w:eastAsia="pl-PL"/>
        </w:rPr>
      </w:pPr>
      <w:r w:rsidRPr="00433950">
        <w:rPr>
          <w:color w:val="000000"/>
          <w:sz w:val="16"/>
          <w:szCs w:val="16"/>
          <w:lang w:val="pl-PL" w:eastAsia="pl-PL"/>
        </w:rPr>
        <w:tab/>
        <w:t>„</w:t>
      </w:r>
      <w:r w:rsidRPr="00433950">
        <w:rPr>
          <w:i/>
          <w:color w:val="000000"/>
          <w:sz w:val="16"/>
          <w:szCs w:val="16"/>
          <w:lang w:val="pl-PL" w:eastAsia="pl-PL"/>
        </w:rPr>
        <w:t>Oprócz nas, system informatyczny o podobnym zakresie funkcji ma</w:t>
      </w:r>
      <w:r w:rsidR="0010196A" w:rsidRPr="00433950">
        <w:rPr>
          <w:i/>
          <w:color w:val="000000"/>
          <w:sz w:val="16"/>
          <w:szCs w:val="16"/>
          <w:lang w:val="pl-PL" w:eastAsia="pl-PL"/>
        </w:rPr>
        <w:t>ją</w:t>
      </w:r>
      <w:r w:rsidRPr="00433950">
        <w:rPr>
          <w:i/>
          <w:color w:val="000000"/>
          <w:sz w:val="16"/>
          <w:szCs w:val="16"/>
          <w:lang w:val="pl-PL" w:eastAsia="pl-PL"/>
        </w:rPr>
        <w:t xml:space="preserve"> dziś tylko </w:t>
      </w:r>
      <w:r w:rsidR="008162CB" w:rsidRPr="00433950">
        <w:rPr>
          <w:i/>
          <w:color w:val="000000"/>
          <w:sz w:val="16"/>
          <w:szCs w:val="16"/>
          <w:lang w:val="pl-PL" w:eastAsia="pl-PL"/>
        </w:rPr>
        <w:t>pojedyncze kraje</w:t>
      </w:r>
      <w:r w:rsidR="009D071F" w:rsidRPr="00433950">
        <w:rPr>
          <w:i/>
          <w:color w:val="000000"/>
          <w:sz w:val="16"/>
          <w:szCs w:val="16"/>
          <w:lang w:val="pl-PL" w:eastAsia="pl-PL"/>
        </w:rPr>
        <w:t xml:space="preserve"> członkowskie UE</w:t>
      </w:r>
      <w:r w:rsidRPr="00433950">
        <w:rPr>
          <w:i/>
          <w:color w:val="000000"/>
          <w:sz w:val="16"/>
          <w:szCs w:val="16"/>
          <w:lang w:val="pl-PL" w:eastAsia="pl-PL"/>
        </w:rPr>
        <w:t xml:space="preserve">. Pozostałe w większości nie </w:t>
      </w:r>
      <w:r w:rsidR="000442E4" w:rsidRPr="00433950">
        <w:rPr>
          <w:i/>
          <w:color w:val="000000"/>
          <w:sz w:val="16"/>
          <w:szCs w:val="16"/>
          <w:lang w:val="pl-PL" w:eastAsia="pl-PL"/>
        </w:rPr>
        <w:t>zako</w:t>
      </w:r>
      <w:r w:rsidR="000442E4">
        <w:rPr>
          <w:i/>
          <w:color w:val="000000"/>
          <w:sz w:val="16"/>
          <w:szCs w:val="16"/>
          <w:lang w:val="pl-PL" w:eastAsia="pl-PL"/>
        </w:rPr>
        <w:t>ń</w:t>
      </w:r>
      <w:r w:rsidR="000442E4" w:rsidRPr="00433950">
        <w:rPr>
          <w:i/>
          <w:color w:val="000000"/>
          <w:sz w:val="16"/>
          <w:szCs w:val="16"/>
          <w:lang w:val="pl-PL" w:eastAsia="pl-PL"/>
        </w:rPr>
        <w:t xml:space="preserve">czyły </w:t>
      </w:r>
      <w:r w:rsidRPr="00433950">
        <w:rPr>
          <w:i/>
          <w:color w:val="000000"/>
          <w:sz w:val="16"/>
          <w:szCs w:val="16"/>
          <w:lang w:val="pl-PL" w:eastAsia="pl-PL"/>
        </w:rPr>
        <w:t xml:space="preserve">jeszcze etapu przeglądu stanu bieżącego. Mimo to, nasz system jest już gotowy do wymieniania danych zgodnie z </w:t>
      </w:r>
      <w:r w:rsidR="0065034F" w:rsidRPr="00433950">
        <w:rPr>
          <w:i/>
          <w:color w:val="000000"/>
          <w:sz w:val="16"/>
          <w:szCs w:val="16"/>
          <w:lang w:val="pl-PL" w:eastAsia="pl-PL"/>
        </w:rPr>
        <w:t>procedurami</w:t>
      </w:r>
      <w:r w:rsidRPr="00433950">
        <w:rPr>
          <w:i/>
          <w:color w:val="000000"/>
          <w:sz w:val="16"/>
          <w:szCs w:val="16"/>
          <w:lang w:val="pl-PL" w:eastAsia="pl-PL"/>
        </w:rPr>
        <w:t xml:space="preserve"> UE</w:t>
      </w:r>
      <w:r w:rsidR="003E2FE3" w:rsidRPr="00433950">
        <w:rPr>
          <w:i/>
          <w:color w:val="000000"/>
          <w:sz w:val="16"/>
          <w:szCs w:val="16"/>
          <w:lang w:val="pl-PL" w:eastAsia="pl-PL"/>
        </w:rPr>
        <w:t>, w tym do wystawiania raportów CA dla Komisji Europejskiej</w:t>
      </w:r>
      <w:r w:rsidRPr="00433950">
        <w:rPr>
          <w:i/>
          <w:color w:val="000000"/>
          <w:sz w:val="16"/>
          <w:szCs w:val="16"/>
          <w:lang w:val="pl-PL" w:eastAsia="pl-PL"/>
        </w:rPr>
        <w:t>”</w:t>
      </w:r>
      <w:r w:rsidRPr="00433950">
        <w:rPr>
          <w:color w:val="000000"/>
          <w:sz w:val="16"/>
          <w:szCs w:val="16"/>
          <w:lang w:val="pl-PL" w:eastAsia="pl-PL"/>
        </w:rPr>
        <w:t xml:space="preserve"> – podkreśla Antoni Kunikowski.</w:t>
      </w:r>
    </w:p>
    <w:p w:rsidR="00102793" w:rsidRPr="00433950" w:rsidRDefault="008F1363" w:rsidP="00442B05">
      <w:pPr>
        <w:pStyle w:val="Bodycopy"/>
        <w:rPr>
          <w:color w:val="000000"/>
          <w:sz w:val="16"/>
          <w:szCs w:val="16"/>
          <w:lang w:val="pl-PL" w:eastAsia="pl-PL"/>
        </w:rPr>
      </w:pPr>
      <w:r w:rsidRPr="00433950">
        <w:rPr>
          <w:color w:val="000000"/>
          <w:sz w:val="16"/>
          <w:szCs w:val="16"/>
          <w:lang w:val="pl-PL" w:eastAsia="pl-PL"/>
        </w:rPr>
        <w:tab/>
        <w:t>Wymiana danych z innymi krajami odbywać się ma za pośrednictwem komunikatów</w:t>
      </w:r>
      <w:r w:rsidR="001E67B7" w:rsidRPr="00433950">
        <w:rPr>
          <w:color w:val="000000"/>
          <w:sz w:val="16"/>
          <w:szCs w:val="16"/>
          <w:lang w:val="pl-PL" w:eastAsia="pl-PL"/>
        </w:rPr>
        <w:t xml:space="preserve"> w formacie</w:t>
      </w:r>
      <w:r w:rsidRPr="00433950">
        <w:rPr>
          <w:color w:val="000000"/>
          <w:sz w:val="16"/>
          <w:szCs w:val="16"/>
          <w:lang w:val="pl-PL" w:eastAsia="pl-PL"/>
        </w:rPr>
        <w:t xml:space="preserve"> XML. </w:t>
      </w:r>
      <w:r w:rsidR="003E2FE3" w:rsidRPr="00433950">
        <w:rPr>
          <w:color w:val="000000"/>
          <w:sz w:val="16"/>
          <w:szCs w:val="16"/>
          <w:lang w:val="pl-PL" w:eastAsia="pl-PL"/>
        </w:rPr>
        <w:t xml:space="preserve">Również w tym celu system wykorzystuje </w:t>
      </w:r>
      <w:r w:rsidRPr="00433950">
        <w:rPr>
          <w:color w:val="000000"/>
          <w:sz w:val="16"/>
          <w:szCs w:val="16"/>
          <w:lang w:val="pl-PL" w:eastAsia="pl-PL"/>
        </w:rPr>
        <w:t xml:space="preserve">dedykowane usługi Web, </w:t>
      </w:r>
      <w:r w:rsidR="00F81485" w:rsidRPr="00433950">
        <w:rPr>
          <w:color w:val="000000"/>
          <w:sz w:val="16"/>
          <w:szCs w:val="16"/>
          <w:lang w:val="pl-PL" w:eastAsia="pl-PL"/>
        </w:rPr>
        <w:t>realizujące logikę</w:t>
      </w:r>
      <w:r w:rsidR="001E67B7" w:rsidRPr="00433950">
        <w:rPr>
          <w:color w:val="000000"/>
          <w:sz w:val="16"/>
          <w:szCs w:val="16"/>
          <w:lang w:val="pl-PL" w:eastAsia="pl-PL"/>
        </w:rPr>
        <w:t xml:space="preserve"> </w:t>
      </w:r>
      <w:r w:rsidR="00F81485" w:rsidRPr="00433950">
        <w:rPr>
          <w:color w:val="000000"/>
          <w:sz w:val="16"/>
          <w:szCs w:val="16"/>
          <w:lang w:val="pl-PL" w:eastAsia="pl-PL"/>
        </w:rPr>
        <w:t xml:space="preserve">procesów </w:t>
      </w:r>
      <w:r w:rsidR="001E67B7" w:rsidRPr="00433950">
        <w:rPr>
          <w:color w:val="000000"/>
          <w:sz w:val="16"/>
          <w:szCs w:val="16"/>
          <w:lang w:val="pl-PL" w:eastAsia="pl-PL"/>
        </w:rPr>
        <w:t xml:space="preserve">oddzieloną </w:t>
      </w:r>
      <w:r w:rsidRPr="00433950">
        <w:rPr>
          <w:color w:val="000000"/>
          <w:sz w:val="16"/>
          <w:szCs w:val="16"/>
          <w:lang w:val="pl-PL" w:eastAsia="pl-PL"/>
        </w:rPr>
        <w:t>od systemu zawierającego dane i działającą na odrębnym serwerze.</w:t>
      </w:r>
    </w:p>
    <w:p w:rsidR="00B46DD7" w:rsidRPr="00433950" w:rsidRDefault="008F1363" w:rsidP="00442B05">
      <w:pPr>
        <w:pStyle w:val="Bodycopy"/>
        <w:rPr>
          <w:color w:val="000000"/>
          <w:sz w:val="16"/>
          <w:szCs w:val="16"/>
          <w:lang w:val="pl-PL" w:eastAsia="pl-PL"/>
        </w:rPr>
      </w:pPr>
      <w:r w:rsidRPr="00433950">
        <w:rPr>
          <w:color w:val="000000"/>
          <w:sz w:val="16"/>
          <w:szCs w:val="16"/>
          <w:lang w:val="pl-PL" w:eastAsia="pl-PL"/>
        </w:rPr>
        <w:tab/>
        <w:t>„</w:t>
      </w:r>
      <w:r w:rsidR="003E2FE3" w:rsidRPr="00433950">
        <w:rPr>
          <w:i/>
          <w:color w:val="000000"/>
          <w:sz w:val="16"/>
          <w:szCs w:val="16"/>
          <w:lang w:val="pl-PL" w:eastAsia="pl-PL"/>
        </w:rPr>
        <w:t xml:space="preserve">Wykorzystanie usług Web oznacza łatwe skalowanie rozwiązania, a nade wszystko </w:t>
      </w:r>
      <w:r w:rsidR="00B46DD7" w:rsidRPr="00433950">
        <w:rPr>
          <w:i/>
          <w:color w:val="000000"/>
          <w:sz w:val="16"/>
          <w:szCs w:val="16"/>
          <w:lang w:val="pl-PL" w:eastAsia="pl-PL"/>
        </w:rPr>
        <w:t>wysokie</w:t>
      </w:r>
      <w:r w:rsidR="003E2FE3" w:rsidRPr="00433950">
        <w:rPr>
          <w:i/>
          <w:color w:val="000000"/>
          <w:sz w:val="16"/>
          <w:szCs w:val="16"/>
          <w:lang w:val="pl-PL" w:eastAsia="pl-PL"/>
        </w:rPr>
        <w:t xml:space="preserve"> bezpiecz</w:t>
      </w:r>
      <w:r w:rsidR="00B46DD7" w:rsidRPr="00433950">
        <w:rPr>
          <w:i/>
          <w:color w:val="000000"/>
          <w:sz w:val="16"/>
          <w:szCs w:val="16"/>
          <w:lang w:val="pl-PL" w:eastAsia="pl-PL"/>
        </w:rPr>
        <w:t>eństwo komunikacji, ponieważ ich zakres funkcjo</w:t>
      </w:r>
      <w:r w:rsidR="001E67B7" w:rsidRPr="00433950">
        <w:rPr>
          <w:i/>
          <w:color w:val="000000"/>
          <w:sz w:val="16"/>
          <w:szCs w:val="16"/>
          <w:lang w:val="pl-PL" w:eastAsia="pl-PL"/>
        </w:rPr>
        <w:t>na</w:t>
      </w:r>
      <w:r w:rsidR="00B46DD7" w:rsidRPr="00433950">
        <w:rPr>
          <w:i/>
          <w:color w:val="000000"/>
          <w:sz w:val="16"/>
          <w:szCs w:val="16"/>
          <w:lang w:val="pl-PL" w:eastAsia="pl-PL"/>
        </w:rPr>
        <w:t>lny jest ograniczony jedynie do kilku czynności komunikacyjnych</w:t>
      </w:r>
      <w:r w:rsidR="00B46DD7" w:rsidRPr="00433950">
        <w:rPr>
          <w:color w:val="000000"/>
          <w:sz w:val="16"/>
          <w:szCs w:val="16"/>
          <w:lang w:val="pl-PL" w:eastAsia="pl-PL"/>
        </w:rPr>
        <w:t>” – podkreśla Sebastian Sokołowski.</w:t>
      </w:r>
    </w:p>
    <w:p w:rsidR="009512C9" w:rsidRPr="00433950" w:rsidRDefault="00B46DD7" w:rsidP="00B46DD7">
      <w:pPr>
        <w:pStyle w:val="Bodycopy"/>
        <w:ind w:firstLine="284"/>
        <w:rPr>
          <w:color w:val="000000"/>
          <w:sz w:val="16"/>
          <w:szCs w:val="16"/>
          <w:lang w:val="pl-PL" w:eastAsia="pl-PL"/>
        </w:rPr>
      </w:pPr>
      <w:r w:rsidRPr="00433950">
        <w:rPr>
          <w:color w:val="000000"/>
          <w:sz w:val="16"/>
          <w:szCs w:val="16"/>
          <w:lang w:val="pl-PL" w:eastAsia="pl-PL"/>
        </w:rPr>
        <w:t xml:space="preserve">Niezależnie od interfejsów do komunikacji z systemami innych krajów i rejestrem UE, Urząd wdraża także </w:t>
      </w:r>
      <w:r w:rsidR="009512C9" w:rsidRPr="00433950">
        <w:rPr>
          <w:color w:val="000000"/>
          <w:sz w:val="16"/>
          <w:szCs w:val="16"/>
          <w:lang w:val="pl-PL" w:eastAsia="pl-PL"/>
        </w:rPr>
        <w:t xml:space="preserve">system portalowy dla Terenowych Ośrodków Monitorowania Zatruć. </w:t>
      </w:r>
    </w:p>
    <w:p w:rsidR="009512C9" w:rsidRPr="00433950" w:rsidRDefault="009512C9" w:rsidP="00B46DD7">
      <w:pPr>
        <w:pStyle w:val="Bodycopy"/>
        <w:ind w:firstLine="284"/>
        <w:rPr>
          <w:color w:val="000000"/>
          <w:sz w:val="16"/>
          <w:szCs w:val="16"/>
          <w:lang w:val="pl-PL" w:eastAsia="pl-PL"/>
        </w:rPr>
      </w:pPr>
      <w:r w:rsidRPr="00433950">
        <w:rPr>
          <w:color w:val="000000"/>
          <w:sz w:val="16"/>
          <w:szCs w:val="16"/>
          <w:lang w:val="pl-PL" w:eastAsia="pl-PL"/>
        </w:rPr>
        <w:t>„</w:t>
      </w:r>
      <w:r w:rsidRPr="00433950">
        <w:rPr>
          <w:i/>
          <w:color w:val="000000"/>
          <w:sz w:val="16"/>
          <w:szCs w:val="16"/>
          <w:lang w:val="pl-PL" w:eastAsia="pl-PL"/>
        </w:rPr>
        <w:t>Rola portalu dla Terenowych Ośrodków Monitorowania Zatru</w:t>
      </w:r>
      <w:r w:rsidR="009C4310" w:rsidRPr="00433950">
        <w:rPr>
          <w:i/>
          <w:color w:val="000000"/>
          <w:sz w:val="16"/>
          <w:szCs w:val="16"/>
          <w:lang w:val="pl-PL" w:eastAsia="pl-PL"/>
        </w:rPr>
        <w:t>ć jest dwojaka. Z jednej strony</w:t>
      </w:r>
      <w:r w:rsidRPr="00433950">
        <w:rPr>
          <w:i/>
          <w:color w:val="000000"/>
          <w:sz w:val="16"/>
          <w:szCs w:val="16"/>
          <w:lang w:val="pl-PL" w:eastAsia="pl-PL"/>
        </w:rPr>
        <w:t xml:space="preserve"> system </w:t>
      </w:r>
      <w:r w:rsidR="00551571" w:rsidRPr="00433950">
        <w:rPr>
          <w:i/>
          <w:color w:val="000000"/>
          <w:sz w:val="16"/>
          <w:szCs w:val="16"/>
          <w:lang w:val="pl-PL" w:eastAsia="pl-PL"/>
        </w:rPr>
        <w:t xml:space="preserve">ma </w:t>
      </w:r>
      <w:r w:rsidRPr="00433950">
        <w:rPr>
          <w:i/>
          <w:color w:val="000000"/>
          <w:sz w:val="16"/>
          <w:szCs w:val="16"/>
          <w:lang w:val="pl-PL" w:eastAsia="pl-PL"/>
        </w:rPr>
        <w:t xml:space="preserve">pomagać lekarzom w terenie w szybkim i trafnym diagnozowaniu problemów </w:t>
      </w:r>
      <w:r w:rsidR="009C4310" w:rsidRPr="00433950">
        <w:rPr>
          <w:i/>
          <w:color w:val="000000"/>
          <w:sz w:val="16"/>
          <w:szCs w:val="16"/>
          <w:lang w:val="pl-PL" w:eastAsia="pl-PL"/>
        </w:rPr>
        <w:t>ich pacjentów. Z drugiej strony</w:t>
      </w:r>
      <w:r w:rsidR="00551571" w:rsidRPr="00433950">
        <w:rPr>
          <w:i/>
          <w:color w:val="000000"/>
          <w:sz w:val="16"/>
          <w:szCs w:val="16"/>
          <w:lang w:val="pl-PL" w:eastAsia="pl-PL"/>
        </w:rPr>
        <w:t xml:space="preserve"> ma służyć gromadzeniu przez nas wiedzy o tym, jakie środki biob</w:t>
      </w:r>
      <w:r w:rsidR="00285C76">
        <w:rPr>
          <w:i/>
          <w:color w:val="000000"/>
          <w:sz w:val="16"/>
          <w:szCs w:val="16"/>
          <w:lang w:val="pl-PL" w:eastAsia="pl-PL"/>
        </w:rPr>
        <w:t>ójcze zostały uwolnione do środ</w:t>
      </w:r>
      <w:r w:rsidR="00551571" w:rsidRPr="00433950">
        <w:rPr>
          <w:i/>
          <w:color w:val="000000"/>
          <w:sz w:val="16"/>
          <w:szCs w:val="16"/>
          <w:lang w:val="pl-PL" w:eastAsia="pl-PL"/>
        </w:rPr>
        <w:t>owiska, w jakich ilościach i jakie wywołały skutki. To bardzo cenna wiedza – zarówno na potrzeby akcji ratunkowych, jak i w celu doskonalenia procesu rejestracji</w:t>
      </w:r>
      <w:r w:rsidR="00442B05" w:rsidRPr="00433950">
        <w:rPr>
          <w:i/>
          <w:color w:val="000000"/>
          <w:sz w:val="16"/>
          <w:szCs w:val="16"/>
          <w:lang w:val="pl-PL" w:eastAsia="pl-PL"/>
        </w:rPr>
        <w:t>. Oczywiście, jednostki terenowe nie mogą uzyskiwać dostępu do szczegółowych danych na temat produktów, lecz do danych wybranych i uogólnionych</w:t>
      </w:r>
      <w:r w:rsidR="00551571" w:rsidRPr="00433950">
        <w:rPr>
          <w:color w:val="000000"/>
          <w:sz w:val="16"/>
          <w:szCs w:val="16"/>
          <w:lang w:val="pl-PL" w:eastAsia="pl-PL"/>
        </w:rPr>
        <w:t xml:space="preserve">” – mówi </w:t>
      </w:r>
      <w:r w:rsidR="00442B05" w:rsidRPr="00433950">
        <w:rPr>
          <w:color w:val="000000"/>
          <w:sz w:val="16"/>
          <w:szCs w:val="16"/>
          <w:lang w:val="pl-PL" w:eastAsia="pl-PL"/>
        </w:rPr>
        <w:t>prezes Antoni Kunikowski.</w:t>
      </w:r>
    </w:p>
    <w:p w:rsidR="00E36FAC" w:rsidRPr="00433950" w:rsidRDefault="00E36FAC" w:rsidP="001771A9">
      <w:pPr>
        <w:pStyle w:val="Bodycopy"/>
        <w:rPr>
          <w:sz w:val="16"/>
          <w:szCs w:val="16"/>
          <w:lang w:val="pl-PL"/>
        </w:rPr>
      </w:pPr>
    </w:p>
    <w:p w:rsidR="00F21F25" w:rsidRDefault="00F21F25" w:rsidP="001771A9">
      <w:pPr>
        <w:pStyle w:val="SectionHeading"/>
        <w:outlineLvl w:val="0"/>
        <w:rPr>
          <w:color w:val="E36C0A"/>
          <w:sz w:val="20"/>
          <w:szCs w:val="20"/>
          <w:lang w:val="pl-PL"/>
        </w:rPr>
      </w:pPr>
    </w:p>
    <w:p w:rsidR="00F21F25" w:rsidRDefault="00F21F25" w:rsidP="001771A9">
      <w:pPr>
        <w:pStyle w:val="SectionHeading"/>
        <w:outlineLvl w:val="0"/>
        <w:rPr>
          <w:color w:val="E36C0A"/>
          <w:sz w:val="20"/>
          <w:szCs w:val="20"/>
          <w:lang w:val="pl-PL"/>
        </w:rPr>
      </w:pPr>
    </w:p>
    <w:p w:rsidR="00F21F25" w:rsidRDefault="00F21F25" w:rsidP="001771A9">
      <w:pPr>
        <w:pStyle w:val="SectionHeading"/>
        <w:outlineLvl w:val="0"/>
        <w:rPr>
          <w:color w:val="E36C0A"/>
          <w:sz w:val="20"/>
          <w:szCs w:val="20"/>
          <w:lang w:val="pl-PL"/>
        </w:rPr>
      </w:pPr>
    </w:p>
    <w:p w:rsidR="001771A9" w:rsidRPr="00433950" w:rsidRDefault="001771A9" w:rsidP="001771A9">
      <w:pPr>
        <w:pStyle w:val="SectionHeading"/>
        <w:outlineLvl w:val="0"/>
        <w:rPr>
          <w:color w:val="E36C0A"/>
          <w:sz w:val="20"/>
          <w:szCs w:val="20"/>
          <w:lang w:val="pl-PL"/>
        </w:rPr>
      </w:pPr>
      <w:r w:rsidRPr="00433950">
        <w:rPr>
          <w:color w:val="E36C0A"/>
          <w:sz w:val="20"/>
          <w:szCs w:val="20"/>
          <w:lang w:val="pl-PL"/>
        </w:rPr>
        <w:lastRenderedPageBreak/>
        <w:t>Korzyści</w:t>
      </w:r>
    </w:p>
    <w:p w:rsidR="0033601F" w:rsidRPr="00433950" w:rsidRDefault="00B46DD7" w:rsidP="0033601F">
      <w:pPr>
        <w:pStyle w:val="SectionHeading"/>
        <w:outlineLvl w:val="0"/>
        <w:rPr>
          <w:rFonts w:ascii="Franklin Gothic Book" w:hAnsi="Franklin Gothic Book"/>
          <w:color w:val="000000"/>
          <w:sz w:val="16"/>
          <w:szCs w:val="16"/>
          <w:lang w:val="pl-PL"/>
        </w:rPr>
      </w:pPr>
      <w:r w:rsidRPr="00433950">
        <w:rPr>
          <w:rFonts w:ascii="Franklin Gothic Book" w:hAnsi="Franklin Gothic Book"/>
          <w:color w:val="000000"/>
          <w:sz w:val="16"/>
          <w:szCs w:val="16"/>
          <w:lang w:val="pl-PL"/>
        </w:rPr>
        <w:t>Rolą Urzędu Rejestracji Produktów Leczniczych, Wyrobów Medycznych i Produktów Biobójczych jest szeroko pojęta ochrona obywateli oraz kontrola obrotu substancjami chemicznymi o potencjalnie niebezpiecznym działaniu na ludzi bądź środowisko.</w:t>
      </w:r>
      <w:r w:rsidR="0033601F" w:rsidRPr="00433950">
        <w:rPr>
          <w:rFonts w:ascii="Franklin Gothic Book" w:hAnsi="Franklin Gothic Book"/>
          <w:color w:val="000000"/>
          <w:sz w:val="16"/>
          <w:szCs w:val="16"/>
          <w:lang w:val="pl-PL"/>
        </w:rPr>
        <w:t xml:space="preserve"> Pojawienie się wymogów ogólnoeuropejskich nadało dz</w:t>
      </w:r>
      <w:r w:rsidR="009C4310" w:rsidRPr="00433950">
        <w:rPr>
          <w:rFonts w:ascii="Franklin Gothic Book" w:hAnsi="Franklin Gothic Book"/>
          <w:color w:val="000000"/>
          <w:sz w:val="16"/>
          <w:szCs w:val="16"/>
          <w:lang w:val="pl-PL"/>
        </w:rPr>
        <w:t>iałalności Urzędu nowy wymiar</w:t>
      </w:r>
      <w:r w:rsidR="0033601F" w:rsidRPr="00433950">
        <w:rPr>
          <w:rFonts w:ascii="Franklin Gothic Book" w:hAnsi="Franklin Gothic Book"/>
          <w:color w:val="000000"/>
          <w:sz w:val="16"/>
          <w:szCs w:val="16"/>
          <w:lang w:val="pl-PL"/>
        </w:rPr>
        <w:t>, a jednocześnie postawiło przed nim nowe wymagania w dziedzinie gromadzenia i udostępniania informacji.</w:t>
      </w:r>
    </w:p>
    <w:p w:rsidR="00ED2F55" w:rsidRPr="00433950" w:rsidRDefault="00AB69FD" w:rsidP="0033601F">
      <w:pPr>
        <w:pStyle w:val="SectionHeading"/>
        <w:ind w:firstLine="284"/>
        <w:outlineLvl w:val="0"/>
        <w:rPr>
          <w:rFonts w:ascii="Franklin Gothic Book" w:hAnsi="Franklin Gothic Book"/>
          <w:color w:val="000000"/>
          <w:sz w:val="16"/>
          <w:szCs w:val="16"/>
          <w:lang w:val="pl-PL"/>
        </w:rPr>
      </w:pPr>
      <w:r>
        <w:rPr>
          <w:rFonts w:ascii="Franklin Gothic Book" w:hAnsi="Franklin Gothic Book"/>
          <w:color w:val="000000"/>
          <w:sz w:val="16"/>
          <w:szCs w:val="16"/>
          <w:lang w:val="pl-PL" w:eastAsia="pl-PL"/>
        </w:rPr>
        <w:pict>
          <v:shape id="_x0000_s1028" type="#_x0000_t202" style="position:absolute;left:0;text-align:left;margin-left:27pt;margin-top:161.5pt;width:161pt;height:597.5pt;z-index:251658240;mso-position-horizontal-relative:page;mso-position-vertical-relative:page" stroked="f">
            <v:textbox style="mso-next-textbox:#_x0000_s1028" inset="0,0,0,0">
              <w:txbxContent>
                <w:p w:rsidR="0028568A" w:rsidRPr="007657FD" w:rsidRDefault="0028568A" w:rsidP="0028568A">
                  <w:pPr>
                    <w:spacing w:line="360" w:lineRule="auto"/>
                    <w:rPr>
                      <w:i/>
                      <w:color w:val="E36C0A"/>
                      <w:sz w:val="24"/>
                    </w:rPr>
                  </w:pPr>
                  <w:r w:rsidRPr="0028568A">
                    <w:rPr>
                      <w:i/>
                      <w:color w:val="E36C0A"/>
                      <w:sz w:val="24"/>
                    </w:rPr>
                    <w:t xml:space="preserve">„Wiedzieliśmy, że nowe obowiązki będą wymagać budowy dedykowanego systemu. Jednocześnie wiedzieliśmy, że wymagania dotyczące udostępniania danych są nierozerwalnie związane z już istniejącymi procesami gromadzenia </w:t>
                  </w:r>
                  <w:r w:rsidR="004E28CC">
                    <w:rPr>
                      <w:i/>
                      <w:color w:val="E36C0A"/>
                      <w:sz w:val="24"/>
                    </w:rPr>
                    <w:br/>
                  </w:r>
                  <w:r w:rsidRPr="0028568A">
                    <w:rPr>
                      <w:i/>
                      <w:color w:val="E36C0A"/>
                      <w:sz w:val="24"/>
                    </w:rPr>
                    <w:t xml:space="preserve">i przetwarzania danych </w:t>
                  </w:r>
                  <w:r w:rsidR="004E28CC">
                    <w:rPr>
                      <w:i/>
                      <w:color w:val="E36C0A"/>
                      <w:sz w:val="24"/>
                    </w:rPr>
                    <w:br/>
                  </w:r>
                  <w:r w:rsidRPr="0028568A">
                    <w:rPr>
                      <w:i/>
                      <w:color w:val="E36C0A"/>
                      <w:sz w:val="24"/>
                    </w:rPr>
                    <w:t xml:space="preserve">z wniosków. Nie chcieliśmy budować kilku systemów </w:t>
                  </w:r>
                  <w:r w:rsidR="004E28CC">
                    <w:rPr>
                      <w:i/>
                      <w:color w:val="E36C0A"/>
                      <w:sz w:val="24"/>
                    </w:rPr>
                    <w:br/>
                  </w:r>
                  <w:r w:rsidRPr="0028568A">
                    <w:rPr>
                      <w:i/>
                      <w:color w:val="E36C0A"/>
                      <w:sz w:val="24"/>
                    </w:rPr>
                    <w:t xml:space="preserve">i integrować ich ze sobą. Interesował nas jeden, spójny system, obsługujący wszystkie procesy poprzedzające fakt udostępnienia danych innym jednostkom w ramach UE. Dzięki współpracy </w:t>
                  </w:r>
                  <w:r w:rsidR="004E28CC">
                    <w:rPr>
                      <w:i/>
                      <w:color w:val="E36C0A"/>
                      <w:sz w:val="24"/>
                    </w:rPr>
                    <w:br/>
                  </w:r>
                  <w:r w:rsidRPr="0028568A">
                    <w:rPr>
                      <w:i/>
                      <w:color w:val="E36C0A"/>
                      <w:sz w:val="24"/>
                    </w:rPr>
                    <w:t xml:space="preserve">z Transition Technologies </w:t>
                  </w:r>
                  <w:r w:rsidR="004E28CC">
                    <w:rPr>
                      <w:i/>
                      <w:color w:val="E36C0A"/>
                      <w:sz w:val="24"/>
                    </w:rPr>
                    <w:br/>
                  </w:r>
                  <w:r w:rsidRPr="0028568A">
                    <w:rPr>
                      <w:i/>
                      <w:color w:val="E36C0A"/>
                      <w:sz w:val="24"/>
                    </w:rPr>
                    <w:t>taki system udało się nam rzeczywiście zbudować</w:t>
                  </w:r>
                  <w:r w:rsidRPr="00E67440">
                    <w:rPr>
                      <w:color w:val="E36C0A"/>
                      <w:sz w:val="24"/>
                    </w:rPr>
                    <w:t>”</w:t>
                  </w:r>
                </w:p>
                <w:p w:rsidR="0028568A" w:rsidRDefault="0028568A" w:rsidP="0028568A">
                  <w:pPr>
                    <w:rPr>
                      <w:i/>
                      <w:color w:val="00CCFF"/>
                      <w:sz w:val="24"/>
                    </w:rPr>
                  </w:pPr>
                </w:p>
                <w:p w:rsidR="0028568A" w:rsidRPr="0028568A" w:rsidRDefault="0028568A" w:rsidP="0028568A">
                  <w:pPr>
                    <w:rPr>
                      <w:color w:val="000000"/>
                    </w:rPr>
                  </w:pPr>
                  <w:r w:rsidRPr="0028568A">
                    <w:rPr>
                      <w:b/>
                      <w:color w:val="000000"/>
                    </w:rPr>
                    <w:t>Antoni Kunikowski</w:t>
                  </w:r>
                  <w:r w:rsidRPr="0028568A">
                    <w:rPr>
                      <w:color w:val="000000"/>
                    </w:rPr>
                    <w:t xml:space="preserve">, </w:t>
                  </w:r>
                  <w:r w:rsidR="008162CB">
                    <w:rPr>
                      <w:color w:val="000000"/>
                    </w:rPr>
                    <w:t>wice</w:t>
                  </w:r>
                  <w:r w:rsidRPr="0028568A">
                    <w:rPr>
                      <w:color w:val="000000"/>
                    </w:rPr>
                    <w:t>prezes Urzędu Rejestracji Produktów Leczniczych, Wyrobów Medycznych i Produktów Biobójczych w Warszawie.</w:t>
                  </w:r>
                </w:p>
                <w:p w:rsidR="0028568A" w:rsidRPr="0028568A" w:rsidRDefault="0028568A" w:rsidP="0028568A">
                  <w:pPr>
                    <w:rPr>
                      <w:color w:val="000000"/>
                    </w:rPr>
                  </w:pPr>
                </w:p>
              </w:txbxContent>
            </v:textbox>
            <w10:wrap anchorx="page" anchory="page"/>
          </v:shape>
        </w:pict>
      </w:r>
      <w:r w:rsidR="0033601F" w:rsidRPr="00433950">
        <w:rPr>
          <w:rFonts w:ascii="Franklin Gothic Book" w:hAnsi="Franklin Gothic Book"/>
          <w:color w:val="000000"/>
          <w:sz w:val="16"/>
          <w:szCs w:val="16"/>
          <w:lang w:val="pl-PL"/>
        </w:rPr>
        <w:t>System informatyczny, który Urząd zbudował wspólnie z firmą Transition Technologies, umożliwia Urzędowi wywiązywanie się z obowiązków wynikających z przepisów prawa polskiego, a jednocześnie skuteczne przygotowanie do wymiany danych o substancjach i produktach biobójczych z innymi krajami UE.</w:t>
      </w:r>
    </w:p>
    <w:p w:rsidR="003D02AF" w:rsidRPr="00433950" w:rsidRDefault="003D02AF" w:rsidP="003D02AF">
      <w:pPr>
        <w:pStyle w:val="Bodycopy"/>
        <w:rPr>
          <w:sz w:val="16"/>
          <w:szCs w:val="16"/>
          <w:lang w:val="pl-PL"/>
        </w:rPr>
      </w:pPr>
      <w:r w:rsidRPr="00433950">
        <w:rPr>
          <w:sz w:val="16"/>
          <w:szCs w:val="16"/>
          <w:lang w:val="pl-PL"/>
        </w:rPr>
        <w:tab/>
        <w:t>„</w:t>
      </w:r>
      <w:r w:rsidRPr="00433950">
        <w:rPr>
          <w:i/>
          <w:sz w:val="16"/>
          <w:szCs w:val="16"/>
          <w:lang w:val="pl-PL"/>
        </w:rPr>
        <w:t xml:space="preserve">Wiedzieliśmy, że nowe obowiązki będą wymagać budowy dedykowanego systemu. Jednocześnie wiedzieliśmy, że wymagania dotyczące udostępniania danych są nierozerwalnie związane z </w:t>
      </w:r>
      <w:r w:rsidR="00C71C34" w:rsidRPr="00433950">
        <w:rPr>
          <w:i/>
          <w:sz w:val="16"/>
          <w:szCs w:val="16"/>
          <w:lang w:val="pl-PL"/>
        </w:rPr>
        <w:t xml:space="preserve">już istniejącymi </w:t>
      </w:r>
      <w:r w:rsidRPr="00433950">
        <w:rPr>
          <w:i/>
          <w:sz w:val="16"/>
          <w:szCs w:val="16"/>
          <w:lang w:val="pl-PL"/>
        </w:rPr>
        <w:t>procesami gromadzenia i przetwarzania</w:t>
      </w:r>
      <w:r w:rsidR="00C71C34" w:rsidRPr="00433950">
        <w:rPr>
          <w:i/>
          <w:sz w:val="16"/>
          <w:szCs w:val="16"/>
          <w:lang w:val="pl-PL"/>
        </w:rPr>
        <w:t xml:space="preserve"> danych z wniosków</w:t>
      </w:r>
      <w:r w:rsidRPr="00433950">
        <w:rPr>
          <w:i/>
          <w:sz w:val="16"/>
          <w:szCs w:val="16"/>
          <w:lang w:val="pl-PL"/>
        </w:rPr>
        <w:t>. Nie chcieliśmy budować kilku systemów i integrować ich ze sobą. Interesował nas jeden, spójny system, obsługujący wszystkie procesy poprzedzające fakt udostępnienia danych innym jednostkom w ramach UE</w:t>
      </w:r>
      <w:r w:rsidR="00F86607" w:rsidRPr="00433950">
        <w:rPr>
          <w:i/>
          <w:sz w:val="16"/>
          <w:szCs w:val="16"/>
          <w:lang w:val="pl-PL"/>
        </w:rPr>
        <w:t xml:space="preserve">. </w:t>
      </w:r>
      <w:r w:rsidR="00C71C34" w:rsidRPr="00433950">
        <w:rPr>
          <w:i/>
          <w:sz w:val="16"/>
          <w:szCs w:val="16"/>
          <w:lang w:val="pl-PL"/>
        </w:rPr>
        <w:t>Dzięki współpracy z Transition Technologies taki system udało się nam rzeczywiście zbudować</w:t>
      </w:r>
      <w:r w:rsidR="00C71C34" w:rsidRPr="00433950">
        <w:rPr>
          <w:sz w:val="16"/>
          <w:szCs w:val="16"/>
          <w:lang w:val="pl-PL"/>
        </w:rPr>
        <w:t>” – mówi Antoni Kunikowski.</w:t>
      </w:r>
    </w:p>
    <w:p w:rsidR="003D02AF" w:rsidRPr="00433950" w:rsidRDefault="00C71C34" w:rsidP="003D02AF">
      <w:pPr>
        <w:pStyle w:val="Bodycopy"/>
        <w:rPr>
          <w:sz w:val="16"/>
          <w:szCs w:val="16"/>
          <w:lang w:val="pl-PL"/>
        </w:rPr>
      </w:pPr>
      <w:r w:rsidRPr="00433950">
        <w:rPr>
          <w:sz w:val="16"/>
          <w:szCs w:val="16"/>
          <w:lang w:val="pl-PL"/>
        </w:rPr>
        <w:tab/>
      </w:r>
      <w:r w:rsidR="003C4496" w:rsidRPr="00433950">
        <w:rPr>
          <w:sz w:val="16"/>
          <w:szCs w:val="16"/>
          <w:lang w:val="pl-PL"/>
        </w:rPr>
        <w:t xml:space="preserve">Nie tylko Urząd ma powody do zadowolenia. Gdy po wpisaniu danych słownikowych system </w:t>
      </w:r>
      <w:r w:rsidR="00AE5DA1" w:rsidRPr="00433950">
        <w:rPr>
          <w:sz w:val="16"/>
          <w:szCs w:val="16"/>
          <w:lang w:val="pl-PL"/>
        </w:rPr>
        <w:t>w pełni</w:t>
      </w:r>
      <w:r w:rsidR="003C4496" w:rsidRPr="00433950">
        <w:rPr>
          <w:sz w:val="16"/>
          <w:szCs w:val="16"/>
          <w:lang w:val="pl-PL"/>
        </w:rPr>
        <w:t xml:space="preserve"> ruszy, oczywistymi beneficjentami jego działania będą firmy składające wnioski rejestracyjne.</w:t>
      </w:r>
    </w:p>
    <w:p w:rsidR="003C4496" w:rsidRPr="00433950" w:rsidRDefault="003C4496" w:rsidP="003D02AF">
      <w:pPr>
        <w:pStyle w:val="Bodycopy"/>
        <w:rPr>
          <w:sz w:val="16"/>
          <w:szCs w:val="16"/>
          <w:lang w:val="pl-PL"/>
        </w:rPr>
      </w:pPr>
      <w:r w:rsidRPr="00433950">
        <w:rPr>
          <w:sz w:val="16"/>
          <w:szCs w:val="16"/>
          <w:lang w:val="pl-PL"/>
        </w:rPr>
        <w:tab/>
        <w:t>„</w:t>
      </w:r>
      <w:r w:rsidR="00DE6F98" w:rsidRPr="00433950">
        <w:rPr>
          <w:i/>
          <w:sz w:val="16"/>
          <w:szCs w:val="16"/>
          <w:lang w:val="pl-PL"/>
        </w:rPr>
        <w:t>Ponad wszelką wątpliwość s</w:t>
      </w:r>
      <w:r w:rsidRPr="00433950">
        <w:rPr>
          <w:i/>
          <w:sz w:val="16"/>
          <w:szCs w:val="16"/>
          <w:lang w:val="pl-PL"/>
        </w:rPr>
        <w:t xml:space="preserve">ystem </w:t>
      </w:r>
      <w:r w:rsidR="00DE6F98" w:rsidRPr="00433950">
        <w:rPr>
          <w:i/>
          <w:sz w:val="16"/>
          <w:szCs w:val="16"/>
          <w:lang w:val="pl-PL"/>
        </w:rPr>
        <w:t>skróci czas procesu rejestracji</w:t>
      </w:r>
      <w:r w:rsidRPr="00433950">
        <w:rPr>
          <w:i/>
          <w:sz w:val="16"/>
          <w:szCs w:val="16"/>
          <w:lang w:val="pl-PL"/>
        </w:rPr>
        <w:t xml:space="preserve">. Wszelkie problemy formalne będą wychwytywane zanim dokumentacja trafi do </w:t>
      </w:r>
      <w:r w:rsidR="006E5371" w:rsidRPr="00433950">
        <w:rPr>
          <w:i/>
          <w:sz w:val="16"/>
          <w:szCs w:val="16"/>
          <w:lang w:val="pl-PL"/>
        </w:rPr>
        <w:t xml:space="preserve">osób odpowiedzialnych za jej analizę merytoryczną. To oszczędzi czas wszystkich zainteresowanych. Czas realizacji poszczególnych etapów procesu rejestracyjnego będzie ponadto śledzony i raportowany. Rejestrowane będą także wszelkie zmiany i </w:t>
      </w:r>
      <w:r w:rsidR="006E5371" w:rsidRPr="00433950">
        <w:rPr>
          <w:i/>
          <w:sz w:val="16"/>
          <w:szCs w:val="16"/>
          <w:lang w:val="pl-PL"/>
        </w:rPr>
        <w:lastRenderedPageBreak/>
        <w:t>uwagi nanoszone w dokumentacji w trakcie rejestracji, co dodatkowo</w:t>
      </w:r>
      <w:r w:rsidR="00E41581" w:rsidRPr="00433950">
        <w:rPr>
          <w:i/>
          <w:sz w:val="16"/>
          <w:szCs w:val="16"/>
          <w:lang w:val="pl-PL"/>
        </w:rPr>
        <w:t xml:space="preserve"> zwiększy przejrzystość procesu</w:t>
      </w:r>
      <w:r w:rsidR="00E41581" w:rsidRPr="00433950">
        <w:rPr>
          <w:sz w:val="16"/>
          <w:szCs w:val="16"/>
          <w:lang w:val="pl-PL"/>
        </w:rPr>
        <w:t>” – mówi dr Robert Chrobak.</w:t>
      </w:r>
    </w:p>
    <w:p w:rsidR="008676FF" w:rsidRPr="00433950" w:rsidRDefault="008676FF" w:rsidP="003D02AF">
      <w:pPr>
        <w:pStyle w:val="Bodycopy"/>
        <w:rPr>
          <w:sz w:val="16"/>
          <w:szCs w:val="16"/>
          <w:lang w:val="pl-PL"/>
        </w:rPr>
      </w:pPr>
      <w:r w:rsidRPr="00433950">
        <w:rPr>
          <w:sz w:val="16"/>
          <w:szCs w:val="16"/>
          <w:lang w:val="pl-PL"/>
        </w:rPr>
        <w:tab/>
        <w:t>Korzyścią z wdrożenia jest nie tylko przyspieszenie procesów, lecz także eliminacja i zapobieganie powstawaniu błędów.</w:t>
      </w:r>
    </w:p>
    <w:p w:rsidR="008676FF" w:rsidRPr="00433950" w:rsidRDefault="008676FF" w:rsidP="003D02AF">
      <w:pPr>
        <w:pStyle w:val="Bodycopy"/>
        <w:rPr>
          <w:sz w:val="16"/>
          <w:szCs w:val="16"/>
          <w:lang w:val="pl-PL"/>
        </w:rPr>
      </w:pPr>
      <w:r w:rsidRPr="00433950">
        <w:rPr>
          <w:sz w:val="16"/>
          <w:szCs w:val="16"/>
          <w:lang w:val="pl-PL"/>
        </w:rPr>
        <w:tab/>
        <w:t>„</w:t>
      </w:r>
      <w:r w:rsidRPr="00433950">
        <w:rPr>
          <w:i/>
          <w:sz w:val="16"/>
          <w:szCs w:val="16"/>
          <w:lang w:val="pl-PL"/>
        </w:rPr>
        <w:t xml:space="preserve">Od wstępnych prac koncepcyjnych dążyliśmy do tego, aby większość operacji w systemie można było wykonywać bez ręcznego wprowadzania danych. </w:t>
      </w:r>
      <w:r w:rsidR="00753791" w:rsidRPr="00433950">
        <w:rPr>
          <w:i/>
          <w:sz w:val="16"/>
          <w:szCs w:val="16"/>
          <w:lang w:val="pl-PL"/>
        </w:rPr>
        <w:t>Nasza praca jest skomplikowana merytorycznie, a jednocześnie ilości danych do analizy są ogromne. Redukcja możliwości powstania błędów jest więc pożądana</w:t>
      </w:r>
      <w:r w:rsidR="00753791" w:rsidRPr="00433950">
        <w:rPr>
          <w:sz w:val="16"/>
          <w:szCs w:val="16"/>
          <w:lang w:val="pl-PL"/>
        </w:rPr>
        <w:t>” – tłumaczy Robert Chrobak.</w:t>
      </w:r>
    </w:p>
    <w:p w:rsidR="003C4496" w:rsidRPr="00433950" w:rsidRDefault="00DE6F98" w:rsidP="003D02AF">
      <w:pPr>
        <w:pStyle w:val="Bodycopy"/>
        <w:rPr>
          <w:sz w:val="16"/>
          <w:szCs w:val="16"/>
          <w:lang w:val="pl-PL"/>
        </w:rPr>
      </w:pPr>
      <w:r w:rsidRPr="00433950">
        <w:rPr>
          <w:sz w:val="16"/>
          <w:szCs w:val="16"/>
          <w:lang w:val="pl-PL"/>
        </w:rPr>
        <w:tab/>
      </w:r>
      <w:r w:rsidR="00B05EF3" w:rsidRPr="00433950">
        <w:rPr>
          <w:sz w:val="16"/>
          <w:szCs w:val="16"/>
          <w:lang w:val="pl-PL"/>
        </w:rPr>
        <w:t xml:space="preserve">Powstający właśnie portal dla terenowych Ośrodków Monitorowania Zatruć, integrujący się z systemem rejestracji, będzie z kolei cennym </w:t>
      </w:r>
      <w:r w:rsidR="00846452" w:rsidRPr="00433950">
        <w:rPr>
          <w:sz w:val="16"/>
          <w:szCs w:val="16"/>
          <w:lang w:val="pl-PL"/>
        </w:rPr>
        <w:t>narzędziem dla lekarzy toksykologów. Informacje dostarczane przez nich za pomocą formularzy będą ułatwiać Urzędowi koordynowanie działań krajowych w przypadku poważnych zagrożeń, a jednocześnie udoskonalą proces rejestracyjny.</w:t>
      </w:r>
    </w:p>
    <w:p w:rsidR="00805195" w:rsidRPr="00433950" w:rsidRDefault="00846452" w:rsidP="0028568A">
      <w:pPr>
        <w:pStyle w:val="SectionHeading"/>
        <w:rPr>
          <w:rFonts w:ascii="Franklin Gothic Book" w:hAnsi="Franklin Gothic Book"/>
          <w:color w:val="auto"/>
          <w:sz w:val="16"/>
          <w:szCs w:val="16"/>
          <w:lang w:val="pl-PL"/>
        </w:rPr>
      </w:pPr>
      <w:r w:rsidRPr="00433950">
        <w:rPr>
          <w:rFonts w:ascii="Franklin Gothic Book" w:hAnsi="Franklin Gothic Book"/>
          <w:color w:val="auto"/>
          <w:sz w:val="16"/>
          <w:szCs w:val="16"/>
          <w:lang w:val="pl-PL"/>
        </w:rPr>
        <w:tab/>
      </w:r>
      <w:r w:rsidR="0048403D" w:rsidRPr="00433950">
        <w:rPr>
          <w:rFonts w:ascii="Franklin Gothic Book" w:hAnsi="Franklin Gothic Book"/>
          <w:color w:val="auto"/>
          <w:sz w:val="16"/>
          <w:szCs w:val="16"/>
          <w:lang w:val="pl-PL"/>
        </w:rPr>
        <w:t>„</w:t>
      </w:r>
      <w:r w:rsidR="00AE5DA1" w:rsidRPr="00433950">
        <w:rPr>
          <w:rFonts w:ascii="Franklin Gothic Book" w:hAnsi="Franklin Gothic Book"/>
          <w:i/>
          <w:color w:val="auto"/>
          <w:sz w:val="16"/>
          <w:szCs w:val="16"/>
          <w:lang w:val="pl-PL"/>
        </w:rPr>
        <w:t>Zlecenie od Urzędu było dużym wyzwaniem dla naszej firmy. Musieliśmy stworzyć unikalną architekturę, mającą gwarantować wysoką skalowalność, bezpieczeństwo danych (dane objęte tajemnicą handlową), oraz poprawność zaimplementowanych procesów. Łatwo nie było, ale mamy przeświadczenie, że to, co zbudowaliśmy, sprosta oczekiwaniom naszego klienta</w:t>
      </w:r>
      <w:r w:rsidR="00AE5DA1" w:rsidRPr="00433950">
        <w:rPr>
          <w:rFonts w:ascii="Franklin Gothic Book" w:hAnsi="Franklin Gothic Book"/>
          <w:color w:val="auto"/>
          <w:sz w:val="16"/>
          <w:szCs w:val="16"/>
          <w:lang w:val="pl-PL"/>
        </w:rPr>
        <w:t>”</w:t>
      </w:r>
      <w:r w:rsidR="0094316D" w:rsidRPr="00433950">
        <w:rPr>
          <w:rFonts w:ascii="Franklin Gothic Book" w:hAnsi="Franklin Gothic Book"/>
          <w:color w:val="auto"/>
          <w:sz w:val="16"/>
          <w:szCs w:val="16"/>
          <w:lang w:val="pl-PL"/>
        </w:rPr>
        <w:t>– mówi Sebastian Sokołowski</w:t>
      </w:r>
      <w:r w:rsidR="0028568A" w:rsidRPr="00433950">
        <w:rPr>
          <w:rFonts w:ascii="Franklin Gothic Book" w:hAnsi="Franklin Gothic Book"/>
          <w:color w:val="auto"/>
          <w:sz w:val="16"/>
          <w:szCs w:val="16"/>
          <w:lang w:val="pl-PL"/>
        </w:rPr>
        <w:t>.</w:t>
      </w: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tbl>
      <w:tblPr>
        <w:tblpPr w:leftFromText="141" w:rightFromText="141" w:vertAnchor="page" w:horzAnchor="margin" w:tblpY="3331"/>
        <w:tblW w:w="6930" w:type="dxa"/>
        <w:tblLayout w:type="fixed"/>
        <w:tblLook w:val="0000"/>
      </w:tblPr>
      <w:tblGrid>
        <w:gridCol w:w="3652"/>
        <w:gridCol w:w="3278"/>
      </w:tblGrid>
      <w:tr w:rsidR="00433950" w:rsidRPr="00433950" w:rsidTr="00433950">
        <w:trPr>
          <w:trHeight w:val="441"/>
        </w:trPr>
        <w:tc>
          <w:tcPr>
            <w:tcW w:w="3652" w:type="dxa"/>
            <w:tcBorders>
              <w:top w:val="double" w:sz="6" w:space="0" w:color="auto"/>
              <w:left w:val="double" w:sz="6" w:space="0" w:color="auto"/>
              <w:bottom w:val="single" w:sz="4" w:space="0" w:color="auto"/>
              <w:right w:val="single" w:sz="4" w:space="0" w:color="auto"/>
            </w:tcBorders>
            <w:shd w:val="clear" w:color="auto" w:fill="C0C0C0"/>
          </w:tcPr>
          <w:p w:rsidR="00433950" w:rsidRPr="00433950" w:rsidRDefault="00433950" w:rsidP="00433950">
            <w:pPr>
              <w:pStyle w:val="Bodycopy"/>
              <w:rPr>
                <w:b/>
                <w:sz w:val="16"/>
                <w:szCs w:val="16"/>
                <w:lang w:val="pl-PL"/>
              </w:rPr>
            </w:pPr>
            <w:r w:rsidRPr="00433950">
              <w:rPr>
                <w:b/>
                <w:sz w:val="16"/>
                <w:szCs w:val="16"/>
                <w:lang w:val="pl-PL"/>
              </w:rPr>
              <w:lastRenderedPageBreak/>
              <w:t>Oprogramowanie i usługi</w:t>
            </w:r>
          </w:p>
        </w:tc>
        <w:tc>
          <w:tcPr>
            <w:tcW w:w="3278" w:type="dxa"/>
            <w:tcBorders>
              <w:top w:val="double" w:sz="6" w:space="0" w:color="auto"/>
              <w:left w:val="nil"/>
              <w:bottom w:val="single" w:sz="4" w:space="0" w:color="auto"/>
              <w:right w:val="double" w:sz="6" w:space="0" w:color="auto"/>
            </w:tcBorders>
            <w:shd w:val="clear" w:color="auto" w:fill="C0C0C0"/>
          </w:tcPr>
          <w:p w:rsidR="00433950" w:rsidRPr="00433950" w:rsidRDefault="00433950" w:rsidP="00433950">
            <w:pPr>
              <w:pStyle w:val="Bodycopy"/>
              <w:rPr>
                <w:b/>
                <w:sz w:val="16"/>
                <w:szCs w:val="16"/>
                <w:lang w:val="pl-PL"/>
              </w:rPr>
            </w:pPr>
            <w:r w:rsidRPr="00433950">
              <w:rPr>
                <w:b/>
                <w:sz w:val="16"/>
                <w:szCs w:val="16"/>
                <w:lang w:val="pl-PL"/>
              </w:rPr>
              <w:t>Partnerzy wdrażający</w:t>
            </w:r>
          </w:p>
        </w:tc>
      </w:tr>
      <w:tr w:rsidR="00433950" w:rsidRPr="00433950" w:rsidTr="00433950">
        <w:trPr>
          <w:trHeight w:val="1691"/>
        </w:trPr>
        <w:tc>
          <w:tcPr>
            <w:tcW w:w="3652" w:type="dxa"/>
            <w:tcBorders>
              <w:top w:val="nil"/>
              <w:left w:val="double" w:sz="6" w:space="0" w:color="auto"/>
              <w:bottom w:val="double" w:sz="6" w:space="0" w:color="auto"/>
              <w:right w:val="single" w:sz="4" w:space="0" w:color="auto"/>
            </w:tcBorders>
            <w:shd w:val="clear" w:color="auto" w:fill="C0C0C0"/>
          </w:tcPr>
          <w:p w:rsidR="00433950" w:rsidRPr="00433950" w:rsidRDefault="00433950" w:rsidP="00433950">
            <w:pPr>
              <w:pStyle w:val="Bodycopy"/>
              <w:rPr>
                <w:sz w:val="16"/>
                <w:szCs w:val="16"/>
                <w:lang w:val="pl-PL"/>
              </w:rPr>
            </w:pPr>
            <w:r w:rsidRPr="00433950">
              <w:rPr>
                <w:sz w:val="16"/>
                <w:szCs w:val="16"/>
                <w:lang w:val="pl-PL"/>
              </w:rPr>
              <w:t>Oprogramowanie:</w:t>
            </w:r>
          </w:p>
          <w:p w:rsidR="00433950" w:rsidRPr="00433950" w:rsidRDefault="00433950" w:rsidP="00433950">
            <w:pPr>
              <w:pStyle w:val="Bodycopy"/>
              <w:numPr>
                <w:ilvl w:val="0"/>
                <w:numId w:val="20"/>
              </w:numPr>
              <w:rPr>
                <w:sz w:val="16"/>
                <w:szCs w:val="16"/>
                <w:lang w:val="pl-PL"/>
              </w:rPr>
            </w:pPr>
            <w:r>
              <w:rPr>
                <w:sz w:val="16"/>
                <w:szCs w:val="16"/>
                <w:lang w:val="pl-PL"/>
              </w:rPr>
              <w:t>Microsoft .NET Framework 3.5</w:t>
            </w:r>
            <w:r w:rsidRPr="00433950">
              <w:rPr>
                <w:sz w:val="16"/>
                <w:szCs w:val="16"/>
                <w:lang w:val="pl-PL"/>
              </w:rPr>
              <w:t>;</w:t>
            </w:r>
          </w:p>
          <w:p w:rsidR="00433950" w:rsidRPr="00433950" w:rsidRDefault="00433950" w:rsidP="00433950">
            <w:pPr>
              <w:pStyle w:val="Bodycopy"/>
              <w:numPr>
                <w:ilvl w:val="0"/>
                <w:numId w:val="20"/>
              </w:numPr>
              <w:rPr>
                <w:sz w:val="16"/>
                <w:szCs w:val="16"/>
                <w:lang w:val="pl-PL"/>
              </w:rPr>
            </w:pPr>
            <w:r>
              <w:rPr>
                <w:sz w:val="16"/>
                <w:szCs w:val="16"/>
                <w:lang w:val="pl-PL"/>
              </w:rPr>
              <w:t>Windows Presentation Foundation</w:t>
            </w:r>
            <w:r w:rsidRPr="00433950">
              <w:rPr>
                <w:sz w:val="16"/>
                <w:szCs w:val="16"/>
                <w:lang w:val="pl-PL"/>
              </w:rPr>
              <w:t>;</w:t>
            </w:r>
          </w:p>
          <w:p w:rsidR="00433950" w:rsidRPr="00433950" w:rsidRDefault="00433950" w:rsidP="00433950">
            <w:pPr>
              <w:pStyle w:val="Bodycopy"/>
              <w:numPr>
                <w:ilvl w:val="0"/>
                <w:numId w:val="20"/>
              </w:numPr>
              <w:rPr>
                <w:sz w:val="16"/>
                <w:szCs w:val="16"/>
              </w:rPr>
            </w:pPr>
            <w:r w:rsidRPr="00433950">
              <w:rPr>
                <w:sz w:val="16"/>
                <w:szCs w:val="16"/>
              </w:rPr>
              <w:t xml:space="preserve">Windows </w:t>
            </w:r>
            <w:r>
              <w:rPr>
                <w:sz w:val="16"/>
                <w:szCs w:val="16"/>
              </w:rPr>
              <w:t>Communication</w:t>
            </w:r>
            <w:r w:rsidRPr="00433950">
              <w:rPr>
                <w:sz w:val="16"/>
                <w:szCs w:val="16"/>
              </w:rPr>
              <w:t xml:space="preserve"> Foundation;</w:t>
            </w:r>
          </w:p>
          <w:p w:rsidR="00433950" w:rsidRPr="00F21F25" w:rsidRDefault="00433950" w:rsidP="00433950">
            <w:pPr>
              <w:pStyle w:val="Bodycopy"/>
              <w:numPr>
                <w:ilvl w:val="0"/>
                <w:numId w:val="20"/>
              </w:numPr>
              <w:rPr>
                <w:sz w:val="16"/>
                <w:szCs w:val="16"/>
              </w:rPr>
            </w:pPr>
            <w:r w:rsidRPr="00F21F25">
              <w:rPr>
                <w:sz w:val="16"/>
                <w:szCs w:val="16"/>
              </w:rPr>
              <w:t xml:space="preserve">Microsoft Office Word 2007 Add-ins </w:t>
            </w:r>
          </w:p>
        </w:tc>
        <w:tc>
          <w:tcPr>
            <w:tcW w:w="3278" w:type="dxa"/>
            <w:tcBorders>
              <w:top w:val="nil"/>
              <w:left w:val="nil"/>
              <w:bottom w:val="double" w:sz="6" w:space="0" w:color="auto"/>
              <w:right w:val="double" w:sz="6" w:space="0" w:color="auto"/>
            </w:tcBorders>
            <w:shd w:val="clear" w:color="auto" w:fill="C0C0C0"/>
          </w:tcPr>
          <w:p w:rsidR="00433950" w:rsidRPr="00433950" w:rsidRDefault="00433950" w:rsidP="00433950">
            <w:pPr>
              <w:pStyle w:val="Bodycopy"/>
              <w:rPr>
                <w:sz w:val="16"/>
                <w:szCs w:val="16"/>
                <w:lang w:val="pl-PL"/>
              </w:rPr>
            </w:pPr>
            <w:r w:rsidRPr="00433950">
              <w:rPr>
                <w:sz w:val="16"/>
                <w:szCs w:val="16"/>
                <w:lang w:val="pl-PL"/>
              </w:rPr>
              <w:t>Partner wdrażający:</w:t>
            </w:r>
          </w:p>
          <w:p w:rsidR="00433950" w:rsidRPr="00433950" w:rsidRDefault="00433950" w:rsidP="00433950">
            <w:pPr>
              <w:pStyle w:val="Bodycopy"/>
              <w:numPr>
                <w:ilvl w:val="0"/>
                <w:numId w:val="21"/>
              </w:numPr>
              <w:rPr>
                <w:sz w:val="16"/>
                <w:szCs w:val="16"/>
                <w:lang w:val="pl-PL"/>
              </w:rPr>
            </w:pPr>
            <w:r>
              <w:rPr>
                <w:sz w:val="16"/>
                <w:szCs w:val="16"/>
                <w:lang w:val="pl-PL"/>
              </w:rPr>
              <w:t>Transition Technologies SA</w:t>
            </w:r>
          </w:p>
        </w:tc>
      </w:tr>
    </w:tbl>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805195" w:rsidRPr="00433950" w:rsidRDefault="00805195" w:rsidP="00805195">
      <w:pPr>
        <w:pStyle w:val="Bodycopy"/>
        <w:rPr>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SectionHeading"/>
        <w:rPr>
          <w:rFonts w:ascii="Verdana" w:hAnsi="Verdana"/>
          <w:sz w:val="16"/>
          <w:szCs w:val="16"/>
          <w:lang w:val="pl-PL"/>
        </w:rPr>
      </w:pPr>
    </w:p>
    <w:p w:rsidR="00A30027" w:rsidRPr="00433950" w:rsidRDefault="00A30027">
      <w:pPr>
        <w:pStyle w:val="Bodycopy"/>
        <w:rPr>
          <w:rFonts w:ascii="Verdana" w:hAnsi="Verdana"/>
          <w:sz w:val="16"/>
          <w:szCs w:val="16"/>
          <w:lang w:val="pl-PL"/>
        </w:rPr>
      </w:pPr>
    </w:p>
    <w:p w:rsidR="00A30027" w:rsidRPr="00433950" w:rsidRDefault="00A30027">
      <w:pPr>
        <w:pStyle w:val="Bodycopy"/>
        <w:rPr>
          <w:rFonts w:ascii="Verdana" w:hAnsi="Verdana"/>
          <w:sz w:val="16"/>
          <w:szCs w:val="16"/>
          <w:lang w:val="pl-PL"/>
        </w:rPr>
      </w:pPr>
    </w:p>
    <w:p w:rsidR="00A30027" w:rsidRPr="00433950" w:rsidRDefault="00A30027">
      <w:pPr>
        <w:pStyle w:val="Bodycopy"/>
        <w:rPr>
          <w:rFonts w:ascii="Verdana" w:hAnsi="Verdana"/>
          <w:sz w:val="16"/>
          <w:szCs w:val="16"/>
          <w:lang w:val="pl-PL"/>
        </w:rPr>
      </w:pPr>
    </w:p>
    <w:p w:rsidR="00A30027" w:rsidRPr="00433950" w:rsidRDefault="00A30027">
      <w:pPr>
        <w:pStyle w:val="Bodycopy"/>
        <w:rPr>
          <w:rFonts w:ascii="Verdana" w:hAnsi="Verdana"/>
          <w:sz w:val="16"/>
          <w:szCs w:val="16"/>
          <w:lang w:val="pl-PL"/>
        </w:rPr>
      </w:pPr>
    </w:p>
    <w:p w:rsidR="00A30027" w:rsidRPr="00433950" w:rsidRDefault="00A30027">
      <w:pPr>
        <w:pStyle w:val="Bodycopy"/>
        <w:rPr>
          <w:rFonts w:ascii="Verdana" w:hAnsi="Verdana"/>
          <w:sz w:val="16"/>
          <w:szCs w:val="16"/>
          <w:lang w:val="pl-PL"/>
        </w:rPr>
      </w:pPr>
    </w:p>
    <w:p w:rsidR="00A30027" w:rsidRPr="00433950" w:rsidRDefault="00A30027">
      <w:pPr>
        <w:pStyle w:val="Bodycopy"/>
        <w:rPr>
          <w:rFonts w:ascii="Verdana" w:hAnsi="Verdana"/>
          <w:sz w:val="16"/>
          <w:szCs w:val="16"/>
          <w:lang w:val="pl-PL"/>
        </w:rPr>
        <w:sectPr w:rsidR="00A30027" w:rsidRPr="00433950">
          <w:headerReference w:type="default" r:id="rId14"/>
          <w:footerReference w:type="default" r:id="rId15"/>
          <w:pgSz w:w="12242" w:h="15842" w:code="1"/>
          <w:pgMar w:top="3240" w:right="851" w:bottom="1320" w:left="4536" w:header="0" w:footer="600" w:gutter="0"/>
          <w:cols w:num="2" w:space="284"/>
          <w:docGrid w:linePitch="360"/>
        </w:sectPr>
      </w:pPr>
    </w:p>
    <w:p w:rsidR="00A30027" w:rsidRPr="00433950" w:rsidRDefault="00A30027">
      <w:pPr>
        <w:pStyle w:val="SectionHeading"/>
        <w:rPr>
          <w:rFonts w:ascii="Verdana" w:hAnsi="Verdana"/>
          <w:sz w:val="16"/>
          <w:szCs w:val="16"/>
          <w:lang w:val="pl-PL"/>
        </w:rPr>
      </w:pPr>
      <w:r w:rsidRPr="00433950">
        <w:rPr>
          <w:rFonts w:ascii="Verdana" w:hAnsi="Verdana"/>
          <w:sz w:val="16"/>
          <w:szCs w:val="16"/>
          <w:lang w:val="pl-PL"/>
        </w:rPr>
        <w:lastRenderedPageBreak/>
        <w:t>Microsoft Windows Server System</w:t>
      </w:r>
    </w:p>
    <w:p w:rsidR="00A30027" w:rsidRPr="00433950" w:rsidRDefault="00A30027">
      <w:pPr>
        <w:pStyle w:val="SectionHeading"/>
        <w:rPr>
          <w:rFonts w:ascii="Verdana" w:hAnsi="Verdana"/>
          <w:color w:val="000000"/>
          <w:sz w:val="16"/>
          <w:szCs w:val="16"/>
          <w:lang w:val="pl-PL"/>
        </w:rPr>
      </w:pPr>
      <w:r w:rsidRPr="00433950">
        <w:rPr>
          <w:rFonts w:ascii="Verdana" w:hAnsi="Verdana"/>
          <w:color w:val="000000"/>
          <w:sz w:val="16"/>
          <w:szCs w:val="16"/>
          <w:lang w:val="pl-PL"/>
        </w:rPr>
        <w:t xml:space="preserve">Zintegrowana rodzina serwerów Microsoft Windows Server System™ zaprojektowana jest do obsługi kompleksowych rozwiązań tworzonych na platformie </w:t>
      </w:r>
      <w:r w:rsidR="003C244A" w:rsidRPr="00433950">
        <w:rPr>
          <w:rFonts w:ascii="Verdana" w:hAnsi="Verdana"/>
          <w:color w:val="000000"/>
          <w:sz w:val="16"/>
          <w:szCs w:val="16"/>
          <w:lang w:val="pl-PL"/>
        </w:rPr>
        <w:t>operacyjnej Windows Server™ 2008</w:t>
      </w:r>
      <w:r w:rsidRPr="00433950">
        <w:rPr>
          <w:rFonts w:ascii="Verdana" w:hAnsi="Verdana"/>
          <w:color w:val="000000"/>
          <w:sz w:val="16"/>
          <w:szCs w:val="16"/>
          <w:lang w:val="pl-PL"/>
        </w:rPr>
        <w:t xml:space="preserve">. Stanowi ono infrastrukturę dla inicjatywy </w:t>
      </w:r>
      <w:r w:rsidRPr="00433950">
        <w:rPr>
          <w:rFonts w:ascii="Verdana" w:hAnsi="Verdana"/>
          <w:i/>
          <w:color w:val="000000"/>
          <w:sz w:val="16"/>
          <w:szCs w:val="16"/>
          <w:lang w:val="pl-PL"/>
        </w:rPr>
        <w:t xml:space="preserve">Integrated Innovation </w:t>
      </w:r>
      <w:r w:rsidRPr="00433950">
        <w:rPr>
          <w:rFonts w:ascii="Verdana" w:hAnsi="Verdana"/>
          <w:color w:val="000000"/>
          <w:sz w:val="16"/>
          <w:szCs w:val="16"/>
          <w:lang w:val="pl-PL"/>
        </w:rPr>
        <w:t>— proponowanego przez Microsoft kompleksowego podejścia do tworzenia produktów i rozwiązań, projektowanych pod kątem wzajemnej współpracy oraz bezproblemowej interakcji z innymi danymi i aplikacjami – w obrębie całego środowiska informatycznego przedsiębiorstwa. Taka strategia umożliwia obniżenie kosztów bieżącej działalności, uzyskanie bardziej bezpiecznej i niezawodnej infrastruktury informatycznej oraz zwiększenie potencjału niezbędnego dla dalszego rozwoju przedsiębiorstwa.</w:t>
      </w:r>
    </w:p>
    <w:p w:rsidR="00A30027" w:rsidRPr="00433950" w:rsidRDefault="00A30027">
      <w:pPr>
        <w:pStyle w:val="Bodycopy"/>
        <w:rPr>
          <w:rFonts w:ascii="Verdana" w:hAnsi="Verdana"/>
          <w:sz w:val="16"/>
          <w:szCs w:val="16"/>
          <w:lang w:val="pl-PL"/>
        </w:rPr>
      </w:pPr>
    </w:p>
    <w:p w:rsidR="00A30027" w:rsidRPr="00433950" w:rsidRDefault="00A30027">
      <w:pPr>
        <w:pStyle w:val="Bodycopy"/>
        <w:rPr>
          <w:rFonts w:ascii="Verdana" w:hAnsi="Verdana"/>
          <w:sz w:val="16"/>
          <w:szCs w:val="16"/>
          <w:lang w:val="pl-PL"/>
        </w:rPr>
      </w:pPr>
      <w:r w:rsidRPr="00433950">
        <w:rPr>
          <w:rFonts w:ascii="Verdana" w:hAnsi="Verdana"/>
          <w:color w:val="000000"/>
          <w:sz w:val="16"/>
          <w:szCs w:val="16"/>
          <w:lang w:val="pl-PL"/>
        </w:rPr>
        <w:t xml:space="preserve">Więcej informacji o rodzinie serwerów Windows Server System można uzyskać pod adresem </w:t>
      </w:r>
      <w:hyperlink r:id="rId16" w:history="1">
        <w:r w:rsidRPr="00433950">
          <w:rPr>
            <w:rFonts w:ascii="Verdana" w:hAnsi="Verdana"/>
            <w:color w:val="0000FF"/>
            <w:sz w:val="16"/>
            <w:szCs w:val="16"/>
            <w:u w:val="single"/>
            <w:lang w:val="pl-PL"/>
          </w:rPr>
          <w:t>www.microsoft.com/poland/windowsserversystem</w:t>
        </w:r>
      </w:hyperlink>
    </w:p>
    <w:p w:rsidR="00A30027" w:rsidRPr="00433950" w:rsidRDefault="00A30027">
      <w:pPr>
        <w:pStyle w:val="Bodycopy"/>
        <w:rPr>
          <w:rFonts w:ascii="Verdana" w:hAnsi="Verdana"/>
          <w:sz w:val="16"/>
          <w:szCs w:val="16"/>
          <w:lang w:val="pl-PL"/>
        </w:rPr>
      </w:pPr>
    </w:p>
    <w:p w:rsidR="00A30027" w:rsidRPr="00433950" w:rsidRDefault="00A30027">
      <w:pPr>
        <w:pStyle w:val="Bodycopy"/>
        <w:rPr>
          <w:rFonts w:ascii="Verdana" w:hAnsi="Verdana"/>
          <w:sz w:val="16"/>
          <w:szCs w:val="16"/>
          <w:lang w:val="pl-PL"/>
        </w:rPr>
        <w:sectPr w:rsidR="00A30027" w:rsidRPr="00433950">
          <w:type w:val="continuous"/>
          <w:pgSz w:w="12242" w:h="15842" w:code="1"/>
          <w:pgMar w:top="3240" w:right="851" w:bottom="1320" w:left="4536" w:header="0" w:footer="600" w:gutter="0"/>
          <w:cols w:space="284"/>
          <w:docGrid w:linePitch="360"/>
        </w:sectPr>
      </w:pPr>
    </w:p>
    <w:p w:rsidR="00A30027" w:rsidRPr="00433950" w:rsidRDefault="00A30027">
      <w:pPr>
        <w:pStyle w:val="Bodycopy"/>
        <w:rPr>
          <w:rFonts w:ascii="Verdana" w:hAnsi="Verdana"/>
          <w:sz w:val="16"/>
          <w:szCs w:val="16"/>
          <w:lang w:val="pl-PL"/>
        </w:rPr>
      </w:pPr>
    </w:p>
    <w:sectPr w:rsidR="00A30027" w:rsidRPr="00433950" w:rsidSect="00DD216C">
      <w:type w:val="continuous"/>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A0E" w:rsidRDefault="00FC4A0E">
      <w:r>
        <w:separator/>
      </w:r>
    </w:p>
  </w:endnote>
  <w:endnote w:type="continuationSeparator" w:id="0">
    <w:p w:rsidR="00FC4A0E" w:rsidRDefault="00FC4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27" w:rsidRDefault="00AB69FD">
    <w:pPr>
      <w:pStyle w:val="Footer"/>
      <w:framePr w:wrap="around" w:vAnchor="text" w:hAnchor="margin" w:xAlign="center" w:y="1"/>
      <w:rPr>
        <w:rStyle w:val="PageNumber"/>
      </w:rPr>
    </w:pPr>
    <w:r>
      <w:rPr>
        <w:rStyle w:val="PageNumber"/>
      </w:rPr>
      <w:fldChar w:fldCharType="begin"/>
    </w:r>
    <w:r w:rsidR="00A30027">
      <w:rPr>
        <w:rStyle w:val="PageNumber"/>
      </w:rPr>
      <w:instrText xml:space="preserve">PAGE  </w:instrText>
    </w:r>
    <w:r>
      <w:rPr>
        <w:rStyle w:val="PageNumber"/>
      </w:rPr>
      <w:fldChar w:fldCharType="end"/>
    </w:r>
  </w:p>
  <w:p w:rsidR="00A30027" w:rsidRDefault="00A300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C8" w:rsidRDefault="00C727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C8" w:rsidRDefault="00C727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27" w:rsidRDefault="00AB69FD">
    <w:pPr>
      <w:pStyle w:val="Footer"/>
      <w:framePr w:wrap="around" w:vAnchor="text" w:hAnchor="margin" w:xAlign="center" w:y="1"/>
      <w:rPr>
        <w:rStyle w:val="PageNumber"/>
      </w:rPr>
    </w:pPr>
    <w:r>
      <w:rPr>
        <w:rStyle w:val="PageNumber"/>
      </w:rPr>
      <w:fldChar w:fldCharType="begin"/>
    </w:r>
    <w:r w:rsidR="00A30027">
      <w:rPr>
        <w:rStyle w:val="PageNumber"/>
      </w:rPr>
      <w:instrText xml:space="preserve">PAGE  </w:instrText>
    </w:r>
    <w:r>
      <w:rPr>
        <w:rStyle w:val="PageNumber"/>
      </w:rPr>
      <w:fldChar w:fldCharType="separate"/>
    </w:r>
    <w:r w:rsidR="00C727C8">
      <w:rPr>
        <w:rStyle w:val="PageNumber"/>
        <w:noProof/>
      </w:rPr>
      <w:t>7</w:t>
    </w:r>
    <w:r>
      <w:rPr>
        <w:rStyle w:val="PageNumber"/>
      </w:rPr>
      <w:fldChar w:fldCharType="end"/>
    </w:r>
  </w:p>
  <w:p w:rsidR="00A30027" w:rsidRPr="001A6A0B" w:rsidRDefault="00A30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A0E" w:rsidRDefault="00FC4A0E">
      <w:r>
        <w:separator/>
      </w:r>
    </w:p>
  </w:footnote>
  <w:footnote w:type="continuationSeparator" w:id="0">
    <w:p w:rsidR="00FC4A0E" w:rsidRDefault="00FC4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C8" w:rsidRDefault="00C727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92" w:type="dxa"/>
      <w:tblInd w:w="-860" w:type="dxa"/>
      <w:tblLayout w:type="fixed"/>
      <w:tblCellMar>
        <w:left w:w="0" w:type="dxa"/>
        <w:right w:w="0" w:type="dxa"/>
      </w:tblCellMar>
      <w:tblLook w:val="0000"/>
    </w:tblPr>
    <w:tblGrid>
      <w:gridCol w:w="860"/>
      <w:gridCol w:w="3393"/>
      <w:gridCol w:w="284"/>
      <w:gridCol w:w="6955"/>
    </w:tblGrid>
    <w:tr w:rsidR="00A30027">
      <w:trPr>
        <w:cantSplit/>
        <w:trHeight w:hRule="exact" w:val="1155"/>
      </w:trPr>
      <w:tc>
        <w:tcPr>
          <w:tcW w:w="4253" w:type="dxa"/>
          <w:gridSpan w:val="2"/>
          <w:vMerge w:val="restart"/>
        </w:tcPr>
        <w:p w:rsidR="00A30027" w:rsidRDefault="00772BE8">
          <w:r>
            <w:rPr>
              <w:noProof/>
              <w:lang w:eastAsia="pl-PL"/>
            </w:rPr>
            <w:drawing>
              <wp:inline distT="0" distB="0" distL="0" distR="0">
                <wp:extent cx="2692400" cy="1676400"/>
                <wp:effectExtent l="19050" t="0" r="0" b="0"/>
                <wp:docPr id="2" name="Obraz 1" descr="CEPFiles_picture_IM_Win_Ser_Sys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EPFiles_picture_IM_Win_Ser_Sys_image"/>
                        <pic:cNvPicPr>
                          <a:picLocks noChangeAspect="1" noChangeArrowheads="1"/>
                        </pic:cNvPicPr>
                      </pic:nvPicPr>
                      <pic:blipFill>
                        <a:blip r:embed="rId1"/>
                        <a:srcRect/>
                        <a:stretch>
                          <a:fillRect/>
                        </a:stretch>
                      </pic:blipFill>
                      <pic:spPr bwMode="auto">
                        <a:xfrm>
                          <a:off x="0" y="0"/>
                          <a:ext cx="2692400" cy="1676400"/>
                        </a:xfrm>
                        <a:prstGeom prst="rect">
                          <a:avLst/>
                        </a:prstGeom>
                        <a:noFill/>
                        <a:ln w="9525">
                          <a:noFill/>
                          <a:miter lim="800000"/>
                          <a:headEnd/>
                          <a:tailEnd/>
                        </a:ln>
                      </pic:spPr>
                    </pic:pic>
                  </a:graphicData>
                </a:graphic>
              </wp:inline>
            </w:drawing>
          </w:r>
        </w:p>
      </w:tc>
      <w:tc>
        <w:tcPr>
          <w:tcW w:w="284" w:type="dxa"/>
          <w:vMerge w:val="restart"/>
        </w:tcPr>
        <w:p w:rsidR="00A30027" w:rsidRDefault="00A30027"/>
      </w:tc>
      <w:tc>
        <w:tcPr>
          <w:tcW w:w="6955" w:type="dxa"/>
        </w:tcPr>
        <w:p w:rsidR="00A30027" w:rsidRDefault="00A30027">
          <w:pPr>
            <w:pStyle w:val="StandFirstIntroduction"/>
          </w:pPr>
        </w:p>
      </w:tc>
    </w:tr>
    <w:tr w:rsidR="00A30027">
      <w:trPr>
        <w:cantSplit/>
        <w:trHeight w:val="768"/>
      </w:trPr>
      <w:tc>
        <w:tcPr>
          <w:tcW w:w="4253" w:type="dxa"/>
          <w:gridSpan w:val="2"/>
          <w:vMerge/>
        </w:tcPr>
        <w:p w:rsidR="00A30027" w:rsidRDefault="00A30027"/>
      </w:tc>
      <w:tc>
        <w:tcPr>
          <w:tcW w:w="284" w:type="dxa"/>
          <w:vMerge/>
        </w:tcPr>
        <w:p w:rsidR="00A30027" w:rsidRDefault="00A30027"/>
      </w:tc>
      <w:tc>
        <w:tcPr>
          <w:tcW w:w="6955" w:type="dxa"/>
          <w:vAlign w:val="bottom"/>
        </w:tcPr>
        <w:p w:rsidR="00A30027" w:rsidRDefault="00A30027">
          <w:pPr>
            <w:pStyle w:val="Casestudydescription"/>
          </w:pPr>
          <w:r>
            <w:t>Analiza wdrożenia u klienta</w:t>
          </w:r>
        </w:p>
      </w:tc>
    </w:tr>
    <w:tr w:rsidR="00A30027">
      <w:trPr>
        <w:cantSplit/>
        <w:trHeight w:val="1248"/>
      </w:trPr>
      <w:tc>
        <w:tcPr>
          <w:tcW w:w="4253" w:type="dxa"/>
          <w:gridSpan w:val="2"/>
          <w:vMerge/>
        </w:tcPr>
        <w:p w:rsidR="00A30027" w:rsidRDefault="00A30027"/>
      </w:tc>
      <w:tc>
        <w:tcPr>
          <w:tcW w:w="284" w:type="dxa"/>
        </w:tcPr>
        <w:p w:rsidR="00A30027" w:rsidRDefault="00AB69FD">
          <w:r w:rsidRPr="00AB69FD">
            <w:rPr>
              <w:sz w:val="20"/>
            </w:rPr>
            <w:pict>
              <v:shapetype id="_x0000_t202" coordsize="21600,21600" o:spt="202" path="m,l,21600r21600,l21600,xe">
                <v:stroke joinstyle="miter"/>
                <v:path gradientshapeok="t" o:connecttype="rect"/>
              </v:shapetype>
              <v:shape id="Green501" o:spid="_x0000_s2049" type="#_x0000_t202" style="position:absolute;margin-left:-.55pt;margin-top:11.65pt;width:401pt;height:24.5pt;z-index:-251660800;mso-wrap-edited:f;mso-position-horizontal-relative:page;mso-position-vertical-relative:page" wrapcoords="-92 0 -92 21392 21600 21392 21600 0 -92 0" fillcolor="silver" stroked="f">
                <v:textbox style="mso-next-textbox:#Green501" inset="0,0,0,0">
                  <w:txbxContent>
                    <w:p w:rsidR="00A30027" w:rsidRDefault="00A30027"/>
                  </w:txbxContent>
                </v:textbox>
                <w10:wrap anchorx="page" anchory="page"/>
                <w10:anchorlock/>
              </v:shape>
            </w:pict>
          </w:r>
        </w:p>
      </w:tc>
      <w:tc>
        <w:tcPr>
          <w:tcW w:w="6955" w:type="dxa"/>
        </w:tcPr>
        <w:p w:rsidR="00A30027" w:rsidRDefault="00A30027">
          <w:pPr>
            <w:spacing w:after="80"/>
            <w:jc w:val="right"/>
            <w:rPr>
              <w:color w:val="FF9900"/>
            </w:rPr>
          </w:pPr>
        </w:p>
      </w:tc>
    </w:tr>
    <w:tr w:rsidR="00A30027">
      <w:trPr>
        <w:cantSplit/>
        <w:trHeight w:hRule="exact" w:val="1505"/>
      </w:trPr>
      <w:tc>
        <w:tcPr>
          <w:tcW w:w="860" w:type="dxa"/>
          <w:vMerge w:val="restart"/>
        </w:tcPr>
        <w:p w:rsidR="00A30027" w:rsidRDefault="00A30027"/>
      </w:tc>
      <w:tc>
        <w:tcPr>
          <w:tcW w:w="3393" w:type="dxa"/>
          <w:vMerge w:val="restart"/>
        </w:tcPr>
        <w:p w:rsidR="00A30027" w:rsidRDefault="00A30027">
          <w:pPr>
            <w:rPr>
              <w:sz w:val="8"/>
            </w:rPr>
          </w:pPr>
        </w:p>
        <w:p w:rsidR="00A30027" w:rsidRDefault="00A30027"/>
        <w:p w:rsidR="00A30027" w:rsidRDefault="00A30027"/>
        <w:p w:rsidR="00A30027" w:rsidRDefault="00A30027"/>
      </w:tc>
      <w:tc>
        <w:tcPr>
          <w:tcW w:w="284" w:type="dxa"/>
          <w:tcBorders>
            <w:left w:val="nil"/>
          </w:tcBorders>
        </w:tcPr>
        <w:p w:rsidR="00A30027" w:rsidRDefault="00AB69FD">
          <w:r w:rsidRPr="00AB69FD">
            <w:rPr>
              <w:sz w:val="20"/>
            </w:rPr>
            <w:pict>
              <v:shape id="GreenFade1" o:spid="_x0000_s2053" type="#_x0000_t202" style="position:absolute;margin-left:-.55pt;margin-top:-158.6pt;width:401.1pt;height:107.75pt;z-index:-251656704;mso-wrap-edited:f;mso-position-horizontal-relative:page;mso-position-vertical-relative:page" wrapcoords="-92 0 -92 21392 21600 21392 21600 0 -92 0" fillcolor="#999" stroked="f">
                <v:fill color2="fill lighten(65)" angle="-90" method="linear sigma" focus="100%" type="gradient"/>
                <v:textbox style="mso-next-textbox:#GreenFade1" inset="0,0,0,0">
                  <w:txbxContent>
                    <w:p w:rsidR="00A30027" w:rsidRDefault="00A30027"/>
                  </w:txbxContent>
                </v:textbox>
                <w10:wrap anchorx="page" anchory="page"/>
                <w10:anchorlock/>
              </v:shape>
            </w:pict>
          </w:r>
        </w:p>
      </w:tc>
      <w:tc>
        <w:tcPr>
          <w:tcW w:w="6955" w:type="dxa"/>
        </w:tcPr>
        <w:p w:rsidR="00A30027" w:rsidRPr="00837518" w:rsidRDefault="00862A46" w:rsidP="007C1028">
          <w:pPr>
            <w:pStyle w:val="DocumentTitle"/>
            <w:spacing w:line="240" w:lineRule="auto"/>
            <w:rPr>
              <w:rFonts w:cs="Arial"/>
              <w:sz w:val="20"/>
              <w:szCs w:val="20"/>
              <w:lang w:val="pl-PL"/>
            </w:rPr>
          </w:pPr>
          <w:r w:rsidRPr="00837518">
            <w:rPr>
              <w:rFonts w:cs="Arial"/>
              <w:sz w:val="20"/>
              <w:szCs w:val="20"/>
              <w:lang w:val="pl-PL"/>
            </w:rPr>
            <w:t xml:space="preserve">Urząd Rejestracji Produktów Leczniczych, Wyrobów Medycznych </w:t>
          </w:r>
          <w:r w:rsidRPr="00837518">
            <w:rPr>
              <w:rFonts w:cs="Arial"/>
              <w:sz w:val="20"/>
              <w:szCs w:val="20"/>
              <w:lang w:val="pl-PL"/>
            </w:rPr>
            <w:br/>
            <w:t xml:space="preserve">i Produktów Biobójczych </w:t>
          </w:r>
          <w:r w:rsidR="00D97090" w:rsidRPr="00837518">
            <w:rPr>
              <w:rFonts w:cs="Arial"/>
              <w:sz w:val="20"/>
              <w:szCs w:val="20"/>
              <w:lang w:val="pl-PL"/>
            </w:rPr>
            <w:t xml:space="preserve">wspólnie z firmą Transition Technologies zbudował </w:t>
          </w:r>
          <w:r w:rsidR="007C1028" w:rsidRPr="00837518">
            <w:rPr>
              <w:rFonts w:cs="Arial"/>
              <w:sz w:val="20"/>
              <w:szCs w:val="20"/>
              <w:lang w:val="pl-PL"/>
            </w:rPr>
            <w:t>system</w:t>
          </w:r>
          <w:r w:rsidRPr="00837518">
            <w:rPr>
              <w:rFonts w:cs="Arial"/>
              <w:sz w:val="20"/>
              <w:szCs w:val="20"/>
              <w:lang w:val="pl-PL"/>
            </w:rPr>
            <w:t xml:space="preserve"> do gromadzenia informacji, oceny oraz</w:t>
          </w:r>
          <w:r w:rsidR="00D97090" w:rsidRPr="00837518">
            <w:rPr>
              <w:rFonts w:cs="Arial"/>
              <w:sz w:val="20"/>
              <w:szCs w:val="20"/>
              <w:lang w:val="pl-PL"/>
            </w:rPr>
            <w:t xml:space="preserve"> dopuszczania do obrotu substancji </w:t>
          </w:r>
          <w:r w:rsidR="00014935" w:rsidRPr="00837518">
            <w:rPr>
              <w:rFonts w:cs="Arial"/>
              <w:sz w:val="20"/>
              <w:szCs w:val="20"/>
              <w:lang w:val="pl-PL"/>
            </w:rPr>
            <w:t>biobójczych i opartych na nich produkt</w:t>
          </w:r>
          <w:r w:rsidR="005A2D3B" w:rsidRPr="00837518">
            <w:rPr>
              <w:rFonts w:cs="Arial"/>
              <w:sz w:val="20"/>
              <w:szCs w:val="20"/>
              <w:lang w:val="pl-PL"/>
            </w:rPr>
            <w:t>ów</w:t>
          </w:r>
          <w:r w:rsidRPr="00837518">
            <w:rPr>
              <w:rFonts w:cs="Arial"/>
              <w:sz w:val="20"/>
              <w:szCs w:val="20"/>
              <w:lang w:val="pl-PL"/>
            </w:rPr>
            <w:t>. System, który ma charakter unikatowy w skali Unii Europejskiej</w:t>
          </w:r>
          <w:r w:rsidR="005A2D3B" w:rsidRPr="00837518">
            <w:rPr>
              <w:rFonts w:cs="Arial"/>
              <w:sz w:val="20"/>
              <w:szCs w:val="20"/>
              <w:lang w:val="pl-PL"/>
            </w:rPr>
            <w:t>,</w:t>
          </w:r>
          <w:r w:rsidRPr="00837518">
            <w:rPr>
              <w:rFonts w:cs="Arial"/>
              <w:sz w:val="20"/>
              <w:szCs w:val="20"/>
              <w:lang w:val="pl-PL"/>
            </w:rPr>
            <w:t xml:space="preserve"> </w:t>
          </w:r>
          <w:r w:rsidR="00D97090" w:rsidRPr="00837518">
            <w:rPr>
              <w:rFonts w:cs="Arial"/>
              <w:sz w:val="20"/>
              <w:szCs w:val="20"/>
              <w:lang w:val="pl-PL"/>
            </w:rPr>
            <w:t xml:space="preserve">wykorzystuje </w:t>
          </w:r>
          <w:r w:rsidR="000143A0" w:rsidRPr="00837518">
            <w:rPr>
              <w:rFonts w:cs="Arial"/>
              <w:sz w:val="20"/>
              <w:szCs w:val="20"/>
              <w:lang w:val="pl-PL"/>
            </w:rPr>
            <w:t xml:space="preserve">wiele różnych </w:t>
          </w:r>
          <w:r w:rsidR="00014935" w:rsidRPr="00837518">
            <w:rPr>
              <w:rFonts w:cs="Arial"/>
              <w:sz w:val="20"/>
              <w:szCs w:val="20"/>
              <w:lang w:val="pl-PL"/>
            </w:rPr>
            <w:t>technolo</w:t>
          </w:r>
          <w:r w:rsidR="000143A0" w:rsidRPr="00837518">
            <w:rPr>
              <w:rFonts w:cs="Arial"/>
              <w:sz w:val="20"/>
              <w:szCs w:val="20"/>
              <w:lang w:val="pl-PL"/>
            </w:rPr>
            <w:t>gii</w:t>
          </w:r>
          <w:r w:rsidR="00D97090" w:rsidRPr="00837518">
            <w:rPr>
              <w:rFonts w:cs="Arial"/>
              <w:sz w:val="20"/>
              <w:szCs w:val="20"/>
              <w:lang w:val="pl-PL"/>
            </w:rPr>
            <w:t xml:space="preserve"> </w:t>
          </w:r>
          <w:r w:rsidR="000258EC" w:rsidRPr="00837518">
            <w:rPr>
              <w:rFonts w:cs="Arial"/>
              <w:sz w:val="20"/>
              <w:szCs w:val="20"/>
              <w:lang w:val="pl-PL"/>
            </w:rPr>
            <w:t>Microsoft</w:t>
          </w:r>
          <w:r w:rsidR="000258EC" w:rsidRPr="00837518">
            <w:rPr>
              <w:rFonts w:cs="Arial"/>
              <w:sz w:val="20"/>
              <w:szCs w:val="20"/>
              <w:vertAlign w:val="superscript"/>
              <w:lang w:val="pl-PL"/>
            </w:rPr>
            <w:t>®</w:t>
          </w:r>
          <w:r w:rsidR="00D97090" w:rsidRPr="00837518">
            <w:rPr>
              <w:rFonts w:cs="Arial"/>
              <w:sz w:val="20"/>
              <w:szCs w:val="20"/>
              <w:lang w:val="pl-PL"/>
            </w:rPr>
            <w:t>.</w:t>
          </w:r>
          <w:r w:rsidR="00837518">
            <w:rPr>
              <w:rFonts w:cs="Arial"/>
              <w:sz w:val="20"/>
              <w:szCs w:val="20"/>
              <w:lang w:val="pl-PL"/>
            </w:rPr>
            <w:t xml:space="preserve"> Projekt został w całości sfinansowany z funduszy Unii Europejskiej.</w:t>
          </w:r>
        </w:p>
      </w:tc>
    </w:tr>
    <w:tr w:rsidR="00A30027">
      <w:trPr>
        <w:cantSplit/>
        <w:trHeight w:val="128"/>
      </w:trPr>
      <w:tc>
        <w:tcPr>
          <w:tcW w:w="860" w:type="dxa"/>
          <w:vMerge/>
        </w:tcPr>
        <w:p w:rsidR="00A30027" w:rsidRDefault="00A30027"/>
      </w:tc>
      <w:tc>
        <w:tcPr>
          <w:tcW w:w="3393" w:type="dxa"/>
          <w:vMerge/>
          <w:tcBorders>
            <w:top w:val="single" w:sz="4" w:space="0" w:color="auto"/>
          </w:tcBorders>
        </w:tcPr>
        <w:p w:rsidR="00A30027" w:rsidRDefault="00A30027"/>
      </w:tc>
      <w:tc>
        <w:tcPr>
          <w:tcW w:w="284" w:type="dxa"/>
          <w:tcBorders>
            <w:left w:val="nil"/>
          </w:tcBorders>
        </w:tcPr>
        <w:p w:rsidR="00A30027" w:rsidRDefault="00A30027">
          <w:pPr>
            <w:rPr>
              <w:sz w:val="20"/>
            </w:rPr>
          </w:pPr>
        </w:p>
      </w:tc>
      <w:tc>
        <w:tcPr>
          <w:tcW w:w="6955" w:type="dxa"/>
          <w:vAlign w:val="bottom"/>
        </w:tcPr>
        <w:p w:rsidR="00A30027" w:rsidRDefault="00A30027">
          <w:pPr>
            <w:pStyle w:val="StandFirstIntroduction"/>
          </w:pPr>
        </w:p>
      </w:tc>
    </w:tr>
  </w:tbl>
  <w:p w:rsidR="00A30027" w:rsidRDefault="00A30027">
    <w:pPr>
      <w:pStyle w:val="Header"/>
      <w:rPr>
        <w:sz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C8" w:rsidRDefault="00C727C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27" w:rsidRDefault="00AB69FD">
    <w:pPr>
      <w:pStyle w:val="Header"/>
    </w:pPr>
    <w:r w:rsidRPr="00AB69FD">
      <w:rPr>
        <w:noProof/>
        <w:sz w:val="20"/>
        <w:lang w:val="en-US" w:bidi="ar-SA"/>
      </w:rPr>
      <w:pict>
        <v:line id="ThinGreenLine" o:spid="_x0000_s2052" style="position:absolute;left:0;text-align:left;flip:x;z-index:-251657728;mso-position-horizontal-relative:page;mso-position-vertical-relative:page" from="212.35pt,161.6pt" to="212.35pt,725.6pt" strokecolor="#999">
          <w10:wrap anchorx="page" anchory="page"/>
        </v:line>
      </w:pict>
    </w:r>
    <w:r w:rsidRPr="00AB69FD">
      <w:rPr>
        <w:noProof/>
        <w:sz w:val="20"/>
        <w:lang w:val="en-US" w:bidi="ar-SA"/>
      </w:rPr>
      <w:pict>
        <v:shapetype id="_x0000_t202" coordsize="21600,21600" o:spt="202" path="m,l,21600r21600,l21600,xe">
          <v:stroke joinstyle="miter"/>
          <v:path gradientshapeok="t" o:connecttype="rect"/>
        </v:shapetype>
        <v:shape id="Green502" o:spid="_x0000_s2051" type="#_x0000_t202" style="position:absolute;left:0;text-align:left;margin-left:-.05pt;margin-top:41.8pt;width:612.1pt;height:24pt;z-index:-251658752;mso-wrap-edited:f;mso-position-horizontal-relative:page;mso-position-vertical-relative:page" wrapcoords="-92 0 -92 21392 21600 21392 21600 0 -92 0" fillcolor="silver" stroked="f">
          <v:textbox style="mso-next-textbox:#Green502" inset="0,0,0,0">
            <w:txbxContent>
              <w:p w:rsidR="00A30027" w:rsidRDefault="00A30027"/>
            </w:txbxContent>
          </v:textbox>
          <w10:wrap anchorx="page" anchory="page"/>
          <w10:anchorlock/>
        </v:shape>
      </w:pict>
    </w:r>
    <w:r w:rsidRPr="00AB69FD">
      <w:rPr>
        <w:noProof/>
        <w:sz w:val="20"/>
        <w:lang w:val="en-US" w:bidi="ar-SA"/>
      </w:rPr>
      <w:pict>
        <v:shape id="GreenFade2" o:spid="_x0000_s2050" type="#_x0000_t202" style="position:absolute;left:0;text-align:left;margin-left:0;margin-top:-.05pt;width:612.1pt;height:42pt;z-index:-251659776;mso-wrap-edited:f;mso-position-horizontal-relative:page;mso-position-vertical-relative:page" wrapcoords="-92 0 -92 21392 21600 21392 21600 0 -92 0" fillcolor="#999" stroked="f">
          <v:fill color2="fill lighten(65)" angle="-90" method="linear sigma" focus="100%" type="gradient"/>
          <v:textbox style="mso-next-textbox:#GreenFade2" inset="0,0,0,0">
            <w:txbxContent>
              <w:p w:rsidR="00A30027" w:rsidRDefault="00A30027"/>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2B9230F"/>
    <w:multiLevelType w:val="hybridMultilevel"/>
    <w:tmpl w:val="74543276"/>
    <w:lvl w:ilvl="0" w:tplc="04150001">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2">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441A16C4"/>
    <w:lvl w:ilvl="0" w:tplc="FE06C9A4">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B02199"/>
    <w:multiLevelType w:val="hybridMultilevel"/>
    <w:tmpl w:val="1FA08D52"/>
    <w:lvl w:ilvl="0" w:tplc="8B12C076">
      <w:start w:val="1"/>
      <w:numFmt w:val="bullet"/>
      <w:lvlRestart w:val="0"/>
      <w:lvlText w:val=""/>
      <w:lvlJc w:val="left"/>
      <w:pPr>
        <w:tabs>
          <w:tab w:val="num" w:pos="170"/>
        </w:tabs>
        <w:ind w:left="170" w:hanging="170"/>
      </w:pPr>
      <w:rPr>
        <w:rFonts w:ascii="Wingdings" w:hAnsi="Wingdings" w:hint="default"/>
        <w:color w:val="999999"/>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AC6885"/>
    <w:multiLevelType w:val="hybridMultilevel"/>
    <w:tmpl w:val="2F6A4342"/>
    <w:lvl w:ilvl="0" w:tplc="E0D8448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F333C"/>
    <w:multiLevelType w:val="hybridMultilevel"/>
    <w:tmpl w:val="661CAF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C40704E"/>
    <w:multiLevelType w:val="hybridMultilevel"/>
    <w:tmpl w:val="4042B7D8"/>
    <w:lvl w:ilvl="0" w:tplc="FFFFFFFF">
      <w:start w:val="1"/>
      <w:numFmt w:val="bullet"/>
      <w:lvlText w:val=""/>
      <w:lvlJc w:val="left"/>
      <w:pPr>
        <w:tabs>
          <w:tab w:val="num" w:pos="768"/>
        </w:tabs>
        <w:ind w:left="768" w:hanging="360"/>
      </w:pPr>
      <w:rPr>
        <w:rFonts w:ascii="Symbol" w:hAnsi="Symbol" w:hint="default"/>
      </w:rPr>
    </w:lvl>
    <w:lvl w:ilvl="1" w:tplc="FFFFFFFF" w:tentative="1">
      <w:start w:val="1"/>
      <w:numFmt w:val="bullet"/>
      <w:lvlText w:val="o"/>
      <w:lvlJc w:val="left"/>
      <w:pPr>
        <w:tabs>
          <w:tab w:val="num" w:pos="1488"/>
        </w:tabs>
        <w:ind w:left="1488" w:hanging="360"/>
      </w:pPr>
      <w:rPr>
        <w:rFonts w:ascii="Courier New" w:hAnsi="Courier New" w:cs="Courier New" w:hint="default"/>
      </w:rPr>
    </w:lvl>
    <w:lvl w:ilvl="2" w:tplc="FFFFFFFF" w:tentative="1">
      <w:start w:val="1"/>
      <w:numFmt w:val="bullet"/>
      <w:lvlText w:val=""/>
      <w:lvlJc w:val="left"/>
      <w:pPr>
        <w:tabs>
          <w:tab w:val="num" w:pos="2208"/>
        </w:tabs>
        <w:ind w:left="2208" w:hanging="360"/>
      </w:pPr>
      <w:rPr>
        <w:rFonts w:ascii="Wingdings" w:hAnsi="Wingdings" w:hint="default"/>
      </w:rPr>
    </w:lvl>
    <w:lvl w:ilvl="3" w:tplc="FFFFFFFF" w:tentative="1">
      <w:start w:val="1"/>
      <w:numFmt w:val="bullet"/>
      <w:lvlText w:val=""/>
      <w:lvlJc w:val="left"/>
      <w:pPr>
        <w:tabs>
          <w:tab w:val="num" w:pos="2928"/>
        </w:tabs>
        <w:ind w:left="2928" w:hanging="360"/>
      </w:pPr>
      <w:rPr>
        <w:rFonts w:ascii="Symbol" w:hAnsi="Symbol" w:hint="default"/>
      </w:rPr>
    </w:lvl>
    <w:lvl w:ilvl="4" w:tplc="FFFFFFFF" w:tentative="1">
      <w:start w:val="1"/>
      <w:numFmt w:val="bullet"/>
      <w:lvlText w:val="o"/>
      <w:lvlJc w:val="left"/>
      <w:pPr>
        <w:tabs>
          <w:tab w:val="num" w:pos="3648"/>
        </w:tabs>
        <w:ind w:left="3648" w:hanging="360"/>
      </w:pPr>
      <w:rPr>
        <w:rFonts w:ascii="Courier New" w:hAnsi="Courier New" w:cs="Courier New" w:hint="default"/>
      </w:rPr>
    </w:lvl>
    <w:lvl w:ilvl="5" w:tplc="FFFFFFFF" w:tentative="1">
      <w:start w:val="1"/>
      <w:numFmt w:val="bullet"/>
      <w:lvlText w:val=""/>
      <w:lvlJc w:val="left"/>
      <w:pPr>
        <w:tabs>
          <w:tab w:val="num" w:pos="4368"/>
        </w:tabs>
        <w:ind w:left="4368" w:hanging="360"/>
      </w:pPr>
      <w:rPr>
        <w:rFonts w:ascii="Wingdings" w:hAnsi="Wingdings" w:hint="default"/>
      </w:rPr>
    </w:lvl>
    <w:lvl w:ilvl="6" w:tplc="FFFFFFFF" w:tentative="1">
      <w:start w:val="1"/>
      <w:numFmt w:val="bullet"/>
      <w:lvlText w:val=""/>
      <w:lvlJc w:val="left"/>
      <w:pPr>
        <w:tabs>
          <w:tab w:val="num" w:pos="5088"/>
        </w:tabs>
        <w:ind w:left="5088" w:hanging="360"/>
      </w:pPr>
      <w:rPr>
        <w:rFonts w:ascii="Symbol" w:hAnsi="Symbol" w:hint="default"/>
      </w:rPr>
    </w:lvl>
    <w:lvl w:ilvl="7" w:tplc="FFFFFFFF" w:tentative="1">
      <w:start w:val="1"/>
      <w:numFmt w:val="bullet"/>
      <w:lvlText w:val="o"/>
      <w:lvlJc w:val="left"/>
      <w:pPr>
        <w:tabs>
          <w:tab w:val="num" w:pos="5808"/>
        </w:tabs>
        <w:ind w:left="5808" w:hanging="360"/>
      </w:pPr>
      <w:rPr>
        <w:rFonts w:ascii="Courier New" w:hAnsi="Courier New" w:cs="Courier New" w:hint="default"/>
      </w:rPr>
    </w:lvl>
    <w:lvl w:ilvl="8" w:tplc="FFFFFFFF" w:tentative="1">
      <w:start w:val="1"/>
      <w:numFmt w:val="bullet"/>
      <w:lvlText w:val=""/>
      <w:lvlJc w:val="left"/>
      <w:pPr>
        <w:tabs>
          <w:tab w:val="num" w:pos="6528"/>
        </w:tabs>
        <w:ind w:left="6528" w:hanging="360"/>
      </w:pPr>
      <w:rPr>
        <w:rFonts w:ascii="Wingdings" w:hAnsi="Wingdings" w:hint="default"/>
      </w:rPr>
    </w:lvl>
  </w:abstractNum>
  <w:abstractNum w:abstractNumId="8">
    <w:nsid w:val="248D757D"/>
    <w:multiLevelType w:val="hybridMultilevel"/>
    <w:tmpl w:val="F5EC0E4C"/>
    <w:lvl w:ilvl="0" w:tplc="23860DCC">
      <w:start w:val="1"/>
      <w:numFmt w:val="bullet"/>
      <w:lvlRestart w:val="0"/>
      <w:lvlText w:val=""/>
      <w:lvlJc w:val="left"/>
      <w:pPr>
        <w:tabs>
          <w:tab w:val="num" w:pos="170"/>
        </w:tabs>
        <w:ind w:left="170" w:hanging="170"/>
      </w:pPr>
      <w:rPr>
        <w:rFonts w:ascii="Wingdings" w:hAnsi="Wingdings" w:cs="Courier New" w:hint="default"/>
        <w:color w:val="666666"/>
        <w:sz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9332279"/>
    <w:multiLevelType w:val="hybridMultilevel"/>
    <w:tmpl w:val="4AFC0B00"/>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3140D9"/>
    <w:multiLevelType w:val="hybridMultilevel"/>
    <w:tmpl w:val="F0BACB6A"/>
    <w:lvl w:ilvl="0" w:tplc="3B78D23C">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FE4487"/>
    <w:multiLevelType w:val="singleLevel"/>
    <w:tmpl w:val="86EEE6A8"/>
    <w:lvl w:ilvl="0">
      <w:start w:val="1"/>
      <w:numFmt w:val="decimal"/>
      <w:pStyle w:val="TOC2"/>
      <w:lvlText w:val="%1."/>
      <w:lvlJc w:val="left"/>
      <w:pPr>
        <w:tabs>
          <w:tab w:val="num" w:pos="360"/>
        </w:tabs>
        <w:ind w:left="360" w:hanging="360"/>
      </w:pPr>
    </w:lvl>
  </w:abstractNum>
  <w:abstractNum w:abstractNumId="12">
    <w:nsid w:val="4962685B"/>
    <w:multiLevelType w:val="hybridMultilevel"/>
    <w:tmpl w:val="805CD084"/>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DE810A5"/>
    <w:multiLevelType w:val="hybridMultilevel"/>
    <w:tmpl w:val="95EE37B8"/>
    <w:lvl w:ilvl="0" w:tplc="4E4C2016">
      <w:start w:val="1"/>
      <w:numFmt w:val="bullet"/>
      <w:lvlText w:val=""/>
      <w:lvlJc w:val="left"/>
      <w:pPr>
        <w:tabs>
          <w:tab w:val="num" w:pos="0"/>
        </w:tabs>
        <w:ind w:left="0" w:firstLine="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5">
    <w:nsid w:val="4F147D09"/>
    <w:multiLevelType w:val="hybridMultilevel"/>
    <w:tmpl w:val="0512C59C"/>
    <w:lvl w:ilvl="0" w:tplc="CB147B1A">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552471"/>
    <w:multiLevelType w:val="hybridMultilevel"/>
    <w:tmpl w:val="83863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7900A2C"/>
    <w:multiLevelType w:val="multilevel"/>
    <w:tmpl w:val="E51A9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D277D68"/>
    <w:multiLevelType w:val="hybridMultilevel"/>
    <w:tmpl w:val="94E6AC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20">
    <w:nsid w:val="609A440E"/>
    <w:multiLevelType w:val="multilevel"/>
    <w:tmpl w:val="441A16C4"/>
    <w:lvl w:ilvl="0">
      <w:start w:val="1"/>
      <w:numFmt w:val="bullet"/>
      <w:lvlRestart w:val="0"/>
      <w:lvlText w:val=""/>
      <w:lvlJc w:val="left"/>
      <w:pPr>
        <w:tabs>
          <w:tab w:val="num" w:pos="170"/>
        </w:tabs>
        <w:ind w:left="170" w:hanging="170"/>
      </w:pPr>
      <w:rPr>
        <w:rFonts w:ascii="Wingdings" w:hAnsi="Wingdings" w:hint="default"/>
        <w:color w:val="999999"/>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16D55C8"/>
    <w:multiLevelType w:val="hybridMultilevel"/>
    <w:tmpl w:val="E820992E"/>
    <w:lvl w:ilvl="0" w:tplc="A5424F8C">
      <w:start w:val="1"/>
      <w:numFmt w:val="bullet"/>
      <w:pStyle w:val="StylBulletVerdana6ptInterliniapojedyncze"/>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2CD0D09"/>
    <w:multiLevelType w:val="hybridMultilevel"/>
    <w:tmpl w:val="6A768F74"/>
    <w:lvl w:ilvl="0" w:tplc="23860DCC">
      <w:start w:val="1"/>
      <w:numFmt w:val="bullet"/>
      <w:lvlRestart w:val="0"/>
      <w:lvlText w:val=""/>
      <w:lvlJc w:val="left"/>
      <w:pPr>
        <w:tabs>
          <w:tab w:val="num" w:pos="170"/>
        </w:tabs>
        <w:ind w:left="170" w:hanging="170"/>
      </w:pPr>
      <w:rPr>
        <w:rFonts w:ascii="Wingdings" w:hAnsi="Wingdings" w:cs="Courier New" w:hint="default"/>
        <w:color w:val="666666"/>
        <w:sz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DAC371A"/>
    <w:multiLevelType w:val="hybridMultilevel"/>
    <w:tmpl w:val="1BB67996"/>
    <w:lvl w:ilvl="0" w:tplc="04150005">
      <w:start w:val="1"/>
      <w:numFmt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DCE19DD"/>
    <w:multiLevelType w:val="hybridMultilevel"/>
    <w:tmpl w:val="00A63542"/>
    <w:lvl w:ilvl="0" w:tplc="FFFFFFFF">
      <w:start w:val="1"/>
      <w:numFmt w:val="bullet"/>
      <w:lvlText w:val=""/>
      <w:lvlJc w:val="left"/>
      <w:pPr>
        <w:tabs>
          <w:tab w:val="num" w:pos="768"/>
        </w:tabs>
        <w:ind w:left="768" w:hanging="360"/>
      </w:pPr>
      <w:rPr>
        <w:rFonts w:ascii="Symbol" w:hAnsi="Symbol" w:hint="default"/>
        <w:color w:val="auto"/>
      </w:rPr>
    </w:lvl>
    <w:lvl w:ilvl="1" w:tplc="FFFFFFFF" w:tentative="1">
      <w:start w:val="1"/>
      <w:numFmt w:val="bullet"/>
      <w:lvlText w:val="o"/>
      <w:lvlJc w:val="left"/>
      <w:pPr>
        <w:tabs>
          <w:tab w:val="num" w:pos="1488"/>
        </w:tabs>
        <w:ind w:left="1488" w:hanging="360"/>
      </w:pPr>
      <w:rPr>
        <w:rFonts w:ascii="Courier New" w:hAnsi="Courier New" w:cs="Courier New" w:hint="default"/>
      </w:rPr>
    </w:lvl>
    <w:lvl w:ilvl="2" w:tplc="FFFFFFFF" w:tentative="1">
      <w:start w:val="1"/>
      <w:numFmt w:val="bullet"/>
      <w:lvlText w:val=""/>
      <w:lvlJc w:val="left"/>
      <w:pPr>
        <w:tabs>
          <w:tab w:val="num" w:pos="2208"/>
        </w:tabs>
        <w:ind w:left="2208" w:hanging="360"/>
      </w:pPr>
      <w:rPr>
        <w:rFonts w:ascii="Wingdings" w:hAnsi="Wingdings" w:hint="default"/>
      </w:rPr>
    </w:lvl>
    <w:lvl w:ilvl="3" w:tplc="FFFFFFFF" w:tentative="1">
      <w:start w:val="1"/>
      <w:numFmt w:val="bullet"/>
      <w:lvlText w:val=""/>
      <w:lvlJc w:val="left"/>
      <w:pPr>
        <w:tabs>
          <w:tab w:val="num" w:pos="2928"/>
        </w:tabs>
        <w:ind w:left="2928" w:hanging="360"/>
      </w:pPr>
      <w:rPr>
        <w:rFonts w:ascii="Symbol" w:hAnsi="Symbol" w:hint="default"/>
      </w:rPr>
    </w:lvl>
    <w:lvl w:ilvl="4" w:tplc="FFFFFFFF" w:tentative="1">
      <w:start w:val="1"/>
      <w:numFmt w:val="bullet"/>
      <w:lvlText w:val="o"/>
      <w:lvlJc w:val="left"/>
      <w:pPr>
        <w:tabs>
          <w:tab w:val="num" w:pos="3648"/>
        </w:tabs>
        <w:ind w:left="3648" w:hanging="360"/>
      </w:pPr>
      <w:rPr>
        <w:rFonts w:ascii="Courier New" w:hAnsi="Courier New" w:cs="Courier New" w:hint="default"/>
      </w:rPr>
    </w:lvl>
    <w:lvl w:ilvl="5" w:tplc="FFFFFFFF" w:tentative="1">
      <w:start w:val="1"/>
      <w:numFmt w:val="bullet"/>
      <w:lvlText w:val=""/>
      <w:lvlJc w:val="left"/>
      <w:pPr>
        <w:tabs>
          <w:tab w:val="num" w:pos="4368"/>
        </w:tabs>
        <w:ind w:left="4368" w:hanging="360"/>
      </w:pPr>
      <w:rPr>
        <w:rFonts w:ascii="Wingdings" w:hAnsi="Wingdings" w:hint="default"/>
      </w:rPr>
    </w:lvl>
    <w:lvl w:ilvl="6" w:tplc="FFFFFFFF" w:tentative="1">
      <w:start w:val="1"/>
      <w:numFmt w:val="bullet"/>
      <w:lvlText w:val=""/>
      <w:lvlJc w:val="left"/>
      <w:pPr>
        <w:tabs>
          <w:tab w:val="num" w:pos="5088"/>
        </w:tabs>
        <w:ind w:left="5088" w:hanging="360"/>
      </w:pPr>
      <w:rPr>
        <w:rFonts w:ascii="Symbol" w:hAnsi="Symbol" w:hint="default"/>
      </w:rPr>
    </w:lvl>
    <w:lvl w:ilvl="7" w:tplc="FFFFFFFF" w:tentative="1">
      <w:start w:val="1"/>
      <w:numFmt w:val="bullet"/>
      <w:lvlText w:val="o"/>
      <w:lvlJc w:val="left"/>
      <w:pPr>
        <w:tabs>
          <w:tab w:val="num" w:pos="5808"/>
        </w:tabs>
        <w:ind w:left="5808" w:hanging="360"/>
      </w:pPr>
      <w:rPr>
        <w:rFonts w:ascii="Courier New" w:hAnsi="Courier New" w:cs="Courier New" w:hint="default"/>
      </w:rPr>
    </w:lvl>
    <w:lvl w:ilvl="8" w:tplc="FFFFFFFF" w:tentative="1">
      <w:start w:val="1"/>
      <w:numFmt w:val="bullet"/>
      <w:lvlText w:val=""/>
      <w:lvlJc w:val="left"/>
      <w:pPr>
        <w:tabs>
          <w:tab w:val="num" w:pos="6528"/>
        </w:tabs>
        <w:ind w:left="6528" w:hanging="360"/>
      </w:pPr>
      <w:rPr>
        <w:rFonts w:ascii="Wingdings" w:hAnsi="Wingdings" w:hint="default"/>
      </w:rPr>
    </w:lvl>
  </w:abstractNum>
  <w:num w:numId="1">
    <w:abstractNumId w:val="0"/>
  </w:num>
  <w:num w:numId="2">
    <w:abstractNumId w:val="14"/>
  </w:num>
  <w:num w:numId="3">
    <w:abstractNumId w:val="19"/>
  </w:num>
  <w:num w:numId="4">
    <w:abstractNumId w:val="11"/>
  </w:num>
  <w:num w:numId="5">
    <w:abstractNumId w:val="2"/>
  </w:num>
  <w:num w:numId="6">
    <w:abstractNumId w:val="25"/>
  </w:num>
  <w:num w:numId="7">
    <w:abstractNumId w:val="5"/>
  </w:num>
  <w:num w:numId="8">
    <w:abstractNumId w:val="2"/>
  </w:num>
  <w:num w:numId="9">
    <w:abstractNumId w:val="10"/>
  </w:num>
  <w:num w:numId="10">
    <w:abstractNumId w:val="3"/>
  </w:num>
  <w:num w:numId="11">
    <w:abstractNumId w:val="15"/>
  </w:num>
  <w:num w:numId="12">
    <w:abstractNumId w:val="12"/>
  </w:num>
  <w:num w:numId="13">
    <w:abstractNumId w:val="9"/>
  </w:num>
  <w:num w:numId="14">
    <w:abstractNumId w:val="6"/>
  </w:num>
  <w:num w:numId="15">
    <w:abstractNumId w:val="18"/>
  </w:num>
  <w:num w:numId="16">
    <w:abstractNumId w:val="20"/>
  </w:num>
  <w:num w:numId="17">
    <w:abstractNumId w:val="4"/>
  </w:num>
  <w:num w:numId="18">
    <w:abstractNumId w:val="8"/>
  </w:num>
  <w:num w:numId="19">
    <w:abstractNumId w:val="22"/>
  </w:num>
  <w:num w:numId="20">
    <w:abstractNumId w:val="7"/>
  </w:num>
  <w:num w:numId="21">
    <w:abstractNumId w:val="26"/>
  </w:num>
  <w:num w:numId="22">
    <w:abstractNumId w:val="13"/>
  </w:num>
  <w:num w:numId="23">
    <w:abstractNumId w:val="16"/>
  </w:num>
  <w:num w:numId="24">
    <w:abstractNumId w:val="1"/>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TrueTypeFonts/>
  <w:saveSubsetFonts/>
  <w:stylePaneFormatFilter w:val="3F01"/>
  <w:defaultTabStop w:val="284"/>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4098"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1"/>
    <w:footnote w:id="0"/>
  </w:footnotePr>
  <w:endnotePr>
    <w:endnote w:id="-1"/>
    <w:endnote w:id="0"/>
  </w:endnotePr>
  <w:compat/>
  <w:docVars>
    <w:docVar w:name="ACTIVATED" w:val="㵸桱᮰Ʊ㾸桱ਰ͇䃘桱鑤柇䈘桱铄柇䉘桱鎤柇䉸桱鎤柇䛸桱ਘ͇䞘桱퓐Ʊ䞸桱䉸͇䠘桱풸Ʊ䡸桱২͇丸桱鑤柇碤"/>
    <w:docVar w:name="CHKITEM" w:val="&lt;"/>
    <w:docVar w:name="ComboBox1_ListCount" w:val="㵸桱᮰Ʊ㾸桱૘͇䃘桱鑤柇䈘桱铄柇䉘桱鎤柇䉸桱鎤柇䛸桱੸͇䞘桱퓐Ʊ䞸桱䆈͇䠘桱풸Ʊ䡸桱ੈ͇丸桱鑤柇碤"/>
    <w:docVar w:name="ComboBox1_ListIndex" w:val=""/>
    <w:docVar w:name="lbList_0_0" w:val="w:docVa"/>
    <w:docVar w:name="lbList_2_SELECTED" w:val="㵸桱᮰Ʊ㾸桱դ䃘桱鑤柇䈘桱铄柇䉘桱鎤柇䉸桱鎤柇䛸桱ీ͇䞘桱퓐Ʊ䞸桱䄨͇䠘桱풸Ʊ䡸桱ી͇丸桱鑤柇碤"/>
    <w:docVar w:name="lbList_3_1" w:val="㵸桱᮰Ʊ㾸桱դ䃘桱鑤柇䈘桱铄柇䉘桱鎤柇䉸桱鎤柇䛸桱դ䞘桱퓐Ʊ䞸桱䅰͇䠘桱풸Ʊ䡸桱ಈ͇丸桱鑤柇碤"/>
    <w:docVar w:name="lbList_4_0" w:val="T"/>
    <w:docVar w:name="lbList_4_2" w:val="case study - urzad rejestracji substancji biobojc"/>
    <w:docVar w:name="lbList_4_SELECTED" w:val=""/>
    <w:docVar w:name="lbList_5_1" w:val="w:docVa"/>
    <w:docVar w:name="lbList_5_2" w:val="Word is preparing to background save case study - urzad rejestracji substancji biobojczych:  (50%)"/>
    <w:docVar w:name="lbList_5_SELECTED" w:val="&lt;"/>
    <w:docVar w:name="lbList_6_1" w:val="ꗰ报⭠ਸ਼܀ਸ਼屮挻壠ਸ਼耀뫸报耀⯌抧⯌抧言˂⯌抧⯌抧⯌抧⯌抧殘ౣ뭤报⮀ਸ਼궈܌耀⯌抧䏰͂蚠⯠ਸ਼耀"/>
    <w:docVar w:name="lbList_6_2" w:val=""/>
    <w:docVar w:name="lbList_6_SELECTED" w:val="T"/>
    <w:docVar w:name="lbList_7_0" w:val="#6c3,#afe494,silver,#ddd,#999,#ccca"/>
    <w:docVar w:name="lbList_7_1" w:val=""/>
    <w:docVar w:name="lbList_7_SELECTED" w:val=""/>
    <w:docVar w:name="lbList_ListCount" w:val=""/>
    <w:docVar w:name="lbProductList_0_0" w:val="TT"/>
    <w:docVar w:name="lbProductList_10_0" w:val="Show &amp;white space between pages in Print Layout v"/>
    <w:docVar w:name="lbProductList_13_0" w:val="TT"/>
    <w:docVar w:name="lbProductList_15_0" w:val="@Ř"/>
    <w:docVar w:name="lbProductList_15_SELECTED" w:val="@Ř"/>
    <w:docVar w:name="lbProductList_16_0" w:val="&lt;&lt;"/>
    <w:docVar w:name="lbProductList_16_SELECTED" w:val="뜼柄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ProductList_17_0" w:val="I:\smieci\smieci\case\20091124\case study - urzad rejestracji substancji biobojczych"/>
    <w:docVar w:name="lbProductList_2_0" w:val="#6c3,#afe494,silver,#ddd,#999,#ccca"/>
    <w:docVar w:name="lbProductList_21_0" w:val=""/>
    <w:docVar w:name="lbProductList_22_0" w:val=""/>
    <w:docVar w:name="lbProductList_23_SELECTED" w:val="Ā"/>
    <w:docVar w:name="lbProductList_25_0" w:val=""/>
    <w:docVar w:name="lbProductList_5_0" w:val=""/>
    <w:docVar w:name="lbProductList_8_0" w:val=""/>
    <w:docVar w:name="Taxi_1_2_1" w:val=""/>
    <w:docVar w:name="Taxi_103_4_2" w:val="http://schemas.openxmlformats.org/officeDocument/2006/relationships/endnotessnth.docxǹ=ǹǹǹ⃿ꐀ呃л폜柒Ѐ&amp;"/>
    <w:docVar w:name="Taxi_104_1_2" w:val="http://schemas.openxmlformats.org/officeDocument/2006/relationships/endnotessnth.docxǹ=ǹǹǹ⃿ꐀ呃л폜柒Ѐ&amp;jczych.docx&amp;Ȑ0\0ȐȐȐ⃿ꒀ恃л"/>
    <w:docVar w:name="Taxi_104_2_2" w:val="TTT"/>
    <w:docVar w:name="Taxi_104_3_2" w:val="lbList_ListCou"/>
    <w:docVar w:name="Taxi_104_4_1" w:val=""/>
    <w:docVar w:name="Taxi_104_4_2" w:val="w:continuationSeparat"/>
    <w:docVar w:name="Taxi_105_1_2" w:val="TTT"/>
    <w:docVar w:name="Taxi_105_2_2" w:val="TTTT"/>
    <w:docVar w:name="Taxi_105_3_2" w:val="w:docVa"/>
    <w:docVar w:name="Taxi_105_4_1" w:val="@Ř"/>
    <w:docVar w:name="Taxi_105_4_2" w:val="#6c3,#afe494,silver,#ddd,#999,#ccca"/>
    <w:docVar w:name="Taxi_106_1_2" w:val=""/>
    <w:docVar w:name="Taxi_106_2_2" w:val="@Ř"/>
    <w:docVar w:name="Taxi_106_4_2" w:val=""/>
    <w:docVar w:name="Taxi_107_1_2" w:val="TTTT"/>
    <w:docVar w:name="Taxi_107_4_2" w:val="TTTTT"/>
    <w:docVar w:name="Taxi_108_1_2" w:val="TTTTT"/>
    <w:docVar w:name="Taxi_108_2_2" w:val="TTTTT"/>
    <w:docVar w:name="Taxi_108_3_2" w:val="TTTTT"/>
    <w:docVar w:name="Taxi_108_4_2" w:val="TTTTT"/>
    <w:docVar w:name="Taxi_109_1_2" w:val="Word is preparing to background save case study - urzad rejestracji substancji biobojczych:  (50%)"/>
    <w:docVar w:name="Taxi_11_2_2" w:val="&lt;&lt;"/>
    <w:docVar w:name="Taxi_11_4_1" w:val="@Ř"/>
    <w:docVar w:name="Taxi_110_1_2" w:val="TTTTT"/>
    <w:docVar w:name="Taxi_110_2_2" w:val="TTTTT"/>
    <w:docVar w:name="Taxi_110_3_2" w:val="@Ř"/>
    <w:docVar w:name="Taxi_111_1_2" w:val="TTTTT"/>
    <w:docVar w:name="Taxi_111_3_2" w:val="TTTTT"/>
    <w:docVar w:name="Taxi_111_4_2" w:val="TTTTT"/>
    <w:docVar w:name="Taxi_112_1_2" w:val=""/>
    <w:docVar w:name="Taxi_112_2_2" w:val=""/>
    <w:docVar w:name="Taxi_113_1_2" w:val="TTTTT"/>
    <w:docVar w:name="Taxi_113_2_2" w:val=""/>
    <w:docVar w:name="Taxi_113_3_2" w:val="@Ř"/>
    <w:docVar w:name="Taxi_113_4_1" w:val="@Ř"/>
    <w:docVar w:name="Taxi_114_1_2" w:val="Word is preparing to background save case study - urzad rejestracji substancji biobojczych:  (50%)"/>
    <w:docVar w:name="Taxi_114_2_2" w:val="Word is preparing to background save case study - urzad rejestracji substancji biobojczych:  (50%)"/>
    <w:docVar w:name="Taxi_114_3_2" w:val="&lt;&lt;&lt;"/>
    <w:docVar w:name="Taxi_114_4_1" w:val="&lt;&lt;&lt;"/>
    <w:docVar w:name="Taxi_114_4_2" w:val="#6c3,#afe494,silver,#ddd,#999,#ccca"/>
    <w:docVar w:name="Taxi_115_1_2" w:val="#6c3,#afe494,silver,#ddd,#999,#ccca"/>
    <w:docVar w:name="Taxi_115_2_2" w:val="ĀĀ"/>
    <w:docVar w:name="Taxi_115_3_2" w:val="ĀĀĀ"/>
    <w:docVar w:name="Taxi_115_4_2" w:val="ĀĀĀĀ"/>
    <w:docVar w:name="Taxi_116_1_2" w:val="ĀĀĀĀĀ"/>
    <w:docVar w:name="Taxi_116_2_2" w:val="TTTTT"/>
    <w:docVar w:name="Taxi_116_3_2" w:val="TTTTT"/>
    <w:docVar w:name="Taxi_116_4_1" w:val="Word is preparing to background save case study - urzad rejestracji substancji biobojczych:  (50%)"/>
    <w:docVar w:name="Taxi_116_4_2" w:val="TTTTT"/>
    <w:docVar w:name="Taxi_117_1_2" w:val="TTTTT"/>
    <w:docVar w:name="Taxi_117_2_2" w:val="TTTTT"/>
    <w:docVar w:name="Taxi_117_3_2" w:val="TTTTT"/>
    <w:docVar w:name="Taxi_117_4_1" w:val="Word is preparing to background save case study - urzad rejestracji substancji biobojczych:  (50%)"/>
    <w:docVar w:name="Taxi_117_4_2" w:val="TTTTT"/>
    <w:docVar w:name="Taxi_118_1_2" w:val="TTTTT"/>
    <w:docVar w:name="Taxi_118_2_2" w:val="TTTTT"/>
    <w:docVar w:name="Taxi_118_3_2" w:val="TTTTT"/>
    <w:docVar w:name="Taxi_118_4_2" w:val="TTTTT"/>
    <w:docVar w:name="Taxi_119_1_2" w:val=""/>
    <w:docVar w:name="Taxi_119_2_2" w:val=""/>
    <w:docVar w:name="Taxi_119_3_2" w:val=""/>
    <w:docVar w:name="Taxi_119_4_2" w:val=""/>
    <w:docVar w:name="Taxi_120_1_2" w:val=""/>
    <w:docVar w:name="Taxi_120_2_2" w:val=""/>
    <w:docVar w:name="Taxi_120_3_2" w:val=""/>
    <w:docVar w:name="Taxi_120_4_2" w:val=""/>
    <w:docVar w:name="Taxi_121_1_2" w:val=""/>
    <w:docVar w:name="Taxi_121_2_2" w:val=""/>
    <w:docVar w:name="Taxi_121_3_2" w:val=""/>
    <w:docVar w:name="Taxi_121_4_1" w:val=""/>
    <w:docVar w:name="Taxi_124_1_1" w:val="TTTTT"/>
    <w:docVar w:name="Taxi_127_2_1" w:val="TTTTT"/>
    <w:docVar w:name="Taxi_129_3_1" w:val="@Ř"/>
    <w:docVar w:name="Taxi_13_3_1" w:val="#6c3,#afe494,silver,#ddd,#999,#ccc,#bde9a7"/>
    <w:docVar w:name="Taxi_13_4_1" w:val="Show &amp;white space between pages in Print Layout v"/>
    <w:docVar w:name="Taxi_133_3_1" w:val="Word is preparing to background save case study - urzad rejestracji substancji biobojczych:  (50%)"/>
    <w:docVar w:name="Taxi_136_2_2" w:val=""/>
    <w:docVar w:name="Taxi_136_3_2" w:val=""/>
    <w:docVar w:name="Taxi_136_4_2" w:val=""/>
    <w:docVar w:name="Taxi_137_1_2" w:val=""/>
    <w:docVar w:name="Taxi_137_2_2" w:val=""/>
    <w:docVar w:name="Taxi_137_3_2" w:val=""/>
    <w:docVar w:name="Taxi_137_4_2" w:val=""/>
    <w:docVar w:name="Taxi_138_1_2" w:val=""/>
    <w:docVar w:name="Taxi_138_2_2" w:val=""/>
    <w:docVar w:name="Taxi_138_3_1" w:val=""/>
    <w:docVar w:name="Taxi_138_3_2" w:val=""/>
    <w:docVar w:name="Taxi_138_4_2" w:val=""/>
    <w:docVar w:name="Taxi_139_1_2" w:val=""/>
    <w:docVar w:name="Taxi_139_2_2" w:val=""/>
    <w:docVar w:name="Taxi_139_3_2" w:val=""/>
    <w:docVar w:name="Taxi_139_4_2" w:val=""/>
    <w:docVar w:name="Taxi_14_1_2" w:val=""/>
    <w:docVar w:name="Taxi_14_2_2" w:val=""/>
    <w:docVar w:name="Taxi_14_3_2" w:val=""/>
    <w:docVar w:name="Taxi_14_4_1" w:val="@Ř"/>
    <w:docVar w:name="Taxi_14_4_2" w:val=""/>
    <w:docVar w:name="Taxi_140_1_2" w:val=""/>
    <w:docVar w:name="Taxi_140_2_2" w:val=""/>
    <w:docVar w:name="Taxi_140_3_2" w:val=""/>
    <w:docVar w:name="Taxi_140_4_2" w:val=""/>
    <w:docVar w:name="Taxi_141_1_2" w:val=""/>
    <w:docVar w:name="Taxi_141_2_2" w:val=""/>
    <w:docVar w:name="Taxi_141_3_2" w:val=""/>
    <w:docVar w:name="Taxi_141_4_2" w:val=""/>
    <w:docVar w:name="Taxi_142_1_2" w:val=""/>
    <w:docVar w:name="Taxi_142_2_2" w:val=""/>
    <w:docVar w:name="Taxi_142_3_2" w:val=""/>
    <w:docVar w:name="Taxi_142_4_2" w:val=""/>
    <w:docVar w:name="Taxi_143_1_2" w:val=""/>
    <w:docVar w:name="Taxi_143_2_2" w:val=""/>
    <w:docVar w:name="Taxi_143_3_2" w:val=""/>
    <w:docVar w:name="Taxi_143_4_2" w:val=""/>
    <w:docVar w:name="Taxi_144_1_2" w:val=""/>
    <w:docVar w:name="Taxi_144_2_2" w:val=""/>
    <w:docVar w:name="Taxi_144_3_2" w:val=""/>
    <w:docVar w:name="Taxi_144_4_2" w:val=""/>
    <w:docVar w:name="Taxi_145_1_2" w:val=""/>
    <w:docVar w:name="Taxi_145_2_2" w:val=""/>
    <w:docVar w:name="Taxi_145_3_2" w:val=""/>
    <w:docVar w:name="Taxi_145_4_2" w:val=""/>
    <w:docVar w:name="Taxi_146_1_2" w:val=""/>
    <w:docVar w:name="Taxi_146_2_2" w:val=""/>
    <w:docVar w:name="Taxi_146_3_1" w:val="Word is preparing to background save case study - urzad rejestracji substancji biobojczych:  (50%)"/>
    <w:docVar w:name="Taxi_146_3_2" w:val=""/>
    <w:docVar w:name="Taxi_146_4_2" w:val=""/>
    <w:docVar w:name="Taxi_147_1_2" w:val=""/>
    <w:docVar w:name="Taxi_147_2_2" w:val=""/>
    <w:docVar w:name="Taxi_147_3_1" w:val=""/>
    <w:docVar w:name="Taxi_147_3_2" w:val=""/>
    <w:docVar w:name="Taxi_147_4_2" w:val=""/>
    <w:docVar w:name="Taxi_148_1_2" w:val=""/>
    <w:docVar w:name="Taxi_148_2_2" w:val=""/>
    <w:docVar w:name="Taxi_148_3_1" w:val=""/>
    <w:docVar w:name="Taxi_148_3_2" w:val=""/>
    <w:docVar w:name="Taxi_148_4_2" w:val=""/>
    <w:docVar w:name="Taxi_149_1_2" w:val=""/>
    <w:docVar w:name="Taxi_149_2_2" w:val=""/>
    <w:docVar w:name="Taxi_149_3_1" w:val="Word is preparing to background save case study - urzad rejestracji substancji biobojczych:  (50%)"/>
    <w:docVar w:name="Taxi_149_3_2" w:val=""/>
    <w:docVar w:name="Taxi_149_4_2" w:val=""/>
    <w:docVar w:name="Taxi_15_1_2" w:val=""/>
    <w:docVar w:name="Taxi_15_2_2" w:val=""/>
    <w:docVar w:name="Taxi_15_3_2" w:val=""/>
    <w:docVar w:name="Taxi_15_4_2" w:val=""/>
    <w:docVar w:name="Taxi_150_1_2" w:val=""/>
    <w:docVar w:name="Taxi_150_2_1" w:val=""/>
    <w:docVar w:name="Taxi_150_2_2" w:val=""/>
    <w:docVar w:name="Taxi_150_3_2" w:val=""/>
    <w:docVar w:name="Taxi_150_4_2" w:val=""/>
    <w:docVar w:name="Taxi_151_1_2" w:val=""/>
    <w:docVar w:name="Taxi_151_2_2" w:val=""/>
    <w:docVar w:name="Taxi_151_3_2" w:val=""/>
    <w:docVar w:name="Taxi_151_4_2" w:val=""/>
    <w:docVar w:name="Taxi_152_1_2" w:val=""/>
    <w:docVar w:name="Taxi_152_2_2" w:val=""/>
    <w:docVar w:name="Taxi_152_3_2" w:val=""/>
    <w:docVar w:name="Taxi_152_4_2" w:val=""/>
    <w:docVar w:name="Taxi_153_1_2" w:val=""/>
    <w:docVar w:name="Taxi_153_2_2" w:val=""/>
    <w:docVar w:name="Taxi_153_3_2" w:val=""/>
    <w:docVar w:name="Taxi_153_4_2" w:val=""/>
    <w:docVar w:name="Taxi_154_1_2" w:val=""/>
    <w:docVar w:name="Taxi_154_2_2" w:val=""/>
    <w:docVar w:name="Taxi_154_3_2" w:val=""/>
    <w:docVar w:name="Taxi_154_4_2" w:val=""/>
    <w:docVar w:name="Taxi_155_1_2" w:val=""/>
    <w:docVar w:name="Taxi_155_2_2" w:val=""/>
    <w:docVar w:name="Taxi_155_3_2" w:val=""/>
    <w:docVar w:name="Taxi_155_4_2" w:val=""/>
    <w:docVar w:name="Taxi_156_1_2" w:val=""/>
    <w:docVar w:name="Taxi_156_2_2" w:val=""/>
    <w:docVar w:name="Taxi_156_3_2" w:val=""/>
    <w:docVar w:name="Taxi_156_4_2" w:val=""/>
    <w:docVar w:name="Taxi_157_1_2" w:val=""/>
    <w:docVar w:name="Taxi_157_2_2" w:val=""/>
    <w:docVar w:name="Taxi_157_3_2" w:val=""/>
    <w:docVar w:name="Taxi_157_4_2" w:val=""/>
    <w:docVar w:name="Taxi_158_1_2" w:val=""/>
    <w:docVar w:name="Taxi_158_2_2" w:val=""/>
    <w:docVar w:name="Taxi_158_3_1" w:val=""/>
    <w:docVar w:name="Taxi_158_3_2" w:val=""/>
    <w:docVar w:name="Taxi_158_4_2" w:val=""/>
    <w:docVar w:name="Taxi_159_1_2" w:val=""/>
    <w:docVar w:name="Taxi_159_2_2" w:val=""/>
    <w:docVar w:name="Taxi_159_3_2" w:val=""/>
    <w:docVar w:name="Taxi_159_4_2" w:val=""/>
    <w:docVar w:name="Taxi_16_1_2" w:val=""/>
    <w:docVar w:name="Taxi_16_2_2" w:val=""/>
    <w:docVar w:name="Taxi_16_3_2" w:val=""/>
    <w:docVar w:name="Taxi_16_4_2" w:val=""/>
    <w:docVar w:name="Taxi_160_1_2" w:val=""/>
    <w:docVar w:name="Taxi_160_2_2" w:val=""/>
    <w:docVar w:name="Taxi_160_3_1" w:val=""/>
    <w:docVar w:name="Taxi_160_3_2" w:val=""/>
    <w:docVar w:name="Taxi_160_4_2" w:val=""/>
    <w:docVar w:name="Taxi_161_1_2" w:val=""/>
    <w:docVar w:name="Taxi_161_2_2" w:val=""/>
    <w:docVar w:name="Taxi_161_3_2" w:val=""/>
    <w:docVar w:name="Taxi_161_4_2" w:val=""/>
    <w:docVar w:name="Taxi_162_1_2" w:val=""/>
    <w:docVar w:name="Taxi_162_2_2" w:val=""/>
    <w:docVar w:name="Taxi_162_3_2" w:val=""/>
    <w:docVar w:name="Taxi_162_4_2" w:val=""/>
    <w:docVar w:name="Taxi_163_1_2" w:val=""/>
    <w:docVar w:name="Taxi_163_2_2" w:val=""/>
    <w:docVar w:name="Taxi_163_3_2" w:val=""/>
    <w:docVar w:name="Taxi_163_4_2" w:val=""/>
    <w:docVar w:name="Taxi_164_1_2" w:val=""/>
    <w:docVar w:name="Taxi_164_2_2" w:val=""/>
    <w:docVar w:name="Taxi_164_3_1" w:val=""/>
    <w:docVar w:name="Taxi_164_3_2" w:val=""/>
    <w:docVar w:name="Taxi_164_4_2" w:val=""/>
    <w:docVar w:name="Taxi_165_1_2" w:val=""/>
    <w:docVar w:name="Taxi_165_2_2" w:val=""/>
    <w:docVar w:name="Taxi_165_3_2" w:val=""/>
    <w:docVar w:name="Taxi_165_4_2" w:val=""/>
    <w:docVar w:name="Taxi_166_1_2" w:val=""/>
    <w:docVar w:name="Taxi_166_2_2" w:val=""/>
    <w:docVar w:name="Taxi_166_3_2" w:val=""/>
    <w:docVar w:name="Taxi_166_4_2" w:val=""/>
    <w:docVar w:name="Taxi_167_1_2" w:val=""/>
    <w:docVar w:name="Taxi_167_2_2" w:val=""/>
    <w:docVar w:name="Taxi_167_3_2" w:val=""/>
    <w:docVar w:name="Taxi_167_4_2" w:val=""/>
    <w:docVar w:name="Taxi_168_1_2" w:val=""/>
    <w:docVar w:name="Taxi_168_2_2" w:val=""/>
    <w:docVar w:name="Taxi_168_3_2" w:val=""/>
    <w:docVar w:name="Taxi_168_4_2" w:val=""/>
    <w:docVar w:name="Taxi_169_1_2" w:val=""/>
    <w:docVar w:name="Taxi_169_2_2" w:val=""/>
    <w:docVar w:name="Taxi_169_3_1" w:val=""/>
    <w:docVar w:name="Taxi_169_3_2" w:val=""/>
    <w:docVar w:name="Taxi_169_4_2" w:val=""/>
    <w:docVar w:name="Taxi_17_1_2" w:val=""/>
    <w:docVar w:name="Taxi_17_2_2" w:val=""/>
    <w:docVar w:name="Taxi_17_3_2" w:val=""/>
    <w:docVar w:name="Taxi_17_4_2" w:val=""/>
    <w:docVar w:name="Taxi_170_1_2" w:val=""/>
    <w:docVar w:name="Taxi_170_2_2" w:val=""/>
    <w:docVar w:name="Taxi_170_3_2" w:val=""/>
    <w:docVar w:name="Taxi_170_4_2" w:val=""/>
    <w:docVar w:name="Taxi_171_1_2" w:val=""/>
    <w:docVar w:name="Taxi_171_2_2" w:val=""/>
    <w:docVar w:name="Taxi_171_3_2" w:val=""/>
    <w:docVar w:name="Taxi_171_4_2" w:val=""/>
    <w:docVar w:name="Taxi_172_1_2" w:val=""/>
    <w:docVar w:name="Taxi_172_2_2" w:val=""/>
    <w:docVar w:name="Taxi_172_3_2" w:val=""/>
    <w:docVar w:name="Taxi_172_4_2" w:val=""/>
    <w:docVar w:name="Taxi_173_1_2" w:val=""/>
    <w:docVar w:name="Taxi_173_2_2" w:val=""/>
    <w:docVar w:name="Taxi_173_3_1" w:val=""/>
    <w:docVar w:name="Taxi_173_3_2" w:val=""/>
    <w:docVar w:name="Taxi_173_4_2" w:val=""/>
    <w:docVar w:name="Taxi_174_1_2" w:val=""/>
    <w:docVar w:name="Taxi_174_2_2" w:val=""/>
    <w:docVar w:name="Taxi_174_3_1" w:val="@Ř"/>
    <w:docVar w:name="Taxi_174_3_2" w:val=""/>
    <w:docVar w:name="Taxi_174_4_2" w:val=""/>
    <w:docVar w:name="Taxi_175_1_2" w:val=""/>
    <w:docVar w:name="Taxi_175_2_1" w:val="@Ř"/>
    <w:docVar w:name="Taxi_175_2_2" w:val=""/>
    <w:docVar w:name="Taxi_175_3_2" w:val=""/>
    <w:docVar w:name="Taxi_175_4_2" w:val=""/>
    <w:docVar w:name="Taxi_176_1_2" w:val=""/>
    <w:docVar w:name="Taxi_176_2_1" w:val="@Ř"/>
    <w:docVar w:name="Taxi_176_2_2" w:val=""/>
    <w:docVar w:name="Taxi_176_3_2" w:val=""/>
    <w:docVar w:name="Taxi_176_4_2" w:val=""/>
    <w:docVar w:name="Taxi_177_1_2" w:val=""/>
    <w:docVar w:name="Taxi_177_2_2" w:val=""/>
    <w:docVar w:name="Taxi_177_3_2" w:val=""/>
    <w:docVar w:name="Taxi_177_4_2" w:val=""/>
    <w:docVar w:name="Taxi_178_1_2" w:val=""/>
    <w:docVar w:name="Taxi_178_2_1" w:val=""/>
    <w:docVar w:name="Taxi_178_2_2" w:val=""/>
    <w:docVar w:name="Taxi_178_3_2" w:val=""/>
    <w:docVar w:name="Taxi_178_4_2" w:val=""/>
    <w:docVar w:name="Taxi_179_1_2" w:val=""/>
    <w:docVar w:name="Taxi_179_2_1" w:val=""/>
    <w:docVar w:name="Taxi_179_2_2" w:val=""/>
    <w:docVar w:name="Taxi_179_3_2" w:val=""/>
    <w:docVar w:name="Taxi_179_4_2" w:val=""/>
    <w:docVar w:name="Taxi_18_1_2" w:val=""/>
    <w:docVar w:name="Taxi_18_2_2" w:val=""/>
    <w:docVar w:name="Taxi_18_3_2" w:val=""/>
    <w:docVar w:name="Taxi_18_4_2" w:val=""/>
    <w:docVar w:name="Taxi_180_1_2" w:val=""/>
    <w:docVar w:name="Taxi_180_2_2" w:val=""/>
    <w:docVar w:name="Taxi_180_3_2" w:val=""/>
    <w:docVar w:name="Taxi_180_4_2" w:val=""/>
    <w:docVar w:name="Taxi_181_1_2" w:val=""/>
    <w:docVar w:name="Taxi_181_2_2" w:val=""/>
    <w:docVar w:name="Taxi_181_3_2" w:val=""/>
    <w:docVar w:name="Taxi_181_4_2" w:val=""/>
    <w:docVar w:name="Taxi_182_1_2" w:val=""/>
    <w:docVar w:name="Taxi_182_2_1" w:val="@Ř"/>
    <w:docVar w:name="Taxi_182_2_2" w:val=""/>
    <w:docVar w:name="Taxi_182_3_2" w:val=""/>
    <w:docVar w:name="Taxi_182_4_2" w:val=""/>
    <w:docVar w:name="Taxi_183_1_2" w:val=""/>
    <w:docVar w:name="Taxi_183_2_1" w:val=""/>
    <w:docVar w:name="Taxi_183_2_2" w:val=""/>
    <w:docVar w:name="Taxi_183_3_2" w:val=""/>
    <w:docVar w:name="Taxi_183_4_2" w:val=""/>
    <w:docVar w:name="Taxi_184_1_2" w:val=""/>
    <w:docVar w:name="Taxi_184_2_1" w:val=""/>
    <w:docVar w:name="Taxi_184_2_2" w:val=""/>
    <w:docVar w:name="Taxi_184_3_2" w:val=""/>
    <w:docVar w:name="Taxi_184_4_2" w:val=""/>
    <w:docVar w:name="Taxi_185_1_2" w:val=""/>
    <w:docVar w:name="Taxi_185_2_2" w:val=""/>
    <w:docVar w:name="Taxi_185_3_2" w:val=""/>
    <w:docVar w:name="Taxi_185_4_2" w:val=""/>
    <w:docVar w:name="Taxi_186_1_2" w:val=""/>
    <w:docVar w:name="Taxi_186_2_2" w:val=""/>
    <w:docVar w:name="Taxi_186_3_2" w:val=""/>
    <w:docVar w:name="Taxi_186_4_2" w:val=""/>
    <w:docVar w:name="Taxi_187_1_2" w:val=""/>
    <w:docVar w:name="Taxi_187_2_2" w:val=""/>
    <w:docVar w:name="Taxi_187_3_1" w:val=""/>
    <w:docVar w:name="Taxi_187_3_2" w:val=""/>
    <w:docVar w:name="Taxi_187_4_2" w:val=""/>
    <w:docVar w:name="Taxi_188_1_2" w:val=""/>
    <w:docVar w:name="Taxi_188_2_2" w:val=""/>
    <w:docVar w:name="Taxi_188_3_2" w:val=""/>
    <w:docVar w:name="Taxi_188_4_2" w:val=""/>
    <w:docVar w:name="Taxi_189_1_2" w:val=""/>
    <w:docVar w:name="Taxi_189_2_2" w:val=""/>
    <w:docVar w:name="Taxi_189_3_1" w:val=""/>
    <w:docVar w:name="Taxi_189_3_2" w:val=""/>
    <w:docVar w:name="Taxi_189_4_2" w:val=""/>
    <w:docVar w:name="Taxi_19_1_2" w:val=""/>
    <w:docVar w:name="Taxi_19_2_2" w:val=""/>
    <w:docVar w:name="Taxi_19_3_2" w:val=""/>
    <w:docVar w:name="Taxi_19_4_2" w:val=""/>
    <w:docVar w:name="Taxi_190_1_2" w:val=""/>
    <w:docVar w:name="Taxi_190_2_2" w:val=""/>
    <w:docVar w:name="Taxi_190_3_2" w:val=""/>
    <w:docVar w:name="Taxi_190_4_2" w:val=""/>
    <w:docVar w:name="Taxi_191_1_2" w:val=""/>
    <w:docVar w:name="Taxi_191_2_2" w:val=""/>
    <w:docVar w:name="Taxi_191_3_2" w:val=""/>
    <w:docVar w:name="Taxi_191_4_2" w:val=""/>
    <w:docVar w:name="Taxi_192_1_2" w:val=""/>
    <w:docVar w:name="Taxi_192_2_2" w:val=""/>
    <w:docVar w:name="Taxi_192_3_2" w:val=""/>
    <w:docVar w:name="Taxi_192_4_2" w:val=""/>
    <w:docVar w:name="Taxi_193_1_2" w:val=""/>
    <w:docVar w:name="Taxi_193_2_2" w:val=""/>
    <w:docVar w:name="Taxi_193_3_2" w:val=""/>
    <w:docVar w:name="Taxi_193_4_2" w:val=""/>
    <w:docVar w:name="Taxi_194_1_2" w:val=""/>
    <w:docVar w:name="Taxi_194_2_2" w:val=""/>
    <w:docVar w:name="Taxi_194_3_2" w:val=""/>
    <w:docVar w:name="Taxi_194_4_2" w:val=""/>
    <w:docVar w:name="Taxi_195_1_2" w:val=""/>
    <w:docVar w:name="Taxi_195_2_2" w:val=""/>
    <w:docVar w:name="Taxi_195_3_2" w:val=""/>
    <w:docVar w:name="Taxi_195_4_2" w:val=""/>
    <w:docVar w:name="Taxi_196_1_2" w:val=""/>
    <w:docVar w:name="Taxi_196_2_2" w:val=""/>
    <w:docVar w:name="Taxi_196_3_2" w:val=""/>
    <w:docVar w:name="Taxi_196_4_2" w:val=""/>
    <w:docVar w:name="Taxi_197_1_2" w:val=""/>
    <w:docVar w:name="Taxi_197_2_2" w:val=""/>
    <w:docVar w:name="Taxi_197_3_2" w:val=""/>
    <w:docVar w:name="Taxi_197_4_2" w:val=""/>
    <w:docVar w:name="Taxi_198_1_2" w:val=""/>
    <w:docVar w:name="Taxi_198_2_2" w:val=""/>
    <w:docVar w:name="Taxi_198_3_2" w:val=""/>
    <w:docVar w:name="Taxi_198_4_2" w:val=""/>
    <w:docVar w:name="Taxi_199_1_2" w:val=""/>
    <w:docVar w:name="Taxi_199_2_2" w:val=""/>
    <w:docVar w:name="Taxi_199_3_2" w:val=""/>
    <w:docVar w:name="Taxi_199_4_2" w:val=""/>
    <w:docVar w:name="Taxi_20_1_2" w:val=""/>
    <w:docVar w:name="Taxi_20_2_2" w:val=""/>
    <w:docVar w:name="Taxi_20_3_2" w:val=""/>
    <w:docVar w:name="Taxi_20_4_2" w:val=""/>
    <w:docVar w:name="Taxi_200_1_2" w:val=""/>
    <w:docVar w:name="Taxi_200_2_2" w:val=""/>
    <w:docVar w:name="Taxi_200_3_2" w:val=""/>
    <w:docVar w:name="Taxi_200_4_2" w:val=""/>
    <w:docVar w:name="Taxi_201_1_2" w:val=""/>
    <w:docVar w:name="Taxi_201_2_2" w:val=""/>
    <w:docVar w:name="Taxi_201_3_2" w:val=""/>
    <w:docVar w:name="Taxi_201_4_2" w:val=""/>
    <w:docVar w:name="Taxi_202_1_2" w:val=""/>
    <w:docVar w:name="Taxi_202_2_2" w:val=""/>
    <w:docVar w:name="Taxi_202_3_2" w:val=""/>
    <w:docVar w:name="Taxi_202_4_2" w:val=""/>
    <w:docVar w:name="Taxi_203_1_2" w:val=""/>
    <w:docVar w:name="Taxi_203_2_2" w:val=""/>
    <w:docVar w:name="Taxi_203_3_2" w:val=""/>
    <w:docVar w:name="Taxi_203_4_2" w:val=""/>
    <w:docVar w:name="Taxi_204_1_2" w:val=""/>
    <w:docVar w:name="Taxi_204_2_2" w:val=""/>
    <w:docVar w:name="Taxi_204_3_2" w:val=""/>
    <w:docVar w:name="Taxi_204_4_2" w:val=""/>
    <w:docVar w:name="Taxi_205_1_2" w:val=""/>
    <w:docVar w:name="Taxi_205_2_2" w:val=""/>
    <w:docVar w:name="Taxi_205_3_2" w:val=""/>
    <w:docVar w:name="Taxi_205_4_2" w:val=""/>
    <w:docVar w:name="Taxi_206_1_2" w:val=""/>
    <w:docVar w:name="Taxi_206_2_2" w:val=""/>
    <w:docVar w:name="Taxi_206_3_2" w:val=""/>
    <w:docVar w:name="Taxi_206_4_2" w:val=""/>
    <w:docVar w:name="Taxi_207_1_2" w:val=""/>
    <w:docVar w:name="Taxi_207_2_1" w:val="@Ř"/>
    <w:docVar w:name="Taxi_207_2_2" w:val=""/>
    <w:docVar w:name="Taxi_207_3_2" w:val=""/>
    <w:docVar w:name="Taxi_207_4_2" w:val=""/>
    <w:docVar w:name="Taxi_208_1_2" w:val=""/>
    <w:docVar w:name="Taxi_208_2_1" w:val="@Ř"/>
    <w:docVar w:name="Taxi_208_2_2" w:val=""/>
    <w:docVar w:name="Taxi_208_3_2" w:val=""/>
    <w:docVar w:name="Taxi_208_4_2" w:val=""/>
    <w:docVar w:name="Taxi_209_1_2" w:val=""/>
    <w:docVar w:name="Taxi_209_2_2" w:val=""/>
    <w:docVar w:name="Taxi_209_3_2" w:val=""/>
    <w:docVar w:name="Taxi_209_4_2" w:val=""/>
    <w:docVar w:name="Taxi_21_1_2" w:val=""/>
    <w:docVar w:name="Taxi_21_2_2" w:val=""/>
    <w:docVar w:name="Taxi_21_3_2" w:val=""/>
    <w:docVar w:name="Taxi_21_4_2" w:val=""/>
    <w:docVar w:name="Taxi_210_1_2" w:val=""/>
    <w:docVar w:name="Taxi_210_2_2" w:val=""/>
    <w:docVar w:name="Taxi_210_3_2" w:val=""/>
    <w:docVar w:name="Taxi_210_4_2" w:val=""/>
    <w:docVar w:name="Taxi_211_1_2" w:val=""/>
    <w:docVar w:name="Taxi_211_2_2" w:val=""/>
    <w:docVar w:name="Taxi_211_3_2" w:val=""/>
    <w:docVar w:name="Taxi_211_4_2" w:val=""/>
    <w:docVar w:name="Taxi_212_1_2" w:val=""/>
    <w:docVar w:name="Taxi_212_2_2" w:val=""/>
    <w:docVar w:name="Taxi_212_3_2" w:val=""/>
    <w:docVar w:name="Taxi_212_4_2" w:val=""/>
    <w:docVar w:name="Taxi_213_1_2" w:val=""/>
    <w:docVar w:name="Taxi_213_2_2" w:val=""/>
    <w:docVar w:name="Taxi_213_3_2" w:val=""/>
    <w:docVar w:name="Taxi_213_4_2" w:val=""/>
    <w:docVar w:name="Taxi_214_1_2" w:val=""/>
    <w:docVar w:name="Taxi_214_2_2" w:val=""/>
    <w:docVar w:name="Taxi_214_3_2" w:val=""/>
    <w:docVar w:name="Taxi_214_4_2" w:val=""/>
    <w:docVar w:name="Taxi_215_1_2" w:val=""/>
    <w:docVar w:name="Taxi_215_2_2" w:val=""/>
    <w:docVar w:name="Taxi_215_3_2" w:val=""/>
    <w:docVar w:name="Taxi_215_4_2" w:val=""/>
    <w:docVar w:name="Taxi_216_1_2" w:val=""/>
    <w:docVar w:name="Taxi_216_2_2" w:val=""/>
    <w:docVar w:name="Taxi_216_3_2" w:val=""/>
    <w:docVar w:name="Taxi_216_4_2" w:val=""/>
    <w:docVar w:name="Taxi_217_1_2" w:val=""/>
    <w:docVar w:name="Taxi_217_2_2" w:val=""/>
    <w:docVar w:name="Taxi_217_3_2" w:val=""/>
    <w:docVar w:name="Taxi_217_4_2" w:val=""/>
    <w:docVar w:name="Taxi_218_1_2" w:val=""/>
    <w:docVar w:name="Taxi_218_2_2" w:val=""/>
    <w:docVar w:name="Taxi_218_3_2" w:val=""/>
    <w:docVar w:name="Taxi_218_4_2" w:val=""/>
    <w:docVar w:name="Taxi_219_1_2" w:val=""/>
    <w:docVar w:name="Taxi_219_2_2" w:val=""/>
    <w:docVar w:name="Taxi_219_3_2" w:val=""/>
    <w:docVar w:name="Taxi_219_4_2" w:val=""/>
    <w:docVar w:name="Taxi_22_1_2" w:val=""/>
    <w:docVar w:name="Taxi_22_2_2" w:val=""/>
    <w:docVar w:name="Taxi_22_3_2" w:val=""/>
    <w:docVar w:name="Taxi_22_4_2" w:val=""/>
    <w:docVar w:name="Taxi_220_1_2" w:val=""/>
    <w:docVar w:name="Taxi_220_2_2" w:val=""/>
    <w:docVar w:name="Taxi_220_3_2" w:val=""/>
    <w:docVar w:name="Taxi_220_4_2" w:val=""/>
    <w:docVar w:name="Taxi_221_1_2" w:val=""/>
    <w:docVar w:name="Taxi_221_2_2" w:val=""/>
    <w:docVar w:name="Taxi_221_3_2" w:val=""/>
    <w:docVar w:name="Taxi_221_4_2" w:val=""/>
    <w:docVar w:name="Taxi_222_1_2" w:val=""/>
    <w:docVar w:name="Taxi_222_2_2" w:val=""/>
    <w:docVar w:name="Taxi_222_3_2" w:val=""/>
    <w:docVar w:name="Taxi_222_4_2" w:val=""/>
    <w:docVar w:name="Taxi_223_1_2" w:val=""/>
    <w:docVar w:name="Taxi_223_2_2" w:val=""/>
    <w:docVar w:name="Taxi_223_3_2" w:val=""/>
    <w:docVar w:name="Taxi_223_4_2" w:val=""/>
    <w:docVar w:name="Taxi_224_1_2" w:val=""/>
    <w:docVar w:name="Taxi_224_2_2" w:val=""/>
    <w:docVar w:name="Taxi_224_3_2" w:val=""/>
    <w:docVar w:name="Taxi_224_4_2" w:val=""/>
    <w:docVar w:name="Taxi_225_1_2" w:val=""/>
    <w:docVar w:name="Taxi_225_2_2" w:val=""/>
    <w:docVar w:name="Taxi_225_3_2" w:val=""/>
    <w:docVar w:name="Taxi_225_4_2" w:val=""/>
    <w:docVar w:name="Taxi_226_1_2" w:val=""/>
    <w:docVar w:name="Taxi_226_2_2" w:val=""/>
    <w:docVar w:name="Taxi_226_3_2" w:val=""/>
    <w:docVar w:name="Taxi_226_4_2" w:val=""/>
    <w:docVar w:name="Taxi_227_1_2" w:val=""/>
    <w:docVar w:name="Taxi_227_2_2" w:val=""/>
    <w:docVar w:name="Taxi_227_3_2" w:val=""/>
    <w:docVar w:name="Taxi_227_4_2" w:val=""/>
    <w:docVar w:name="Taxi_228_1_2" w:val=""/>
    <w:docVar w:name="Taxi_228_2_2" w:val=""/>
    <w:docVar w:name="Taxi_228_3_2" w:val=""/>
    <w:docVar w:name="Taxi_228_4_2" w:val=""/>
    <w:docVar w:name="Taxi_229_1_2" w:val=""/>
    <w:docVar w:name="Taxi_229_2_1" w:val=""/>
    <w:docVar w:name="Taxi_229_2_2" w:val=""/>
    <w:docVar w:name="Taxi_229_3_2" w:val=""/>
    <w:docVar w:name="Taxi_229_4_2" w:val=""/>
    <w:docVar w:name="Taxi_23_1_2" w:val=""/>
    <w:docVar w:name="Taxi_23_2_2" w:val=""/>
    <w:docVar w:name="Taxi_23_3_2" w:val=""/>
    <w:docVar w:name="Taxi_23_4_2" w:val=""/>
    <w:docVar w:name="Taxi_230_1_2" w:val=""/>
    <w:docVar w:name="Taxi_230_2_1" w:val=""/>
    <w:docVar w:name="Taxi_230_2_2" w:val=""/>
    <w:docVar w:name="Taxi_230_3_2" w:val=""/>
    <w:docVar w:name="Taxi_230_4_2" w:val=""/>
    <w:docVar w:name="Taxi_231_1_2" w:val=""/>
    <w:docVar w:name="Taxi_231_2_2" w:val=""/>
    <w:docVar w:name="Taxi_231_3_2" w:val=""/>
    <w:docVar w:name="Taxi_231_4_2" w:val=""/>
    <w:docVar w:name="Taxi_232_1_2" w:val=""/>
    <w:docVar w:name="Taxi_232_2_2" w:val=""/>
    <w:docVar w:name="Taxi_232_3_2" w:val=""/>
    <w:docVar w:name="Taxi_232_4_2" w:val=""/>
    <w:docVar w:name="Taxi_233_1_2" w:val=""/>
    <w:docVar w:name="Taxi_233_2_2" w:val=""/>
    <w:docVar w:name="Taxi_233_3_2" w:val=""/>
    <w:docVar w:name="Taxi_233_4_2" w:val=""/>
    <w:docVar w:name="Taxi_234_1_2" w:val=""/>
    <w:docVar w:name="Taxi_234_2_1" w:val=""/>
    <w:docVar w:name="Taxi_234_2_2" w:val=""/>
    <w:docVar w:name="Taxi_234_3_2" w:val=""/>
    <w:docVar w:name="Taxi_234_4_2" w:val=""/>
    <w:docVar w:name="Taxi_235_1_2" w:val=""/>
    <w:docVar w:name="Taxi_235_2_2" w:val=""/>
    <w:docVar w:name="Taxi_235_3_2" w:val=""/>
    <w:docVar w:name="Taxi_235_4_2" w:val=""/>
    <w:docVar w:name="Taxi_236_1_2" w:val=""/>
    <w:docVar w:name="Taxi_236_2_2" w:val=""/>
    <w:docVar w:name="Taxi_236_3_2" w:val=""/>
    <w:docVar w:name="Taxi_236_4_2" w:val=""/>
    <w:docVar w:name="Taxi_237_1_2" w:val=""/>
    <w:docVar w:name="Taxi_237_2_2" w:val=""/>
    <w:docVar w:name="Taxi_237_3_2" w:val=""/>
    <w:docVar w:name="Taxi_237_4_2" w:val=""/>
    <w:docVar w:name="Taxi_24_1_2" w:val=""/>
    <w:docVar w:name="Taxi_24_2_2" w:val=""/>
    <w:docVar w:name="Taxi_24_3_2" w:val=""/>
    <w:docVar w:name="Taxi_24_4_2" w:val=""/>
    <w:docVar w:name="Taxi_25_1_2" w:val=""/>
    <w:docVar w:name="Taxi_25_2_2" w:val=""/>
    <w:docVar w:name="Taxi_25_3_2" w:val=""/>
    <w:docVar w:name="Taxi_25_4_2" w:val=""/>
    <w:docVar w:name="Taxi_26_1_2" w:val=""/>
    <w:docVar w:name="Taxi_26_2_2" w:val=""/>
    <w:docVar w:name="Taxi_26_3_2" w:val=""/>
    <w:docVar w:name="Taxi_26_4_2" w:val=""/>
    <w:docVar w:name="Taxi_27_1_2" w:val=""/>
    <w:docVar w:name="Taxi_27_2_2" w:val=""/>
    <w:docVar w:name="Taxi_27_3_2" w:val=""/>
    <w:docVar w:name="Taxi_27_4_2" w:val=""/>
    <w:docVar w:name="Taxi_28_1_2" w:val=""/>
    <w:docVar w:name="Taxi_28_2_2" w:val=""/>
    <w:docVar w:name="Taxi_28_3_2" w:val=""/>
    <w:docVar w:name="Taxi_28_4_2" w:val=""/>
    <w:docVar w:name="Taxi_29_1_2" w:val=""/>
    <w:docVar w:name="Taxi_29_2_2" w:val=""/>
    <w:docVar w:name="Taxi_29_3_2" w:val=""/>
    <w:docVar w:name="Taxi_29_4_2" w:val=""/>
    <w:docVar w:name="Taxi_30_1_2" w:val=""/>
    <w:docVar w:name="Taxi_30_2_2" w:val=""/>
    <w:docVar w:name="Taxi_30_3_2" w:val=""/>
    <w:docVar w:name="Taxi_30_4_2" w:val=""/>
    <w:docVar w:name="Taxi_31_1_2" w:val=""/>
    <w:docVar w:name="Taxi_31_2_2" w:val=""/>
    <w:docVar w:name="Taxi_31_3_2" w:val=""/>
    <w:docVar w:name="Taxi_31_4_2" w:val=""/>
    <w:docVar w:name="Taxi_32_1_2" w:val=""/>
    <w:docVar w:name="Taxi_32_2_2" w:val=""/>
    <w:docVar w:name="Taxi_32_3_2" w:val=""/>
    <w:docVar w:name="Taxi_32_4_2" w:val=""/>
    <w:docVar w:name="Taxi_33_1_2" w:val=""/>
    <w:docVar w:name="Taxi_33_2_2" w:val=""/>
    <w:docVar w:name="Taxi_33_3_2" w:val=""/>
    <w:docVar w:name="Taxi_33_4_2" w:val=""/>
    <w:docVar w:name="Taxi_34_1_2" w:val=""/>
    <w:docVar w:name="Taxi_34_2_2" w:val=""/>
    <w:docVar w:name="Taxi_34_3_2" w:val=""/>
    <w:docVar w:name="Taxi_34_4_2" w:val=""/>
    <w:docVar w:name="Taxi_35_1_2" w:val=""/>
    <w:docVar w:name="Taxi_35_2_2" w:val=""/>
    <w:docVar w:name="Taxi_35_3_2" w:val=""/>
    <w:docVar w:name="Taxi_35_4_2" w:val=""/>
    <w:docVar w:name="Taxi_36_1_2" w:val=""/>
    <w:docVar w:name="Taxi_36_2_2" w:val=""/>
    <w:docVar w:name="Taxi_36_3_2" w:val=""/>
    <w:docVar w:name="Taxi_36_4_2" w:val=""/>
    <w:docVar w:name="Taxi_37_1_2" w:val=""/>
    <w:docVar w:name="Taxi_37_2_2" w:val=""/>
    <w:docVar w:name="Taxi_37_3_2" w:val=""/>
    <w:docVar w:name="Taxi_37_4_2" w:val=""/>
    <w:docVar w:name="Taxi_38_1_2" w:val=""/>
    <w:docVar w:name="Taxi_38_2_2" w:val=""/>
    <w:docVar w:name="Taxi_38_3_2" w:val=""/>
    <w:docVar w:name="Taxi_38_4_2" w:val=""/>
    <w:docVar w:name="Taxi_39_1_2" w:val=""/>
    <w:docVar w:name="Taxi_39_2_2" w:val=""/>
    <w:docVar w:name="Taxi_39_3_2" w:val=""/>
    <w:docVar w:name="Taxi_39_4_2" w:val=""/>
    <w:docVar w:name="Taxi_40_1_2" w:val=""/>
    <w:docVar w:name="Taxi_40_2_2" w:val=""/>
    <w:docVar w:name="Taxi_40_3_2" w:val=""/>
    <w:docVar w:name="Taxi_40_4_2" w:val=""/>
    <w:docVar w:name="Taxi_41_1_2" w:val=""/>
    <w:docVar w:name="Taxi_41_2_2" w:val=""/>
    <w:docVar w:name="Taxi_41_3_2" w:val=""/>
    <w:docVar w:name="Taxi_41_4_2" w:val=""/>
    <w:docVar w:name="Taxi_42_1_2" w:val=""/>
    <w:docVar w:name="Taxi_42_2_2" w:val=""/>
    <w:docVar w:name="Taxi_42_3_2" w:val=""/>
    <w:docVar w:name="Taxi_42_4_2" w:val=""/>
    <w:docVar w:name="Taxi_43_1_2" w:val=""/>
    <w:docVar w:name="Taxi_43_2_2" w:val=""/>
    <w:docVar w:name="Taxi_43_3_2" w:val=""/>
    <w:docVar w:name="Taxi_43_4_2" w:val=""/>
    <w:docVar w:name="Taxi_44_1_2" w:val=""/>
    <w:docVar w:name="Taxi_44_2_2" w:val=""/>
    <w:docVar w:name="Taxi_44_3_2" w:val=""/>
    <w:docVar w:name="Taxi_44_4_2" w:val=""/>
    <w:docVar w:name="Taxi_45_1_2" w:val=""/>
    <w:docVar w:name="Taxi_45_2_2" w:val=""/>
    <w:docVar w:name="Taxi_45_3_2" w:val=""/>
    <w:docVar w:name="Taxi_45_4_2" w:val=""/>
    <w:docVar w:name="Taxi_46_1_2" w:val=""/>
    <w:docVar w:name="Taxi_46_2_2" w:val=""/>
    <w:docVar w:name="Taxi_46_3_2" w:val=""/>
    <w:docVar w:name="Taxi_46_4_2" w:val=""/>
    <w:docVar w:name="Taxi_47_1_2" w:val=""/>
    <w:docVar w:name="Taxi_47_2_2" w:val=""/>
    <w:docVar w:name="Taxi_47_3_2" w:val=""/>
    <w:docVar w:name="Taxi_47_4_1" w:val="@Ř"/>
    <w:docVar w:name="Taxi_47_4_2" w:val=""/>
    <w:docVar w:name="Taxi_48_1_2" w:val=""/>
    <w:docVar w:name="Taxi_48_2_2" w:val=""/>
    <w:docVar w:name="Taxi_48_3_2" w:val=""/>
    <w:docVar w:name="Taxi_48_4_2" w:val=""/>
    <w:docVar w:name="Taxi_49_1_2" w:val=""/>
    <w:docVar w:name="Taxi_49_2_2" w:val=""/>
    <w:docVar w:name="Taxi_49_3_2" w:val=""/>
    <w:docVar w:name="Taxi_49_4_2" w:val=""/>
    <w:docVar w:name="Taxi_50_1_2" w:val=""/>
    <w:docVar w:name="Taxi_50_2_2" w:val=""/>
    <w:docVar w:name="Taxi_50_3_2" w:val=""/>
    <w:docVar w:name="Taxi_50_4_2" w:val=""/>
    <w:docVar w:name="Taxi_51_1_2" w:val=""/>
    <w:docVar w:name="Taxi_51_2_2" w:val=""/>
    <w:docVar w:name="Taxi_51_3_2" w:val=""/>
    <w:docVar w:name="Taxi_51_4_2" w:val=""/>
    <w:docVar w:name="Taxi_52_1_2" w:val=""/>
    <w:docVar w:name="Taxi_52_2_2" w:val=""/>
    <w:docVar w:name="Taxi_52_3_2" w:val=""/>
    <w:docVar w:name="Taxi_52_4_2" w:val=""/>
    <w:docVar w:name="Taxi_53_1_2" w:val=""/>
    <w:docVar w:name="Taxi_53_2_2" w:val=""/>
    <w:docVar w:name="Taxi_53_3_2" w:val=""/>
    <w:docVar w:name="Taxi_53_4_2" w:val=""/>
    <w:docVar w:name="Taxi_54_1_2" w:val=""/>
    <w:docVar w:name="Taxi_54_2_2" w:val=""/>
    <w:docVar w:name="Taxi_54_3_2" w:val=""/>
    <w:docVar w:name="Taxi_54_4_2" w:val=""/>
    <w:docVar w:name="Taxi_55_1_2" w:val=""/>
    <w:docVar w:name="Taxi_55_2_2" w:val=""/>
    <w:docVar w:name="Taxi_55_3_2" w:val=""/>
    <w:docVar w:name="Taxi_55_4_2" w:val=""/>
    <w:docVar w:name="Taxi_56_1_2" w:val=""/>
    <w:docVar w:name="Taxi_56_2_2" w:val=""/>
    <w:docVar w:name="Taxi_56_3_2" w:val=""/>
    <w:docVar w:name="Taxi_56_4_2" w:val=""/>
    <w:docVar w:name="Taxi_57_1_2" w:val=""/>
    <w:docVar w:name="Taxi_57_2_2" w:val=""/>
    <w:docVar w:name="Taxi_57_3_2" w:val=""/>
    <w:docVar w:name="Taxi_57_4_2" w:val=""/>
    <w:docVar w:name="Taxi_58_1_2" w:val=""/>
    <w:docVar w:name="Taxi_58_2_2" w:val=""/>
    <w:docVar w:name="Taxi_58_3_2" w:val=""/>
    <w:docVar w:name="Taxi_58_4_2" w:val=""/>
    <w:docVar w:name="Taxi_59_1_2" w:val=""/>
    <w:docVar w:name="Taxi_59_2_2" w:val=""/>
    <w:docVar w:name="Taxi_59_3_2" w:val=""/>
    <w:docVar w:name="Taxi_59_4_2" w:val=""/>
    <w:docVar w:name="Taxi_60_1_2" w:val=""/>
    <w:docVar w:name="Taxi_60_2_2" w:val=""/>
    <w:docVar w:name="Taxi_60_3_2" w:val=""/>
    <w:docVar w:name="Taxi_60_4_2" w:val=""/>
    <w:docVar w:name="Taxi_61_1_2" w:val=""/>
    <w:docVar w:name="Taxi_61_2_2" w:val=""/>
    <w:docVar w:name="Taxi_61_3_2" w:val=""/>
    <w:docVar w:name="Taxi_61_4_2" w:val=""/>
    <w:docVar w:name="Taxi_62_1_2" w:val=""/>
    <w:docVar w:name="Taxi_62_2_2" w:val=""/>
    <w:docVar w:name="Taxi_62_3_2" w:val=""/>
    <w:docVar w:name="Taxi_62_4_2" w:val=""/>
    <w:docVar w:name="Taxi_63_1_2" w:val=""/>
    <w:docVar w:name="Taxi_63_2_2" w:val=""/>
    <w:docVar w:name="Taxi_63_3_2" w:val=""/>
    <w:docVar w:name="Taxi_63_4_2" w:val=""/>
    <w:docVar w:name="Taxi_64_1_2" w:val=""/>
    <w:docVar w:name="Taxi_64_2_2" w:val=""/>
    <w:docVar w:name="Taxi_64_3_2" w:val=""/>
    <w:docVar w:name="Taxi_64_4_2" w:val=""/>
    <w:docVar w:name="Taxi_65_1_2" w:val=""/>
    <w:docVar w:name="Taxi_65_2_2" w:val=""/>
    <w:docVar w:name="Taxi_65_3_2" w:val=""/>
    <w:docVar w:name="Taxi_65_4_2" w:val=""/>
    <w:docVar w:name="Taxi_66_1_2" w:val=""/>
    <w:docVar w:name="Taxi_66_2_2" w:val=""/>
    <w:docVar w:name="Taxi_66_3_2" w:val=""/>
    <w:docVar w:name="Taxi_66_4_2" w:val=""/>
    <w:docVar w:name="Taxi_67_1_2" w:val=""/>
    <w:docVar w:name="Taxi_67_2_2" w:val=""/>
    <w:docVar w:name="Taxi_67_3_2" w:val=""/>
    <w:docVar w:name="Taxi_67_4_2" w:val=""/>
    <w:docVar w:name="Taxi_68_1_2" w:val=""/>
    <w:docVar w:name="Taxi_68_2_2" w:val=""/>
    <w:docVar w:name="Taxi_68_3_2" w:val=""/>
    <w:docVar w:name="Taxi_68_4_2" w:val=""/>
    <w:docVar w:name="Taxi_69_1_2" w:val=""/>
    <w:docVar w:name="Taxi_69_2_2" w:val=""/>
    <w:docVar w:name="Taxi_69_3_2" w:val=""/>
    <w:docVar w:name="Taxi_69_4_2" w:val=""/>
    <w:docVar w:name="Taxi_70_1_2" w:val=""/>
    <w:docVar w:name="Taxi_70_2_2" w:val=""/>
    <w:docVar w:name="Taxi_70_3_2" w:val=""/>
    <w:docVar w:name="Taxi_70_4_2" w:val=""/>
    <w:docVar w:name="Taxi_71_1_2" w:val=""/>
    <w:docVar w:name="Taxi_71_2_2" w:val=""/>
    <w:docVar w:name="Taxi_71_3_2" w:val=""/>
    <w:docVar w:name="Taxi_71_4_2" w:val=""/>
    <w:docVar w:name="Taxi_72_1_2" w:val=""/>
    <w:docVar w:name="Taxi_72_2_2" w:val=""/>
    <w:docVar w:name="Taxi_72_3_2" w:val=""/>
    <w:docVar w:name="Taxi_72_4_1" w:val="ఀƞ ܋祠ƣ℀܋瘀ƴ⚸܋頠ȓ⇰܋饠ȓ⋠܋௠Ȗ⏐܋ಀȖ▰܋වȖ⡰܋๠Ȗ⥠܋⅀Ȗ⩐܋Є⭀܋ﷀЄⰰ܋⹠"/>
    <w:docVar w:name="Taxi_72_4_2" w:val=""/>
    <w:docVar w:name="Taxi_73_1_2" w:val=""/>
    <w:docVar w:name="Taxi_73_2_2" w:val=""/>
    <w:docVar w:name="Taxi_73_3_2" w:val=""/>
    <w:docVar w:name="Taxi_73_4_1" w:val="@Ř"/>
    <w:docVar w:name="Taxi_73_4_2" w:val=""/>
    <w:docVar w:name="Taxi_74_1_2" w:val=""/>
    <w:docVar w:name="Taxi_74_2_2" w:val=""/>
    <w:docVar w:name="Taxi_74_3_2" w:val=""/>
    <w:docVar w:name="Taxi_74_4_2" w:val=""/>
    <w:docVar w:name="Taxi_75_1_2" w:val=""/>
    <w:docVar w:name="Taxi_75_2_2" w:val=""/>
    <w:docVar w:name="Taxi_75_3_2" w:val=""/>
    <w:docVar w:name="Taxi_75_4_2" w:val=""/>
    <w:docVar w:name="Taxi_76_1_2" w:val=""/>
    <w:docVar w:name="Taxi_76_2_2" w:val=""/>
    <w:docVar w:name="Taxi_76_3_2" w:val=""/>
    <w:docVar w:name="Taxi_76_4_2" w:val=""/>
    <w:docVar w:name="Taxi_77_1_2" w:val=""/>
    <w:docVar w:name="Taxi_77_2_2" w:val=""/>
    <w:docVar w:name="Taxi_77_3_2" w:val=""/>
    <w:docVar w:name="Taxi_77_4_1" w:val="@Ř"/>
    <w:docVar w:name="Taxi_77_4_2" w:val=""/>
    <w:docVar w:name="Taxi_78_1_2" w:val=""/>
    <w:docVar w:name="Taxi_78_2_2" w:val=""/>
    <w:docVar w:name="Taxi_78_3_1" w:val="@Ř"/>
    <w:docVar w:name="Taxi_78_3_2" w:val=""/>
    <w:docVar w:name="Taxi_78_4_2" w:val=""/>
    <w:docVar w:name="Taxi_79_1_2" w:val=""/>
    <w:docVar w:name="Taxi_79_2_2" w:val=""/>
    <w:docVar w:name="Taxi_79_3_2" w:val=""/>
    <w:docVar w:name="Taxi_79_4_2" w:val=""/>
    <w:docVar w:name="Taxi_80_1_2" w:val=""/>
    <w:docVar w:name="Taxi_80_2_2" w:val=""/>
    <w:docVar w:name="Taxi_80_3_2" w:val=""/>
    <w:docVar w:name="Taxi_80_4_1" w:val="@Ř"/>
    <w:docVar w:name="Taxi_80_4_2" w:val=""/>
    <w:docVar w:name="Taxi_81_1_2" w:val=""/>
    <w:docVar w:name="Taxi_81_2_2" w:val=""/>
    <w:docVar w:name="Taxi_81_3_2" w:val=""/>
    <w:docVar w:name="Taxi_81_4_2" w:val=""/>
    <w:docVar w:name="Taxi_82_1_2" w:val=""/>
    <w:docVar w:name="Taxi_82_2_2" w:val=""/>
    <w:docVar w:name="Taxi_82_3_2" w:val=""/>
    <w:docVar w:name="Taxi_82_4_1" w:val="@Ř"/>
    <w:docVar w:name="Taxi_82_4_2" w:val=""/>
    <w:docVar w:name="Taxi_83_1_2" w:val=""/>
    <w:docVar w:name="Taxi_83_2_2" w:val=""/>
    <w:docVar w:name="Taxi_83_3_2" w:val=""/>
    <w:docVar w:name="Taxi_83_4_2" w:val=""/>
    <w:docVar w:name="Taxi_84_1_2" w:val=""/>
    <w:docVar w:name="Taxi_84_2_2" w:val=""/>
    <w:docVar w:name="Taxi_84_3_2" w:val=""/>
    <w:docVar w:name="Taxi_84_4_2" w:val=""/>
    <w:docVar w:name="Taxi_85_1_2" w:val=""/>
    <w:docVar w:name="Taxi_85_2_2" w:val=""/>
    <w:docVar w:name="Taxi_85_3_2" w:val=""/>
    <w:docVar w:name="Taxi_85_4_2" w:val=""/>
    <w:docVar w:name="Taxi_86_1_2" w:val=""/>
    <w:docVar w:name="Taxi_86_2_2" w:val=""/>
    <w:docVar w:name="Taxi_86_3_2" w:val=""/>
    <w:docVar w:name="Taxi_86_4_2" w:val=""/>
    <w:docVar w:name="Taxi_87_1_2" w:val=""/>
    <w:docVar w:name="Taxi_87_2_2" w:val=""/>
    <w:docVar w:name="Taxi_87_3_2" w:val=""/>
    <w:docVar w:name="Taxi_87_4_2" w:val=""/>
    <w:docVar w:name="Taxi_88_1_2" w:val=""/>
    <w:docVar w:name="Taxi_88_2_2" w:val=""/>
    <w:docVar w:name="Taxi_88_3_2" w:val=""/>
    <w:docVar w:name="Taxi_88_4_2" w:val=""/>
    <w:docVar w:name="Taxi_89_1_2" w:val=""/>
    <w:docVar w:name="Taxi_89_2_2" w:val=""/>
    <w:docVar w:name="Taxi_89_3_2" w:val=""/>
    <w:docVar w:name="Taxi_89_4_2" w:val=""/>
    <w:docVar w:name="Taxi_90_1_2" w:val=""/>
    <w:docVar w:name="Taxi_90_2_2" w:val=""/>
    <w:docVar w:name="Taxi_90_3_2" w:val=""/>
    <w:docVar w:name="Taxi_90_4_2" w:val=""/>
    <w:docVar w:name="Taxi_91_1_2" w:val=""/>
    <w:docVar w:name="Taxi_91_2_2" w:val=""/>
    <w:docVar w:name="Taxi_91_3_2" w:val=""/>
    <w:docVar w:name="Taxi_91_4_2" w:val=""/>
    <w:docVar w:name="Taxi_92_1_2" w:val=""/>
    <w:docVar w:name="Taxi_92_2_2" w:val=""/>
    <w:docVar w:name="Taxi_92_3_2" w:val=""/>
    <w:docVar w:name="Taxi_92_4_2" w:val=""/>
    <w:docVar w:name="Taxi_93_1_2" w:val=""/>
    <w:docVar w:name="Taxi_93_2_2" w:val=""/>
    <w:docVar w:name="Taxi_93_3_2" w:val=""/>
    <w:docVar w:name="Taxi_93_4_2" w:val=""/>
    <w:docVar w:name="Taxi_94_1_2" w:val=""/>
    <w:docVar w:name="Taxi_94_2_2" w:val=""/>
    <w:docVar w:name="Taxi_94_3_2" w:val=""/>
    <w:docVar w:name="Taxi_94_4_2" w:val=""/>
    <w:docVar w:name="Taxi_95_1_2" w:val=""/>
    <w:docVar w:name="Taxi_95_2_2" w:val=""/>
    <w:docVar w:name="Taxi_95_3_2" w:val=""/>
    <w:docVar w:name="Taxi_95_4_2" w:val=""/>
    <w:docVar w:name="Taxi_96_1_2" w:val=""/>
    <w:docVar w:name="Taxi_96_2_2" w:val=""/>
    <w:docVar w:name="Taxi_96_3_2" w:val=""/>
    <w:docVar w:name="Taxi_96_4_2" w:val=""/>
    <w:docVar w:name="Taxi_97_1_2" w:val=""/>
    <w:docVar w:name="Taxi_97_2_2" w:val=""/>
    <w:docVar w:name="Taxi_97_3_2" w:val=""/>
    <w:docVar w:name="Taxi_97_4_2" w:val=""/>
    <w:docVar w:name="Taxi_98_1_2" w:val=""/>
    <w:docVar w:name="Taxi_98_2_2" w:val=""/>
    <w:docVar w:name="Taxi_98_3_2" w:val=""/>
    <w:docVar w:name="Taxi_98_4_2" w:val=""/>
    <w:docVar w:name="Taxi_99_1_2" w:val=""/>
    <w:docVar w:name="Taxi_99_2_2" w:val=""/>
    <w:docVar w:name="Taxi_99_3_2" w:val=""/>
    <w:docVar w:name="Taxi_99_4_2" w:val=""/>
    <w:docVar w:name="tbCustomerName" w:val=""/>
    <w:docVar w:name="tbDocumentIntroduction" w:val="@Ř"/>
    <w:docVar w:name="tbDocumentIntroductionCredit" w:val=""/>
    <w:docVar w:name="tbOverviewBenefits1" w:val=""/>
    <w:docVar w:name="tbOverviewBenefits2" w:val=""/>
    <w:docVar w:name="tbOverviewBenefits3" w:val=""/>
    <w:docVar w:name="tbOverviewBenefits4" w:val=""/>
    <w:docVar w:name="tbOverviewBenefits5" w:val=""/>
    <w:docVar w:name="tbOverviewBusinessSituation" w:val="Word is preparing to background save case study - urzad rejestracji substancji biobojczych:  (50%)"/>
    <w:docVar w:name="tbOverviewCountry" w:val="TTTTT"/>
    <w:docVar w:name="tbOverviewIndustry" w:val=""/>
    <w:docVar w:name="TotalRows" w:val=""/>
  </w:docVars>
  <w:rsids>
    <w:rsidRoot w:val="00F24782"/>
    <w:rsid w:val="000014FE"/>
    <w:rsid w:val="00004130"/>
    <w:rsid w:val="000143A0"/>
    <w:rsid w:val="00014935"/>
    <w:rsid w:val="00015959"/>
    <w:rsid w:val="00024EFC"/>
    <w:rsid w:val="000258EC"/>
    <w:rsid w:val="00025A72"/>
    <w:rsid w:val="000375DD"/>
    <w:rsid w:val="00041009"/>
    <w:rsid w:val="000442E4"/>
    <w:rsid w:val="00050AE3"/>
    <w:rsid w:val="00055574"/>
    <w:rsid w:val="000609FC"/>
    <w:rsid w:val="00061750"/>
    <w:rsid w:val="0006491F"/>
    <w:rsid w:val="00065CE3"/>
    <w:rsid w:val="00070519"/>
    <w:rsid w:val="0007318C"/>
    <w:rsid w:val="00076A67"/>
    <w:rsid w:val="00086E76"/>
    <w:rsid w:val="00095033"/>
    <w:rsid w:val="000A2E91"/>
    <w:rsid w:val="000A7CC5"/>
    <w:rsid w:val="000B00FE"/>
    <w:rsid w:val="000B1BEA"/>
    <w:rsid w:val="000C4803"/>
    <w:rsid w:val="000C5111"/>
    <w:rsid w:val="000C5B2C"/>
    <w:rsid w:val="000D0535"/>
    <w:rsid w:val="000D1DCF"/>
    <w:rsid w:val="000E55FA"/>
    <w:rsid w:val="000F3CF2"/>
    <w:rsid w:val="0010196A"/>
    <w:rsid w:val="00102793"/>
    <w:rsid w:val="00103985"/>
    <w:rsid w:val="001160D7"/>
    <w:rsid w:val="00130A86"/>
    <w:rsid w:val="001329B6"/>
    <w:rsid w:val="00137350"/>
    <w:rsid w:val="00143A17"/>
    <w:rsid w:val="00152B1B"/>
    <w:rsid w:val="001572B3"/>
    <w:rsid w:val="001645E8"/>
    <w:rsid w:val="00170F3B"/>
    <w:rsid w:val="00172CBB"/>
    <w:rsid w:val="001757FA"/>
    <w:rsid w:val="001771A9"/>
    <w:rsid w:val="001975A5"/>
    <w:rsid w:val="001A3AF8"/>
    <w:rsid w:val="001B45C3"/>
    <w:rsid w:val="001B7493"/>
    <w:rsid w:val="001C23BE"/>
    <w:rsid w:val="001C4650"/>
    <w:rsid w:val="001C5ECA"/>
    <w:rsid w:val="001C69FD"/>
    <w:rsid w:val="001D366C"/>
    <w:rsid w:val="001D3FBC"/>
    <w:rsid w:val="001D7CC4"/>
    <w:rsid w:val="001D7FDC"/>
    <w:rsid w:val="001E3877"/>
    <w:rsid w:val="001E5EF7"/>
    <w:rsid w:val="001E67B7"/>
    <w:rsid w:val="001F17DB"/>
    <w:rsid w:val="001F4474"/>
    <w:rsid w:val="001F49D8"/>
    <w:rsid w:val="001F4F8F"/>
    <w:rsid w:val="00206062"/>
    <w:rsid w:val="00231C80"/>
    <w:rsid w:val="00235143"/>
    <w:rsid w:val="00244206"/>
    <w:rsid w:val="0024609A"/>
    <w:rsid w:val="002509BF"/>
    <w:rsid w:val="00252692"/>
    <w:rsid w:val="0025756B"/>
    <w:rsid w:val="0026223C"/>
    <w:rsid w:val="00263177"/>
    <w:rsid w:val="002678C0"/>
    <w:rsid w:val="00277488"/>
    <w:rsid w:val="00284759"/>
    <w:rsid w:val="0028568A"/>
    <w:rsid w:val="00285C76"/>
    <w:rsid w:val="00287C27"/>
    <w:rsid w:val="00297F44"/>
    <w:rsid w:val="002A4D17"/>
    <w:rsid w:val="002B1BDF"/>
    <w:rsid w:val="002B2300"/>
    <w:rsid w:val="002C18A8"/>
    <w:rsid w:val="002C2245"/>
    <w:rsid w:val="002C7ABF"/>
    <w:rsid w:val="002E5E52"/>
    <w:rsid w:val="002F7415"/>
    <w:rsid w:val="00300F16"/>
    <w:rsid w:val="00301A5D"/>
    <w:rsid w:val="00301EE5"/>
    <w:rsid w:val="00307692"/>
    <w:rsid w:val="00310309"/>
    <w:rsid w:val="00313AE6"/>
    <w:rsid w:val="00315DF1"/>
    <w:rsid w:val="00322528"/>
    <w:rsid w:val="0033601F"/>
    <w:rsid w:val="00354BE4"/>
    <w:rsid w:val="00360F10"/>
    <w:rsid w:val="00370B48"/>
    <w:rsid w:val="00375CD9"/>
    <w:rsid w:val="00381EC2"/>
    <w:rsid w:val="00384240"/>
    <w:rsid w:val="00391B50"/>
    <w:rsid w:val="003A3BC4"/>
    <w:rsid w:val="003A5BE4"/>
    <w:rsid w:val="003A78F9"/>
    <w:rsid w:val="003C1D3A"/>
    <w:rsid w:val="003C244A"/>
    <w:rsid w:val="003C4496"/>
    <w:rsid w:val="003D02AF"/>
    <w:rsid w:val="003D08D6"/>
    <w:rsid w:val="003D664E"/>
    <w:rsid w:val="003E2FE3"/>
    <w:rsid w:val="003E4B81"/>
    <w:rsid w:val="003F15B2"/>
    <w:rsid w:val="003F5274"/>
    <w:rsid w:val="003F6C6B"/>
    <w:rsid w:val="0040722C"/>
    <w:rsid w:val="004252EE"/>
    <w:rsid w:val="004274DC"/>
    <w:rsid w:val="00431C62"/>
    <w:rsid w:val="00431EC2"/>
    <w:rsid w:val="00432717"/>
    <w:rsid w:val="00433950"/>
    <w:rsid w:val="00442B05"/>
    <w:rsid w:val="00447519"/>
    <w:rsid w:val="00450D6F"/>
    <w:rsid w:val="004525C2"/>
    <w:rsid w:val="0045491D"/>
    <w:rsid w:val="004657B8"/>
    <w:rsid w:val="0048403D"/>
    <w:rsid w:val="0048415E"/>
    <w:rsid w:val="00492305"/>
    <w:rsid w:val="004957F1"/>
    <w:rsid w:val="004969DE"/>
    <w:rsid w:val="004A3FD7"/>
    <w:rsid w:val="004B77A6"/>
    <w:rsid w:val="004E28CC"/>
    <w:rsid w:val="004E70A9"/>
    <w:rsid w:val="004E7D4C"/>
    <w:rsid w:val="004F31FD"/>
    <w:rsid w:val="00500E55"/>
    <w:rsid w:val="0050488F"/>
    <w:rsid w:val="00505E90"/>
    <w:rsid w:val="005067E7"/>
    <w:rsid w:val="00510D11"/>
    <w:rsid w:val="00513957"/>
    <w:rsid w:val="0052269B"/>
    <w:rsid w:val="005247FA"/>
    <w:rsid w:val="005255FD"/>
    <w:rsid w:val="00534247"/>
    <w:rsid w:val="005425A6"/>
    <w:rsid w:val="00551571"/>
    <w:rsid w:val="00551C6E"/>
    <w:rsid w:val="00563095"/>
    <w:rsid w:val="00566003"/>
    <w:rsid w:val="00573D35"/>
    <w:rsid w:val="0058479F"/>
    <w:rsid w:val="00584D8A"/>
    <w:rsid w:val="00585AAD"/>
    <w:rsid w:val="00590F2B"/>
    <w:rsid w:val="00591795"/>
    <w:rsid w:val="00594379"/>
    <w:rsid w:val="00596DD2"/>
    <w:rsid w:val="005A0CC4"/>
    <w:rsid w:val="005A2D3B"/>
    <w:rsid w:val="005A4E47"/>
    <w:rsid w:val="005B07B3"/>
    <w:rsid w:val="005B0C71"/>
    <w:rsid w:val="005B4426"/>
    <w:rsid w:val="005C33FF"/>
    <w:rsid w:val="005C6A29"/>
    <w:rsid w:val="005D4599"/>
    <w:rsid w:val="005E201B"/>
    <w:rsid w:val="0060083F"/>
    <w:rsid w:val="00623FF4"/>
    <w:rsid w:val="00627C82"/>
    <w:rsid w:val="00632F02"/>
    <w:rsid w:val="006362A9"/>
    <w:rsid w:val="0065034F"/>
    <w:rsid w:val="00653369"/>
    <w:rsid w:val="00671166"/>
    <w:rsid w:val="00683428"/>
    <w:rsid w:val="00696639"/>
    <w:rsid w:val="006A338F"/>
    <w:rsid w:val="006A4D76"/>
    <w:rsid w:val="006A76FF"/>
    <w:rsid w:val="006B5154"/>
    <w:rsid w:val="006C4ECA"/>
    <w:rsid w:val="006D333B"/>
    <w:rsid w:val="006E1865"/>
    <w:rsid w:val="006E24BF"/>
    <w:rsid w:val="006E5371"/>
    <w:rsid w:val="006F1123"/>
    <w:rsid w:val="00707123"/>
    <w:rsid w:val="00712924"/>
    <w:rsid w:val="00717F5D"/>
    <w:rsid w:val="007203FB"/>
    <w:rsid w:val="00733142"/>
    <w:rsid w:val="0074444F"/>
    <w:rsid w:val="007527A4"/>
    <w:rsid w:val="00753791"/>
    <w:rsid w:val="00757AB4"/>
    <w:rsid w:val="007640C9"/>
    <w:rsid w:val="007657FD"/>
    <w:rsid w:val="007658E3"/>
    <w:rsid w:val="007666CD"/>
    <w:rsid w:val="00772BE8"/>
    <w:rsid w:val="0077664C"/>
    <w:rsid w:val="00790A53"/>
    <w:rsid w:val="007918B8"/>
    <w:rsid w:val="00791F5B"/>
    <w:rsid w:val="007B7F86"/>
    <w:rsid w:val="007C1028"/>
    <w:rsid w:val="007C44CF"/>
    <w:rsid w:val="007D69C6"/>
    <w:rsid w:val="007F7598"/>
    <w:rsid w:val="00801844"/>
    <w:rsid w:val="00805195"/>
    <w:rsid w:val="00812A1E"/>
    <w:rsid w:val="00813688"/>
    <w:rsid w:val="008162CB"/>
    <w:rsid w:val="00825412"/>
    <w:rsid w:val="008336AB"/>
    <w:rsid w:val="00836FF1"/>
    <w:rsid w:val="00837518"/>
    <w:rsid w:val="00846452"/>
    <w:rsid w:val="008470E2"/>
    <w:rsid w:val="00851CD1"/>
    <w:rsid w:val="008621AB"/>
    <w:rsid w:val="00862A46"/>
    <w:rsid w:val="008676FF"/>
    <w:rsid w:val="008724D5"/>
    <w:rsid w:val="00880676"/>
    <w:rsid w:val="00881E33"/>
    <w:rsid w:val="00884450"/>
    <w:rsid w:val="008A02CC"/>
    <w:rsid w:val="008A1B9B"/>
    <w:rsid w:val="008A43A2"/>
    <w:rsid w:val="008B0301"/>
    <w:rsid w:val="008B15E7"/>
    <w:rsid w:val="008B161B"/>
    <w:rsid w:val="008B2C11"/>
    <w:rsid w:val="008B4F29"/>
    <w:rsid w:val="008C0B3F"/>
    <w:rsid w:val="008D06D8"/>
    <w:rsid w:val="008D35CA"/>
    <w:rsid w:val="008D41C5"/>
    <w:rsid w:val="008D51F6"/>
    <w:rsid w:val="008E2C93"/>
    <w:rsid w:val="008E3EDC"/>
    <w:rsid w:val="008E6424"/>
    <w:rsid w:val="008F1363"/>
    <w:rsid w:val="00906290"/>
    <w:rsid w:val="00930EC4"/>
    <w:rsid w:val="00937950"/>
    <w:rsid w:val="0094316D"/>
    <w:rsid w:val="00943DCD"/>
    <w:rsid w:val="0094404F"/>
    <w:rsid w:val="00947A13"/>
    <w:rsid w:val="009512C9"/>
    <w:rsid w:val="009522C5"/>
    <w:rsid w:val="00955E32"/>
    <w:rsid w:val="00961D32"/>
    <w:rsid w:val="00966634"/>
    <w:rsid w:val="0098082C"/>
    <w:rsid w:val="00982C34"/>
    <w:rsid w:val="009861E5"/>
    <w:rsid w:val="0099489F"/>
    <w:rsid w:val="009C4310"/>
    <w:rsid w:val="009C74EA"/>
    <w:rsid w:val="009D071F"/>
    <w:rsid w:val="009D67D9"/>
    <w:rsid w:val="009D6DCE"/>
    <w:rsid w:val="009D73CC"/>
    <w:rsid w:val="009E635F"/>
    <w:rsid w:val="00A00E0A"/>
    <w:rsid w:val="00A17B82"/>
    <w:rsid w:val="00A207B6"/>
    <w:rsid w:val="00A30027"/>
    <w:rsid w:val="00A47880"/>
    <w:rsid w:val="00A53360"/>
    <w:rsid w:val="00A55A75"/>
    <w:rsid w:val="00A56EAE"/>
    <w:rsid w:val="00A63836"/>
    <w:rsid w:val="00A76722"/>
    <w:rsid w:val="00A81FCC"/>
    <w:rsid w:val="00A822D2"/>
    <w:rsid w:val="00A84A61"/>
    <w:rsid w:val="00AB69FD"/>
    <w:rsid w:val="00AC5B3C"/>
    <w:rsid w:val="00AD21B2"/>
    <w:rsid w:val="00AD3147"/>
    <w:rsid w:val="00AE5DA1"/>
    <w:rsid w:val="00AF3376"/>
    <w:rsid w:val="00AF3E57"/>
    <w:rsid w:val="00B014D5"/>
    <w:rsid w:val="00B05EF3"/>
    <w:rsid w:val="00B0771B"/>
    <w:rsid w:val="00B13C30"/>
    <w:rsid w:val="00B17ABE"/>
    <w:rsid w:val="00B21C60"/>
    <w:rsid w:val="00B23E4F"/>
    <w:rsid w:val="00B26C16"/>
    <w:rsid w:val="00B41D27"/>
    <w:rsid w:val="00B46DD7"/>
    <w:rsid w:val="00B620F0"/>
    <w:rsid w:val="00B641CC"/>
    <w:rsid w:val="00B676FA"/>
    <w:rsid w:val="00B70061"/>
    <w:rsid w:val="00B7347F"/>
    <w:rsid w:val="00B7382C"/>
    <w:rsid w:val="00B81F6B"/>
    <w:rsid w:val="00B8430B"/>
    <w:rsid w:val="00B858BA"/>
    <w:rsid w:val="00B85CED"/>
    <w:rsid w:val="00BB1EAB"/>
    <w:rsid w:val="00BC2027"/>
    <w:rsid w:val="00BD5361"/>
    <w:rsid w:val="00BE0121"/>
    <w:rsid w:val="00BE3053"/>
    <w:rsid w:val="00BE5743"/>
    <w:rsid w:val="00C030CB"/>
    <w:rsid w:val="00C03361"/>
    <w:rsid w:val="00C13958"/>
    <w:rsid w:val="00C376DA"/>
    <w:rsid w:val="00C43F9C"/>
    <w:rsid w:val="00C44255"/>
    <w:rsid w:val="00C5073C"/>
    <w:rsid w:val="00C53048"/>
    <w:rsid w:val="00C636DD"/>
    <w:rsid w:val="00C71C34"/>
    <w:rsid w:val="00C727C8"/>
    <w:rsid w:val="00C944AC"/>
    <w:rsid w:val="00CA01DB"/>
    <w:rsid w:val="00CA72B2"/>
    <w:rsid w:val="00CB5098"/>
    <w:rsid w:val="00CD0493"/>
    <w:rsid w:val="00CD4D2E"/>
    <w:rsid w:val="00CD7C50"/>
    <w:rsid w:val="00CE1EE7"/>
    <w:rsid w:val="00CF0310"/>
    <w:rsid w:val="00D219DF"/>
    <w:rsid w:val="00D366AC"/>
    <w:rsid w:val="00D3701E"/>
    <w:rsid w:val="00D41002"/>
    <w:rsid w:val="00D4568D"/>
    <w:rsid w:val="00D469E9"/>
    <w:rsid w:val="00D57116"/>
    <w:rsid w:val="00D5789F"/>
    <w:rsid w:val="00D61757"/>
    <w:rsid w:val="00D655F4"/>
    <w:rsid w:val="00D66E7D"/>
    <w:rsid w:val="00D72944"/>
    <w:rsid w:val="00D74129"/>
    <w:rsid w:val="00D754AD"/>
    <w:rsid w:val="00D9036B"/>
    <w:rsid w:val="00D905A3"/>
    <w:rsid w:val="00D960FF"/>
    <w:rsid w:val="00D97090"/>
    <w:rsid w:val="00DA2565"/>
    <w:rsid w:val="00DA5EBE"/>
    <w:rsid w:val="00DC372C"/>
    <w:rsid w:val="00DD216C"/>
    <w:rsid w:val="00DE373C"/>
    <w:rsid w:val="00DE6F98"/>
    <w:rsid w:val="00DF5037"/>
    <w:rsid w:val="00DF6B95"/>
    <w:rsid w:val="00DF73DD"/>
    <w:rsid w:val="00E07E04"/>
    <w:rsid w:val="00E140D5"/>
    <w:rsid w:val="00E274D9"/>
    <w:rsid w:val="00E31D1D"/>
    <w:rsid w:val="00E360CF"/>
    <w:rsid w:val="00E36FAC"/>
    <w:rsid w:val="00E41581"/>
    <w:rsid w:val="00E64BBF"/>
    <w:rsid w:val="00E67440"/>
    <w:rsid w:val="00E91C03"/>
    <w:rsid w:val="00E94896"/>
    <w:rsid w:val="00E9732B"/>
    <w:rsid w:val="00EB02A0"/>
    <w:rsid w:val="00EC014C"/>
    <w:rsid w:val="00EC79AE"/>
    <w:rsid w:val="00ED02E5"/>
    <w:rsid w:val="00ED2F55"/>
    <w:rsid w:val="00ED3529"/>
    <w:rsid w:val="00ED4157"/>
    <w:rsid w:val="00F005B8"/>
    <w:rsid w:val="00F075B8"/>
    <w:rsid w:val="00F21188"/>
    <w:rsid w:val="00F21F25"/>
    <w:rsid w:val="00F24782"/>
    <w:rsid w:val="00F3073F"/>
    <w:rsid w:val="00F42899"/>
    <w:rsid w:val="00F44DCC"/>
    <w:rsid w:val="00F47D44"/>
    <w:rsid w:val="00F55EDB"/>
    <w:rsid w:val="00F64595"/>
    <w:rsid w:val="00F81485"/>
    <w:rsid w:val="00F83D7D"/>
    <w:rsid w:val="00F86607"/>
    <w:rsid w:val="00F90652"/>
    <w:rsid w:val="00F9757A"/>
    <w:rsid w:val="00FA05AB"/>
    <w:rsid w:val="00FA1598"/>
    <w:rsid w:val="00FB1375"/>
    <w:rsid w:val="00FB4FD1"/>
    <w:rsid w:val="00FC4607"/>
    <w:rsid w:val="00FC4A0E"/>
    <w:rsid w:val="00FC4C4C"/>
    <w:rsid w:val="00FC6938"/>
    <w:rsid w:val="00FF3C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16C"/>
    <w:rPr>
      <w:rFonts w:ascii="Franklin Gothic Book" w:hAnsi="Franklin Gothic Book"/>
      <w:sz w:val="17"/>
      <w:szCs w:val="24"/>
      <w:lang w:eastAsia="en-US"/>
    </w:rPr>
  </w:style>
  <w:style w:type="paragraph" w:styleId="Heading1">
    <w:name w:val="heading 1"/>
    <w:basedOn w:val="Normal"/>
    <w:next w:val="Normal"/>
    <w:qFormat/>
    <w:rsid w:val="00DD216C"/>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DD216C"/>
    <w:pPr>
      <w:tabs>
        <w:tab w:val="num" w:pos="1440"/>
      </w:tabs>
      <w:spacing w:after="240"/>
      <w:ind w:left="1440" w:hanging="720"/>
      <w:jc w:val="left"/>
      <w:outlineLvl w:val="1"/>
    </w:pPr>
    <w:rPr>
      <w:kern w:val="0"/>
      <w:sz w:val="26"/>
    </w:rPr>
  </w:style>
  <w:style w:type="paragraph" w:styleId="Heading3">
    <w:name w:val="heading 3"/>
    <w:basedOn w:val="Normal"/>
    <w:next w:val="Normal"/>
    <w:qFormat/>
    <w:rsid w:val="00DD216C"/>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DD216C"/>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DD216C"/>
    <w:pPr>
      <w:ind w:left="1134"/>
    </w:pPr>
    <w:rPr>
      <w:rFonts w:ascii="Lucida Sans Typewriter" w:hAnsi="Lucida Sans Typewriter"/>
      <w:sz w:val="20"/>
    </w:rPr>
  </w:style>
  <w:style w:type="paragraph" w:styleId="Footer">
    <w:name w:val="footer"/>
    <w:basedOn w:val="Normal"/>
    <w:rsid w:val="00DD216C"/>
    <w:pPr>
      <w:tabs>
        <w:tab w:val="center" w:pos="4153"/>
        <w:tab w:val="right" w:pos="8306"/>
      </w:tabs>
    </w:pPr>
  </w:style>
  <w:style w:type="paragraph" w:styleId="Header">
    <w:name w:val="header"/>
    <w:basedOn w:val="Normal"/>
    <w:rsid w:val="00DD216C"/>
    <w:pPr>
      <w:tabs>
        <w:tab w:val="center" w:pos="4153"/>
        <w:tab w:val="right" w:pos="8306"/>
      </w:tabs>
      <w:jc w:val="both"/>
    </w:pPr>
    <w:rPr>
      <w:sz w:val="16"/>
      <w:szCs w:val="20"/>
      <w:lang w:bidi="he-IL"/>
    </w:rPr>
  </w:style>
  <w:style w:type="paragraph" w:styleId="EnvelopeReturn">
    <w:name w:val="envelope return"/>
    <w:basedOn w:val="Normal"/>
    <w:rsid w:val="00DD216C"/>
    <w:rPr>
      <w:rFonts w:ascii="FundRunk-Normal" w:hAnsi="FundRunk-Normal"/>
      <w:i/>
      <w:sz w:val="48"/>
      <w:szCs w:val="48"/>
    </w:rPr>
  </w:style>
  <w:style w:type="paragraph" w:styleId="CommentText">
    <w:name w:val="annotation text"/>
    <w:basedOn w:val="Normal"/>
    <w:link w:val="CommentTextChar"/>
    <w:semiHidden/>
    <w:rsid w:val="00DD216C"/>
    <w:rPr>
      <w:sz w:val="24"/>
    </w:rPr>
  </w:style>
  <w:style w:type="paragraph" w:customStyle="1" w:styleId="Answer">
    <w:name w:val="Answer"/>
    <w:basedOn w:val="Normal"/>
    <w:next w:val="Question"/>
    <w:rsid w:val="00DD216C"/>
    <w:pPr>
      <w:numPr>
        <w:numId w:val="3"/>
      </w:numPr>
    </w:pPr>
    <w:rPr>
      <w:i/>
    </w:rPr>
  </w:style>
  <w:style w:type="paragraph" w:customStyle="1" w:styleId="Question">
    <w:name w:val="Question"/>
    <w:basedOn w:val="Normal"/>
    <w:next w:val="Answer"/>
    <w:rsid w:val="00DD216C"/>
    <w:pPr>
      <w:numPr>
        <w:numId w:val="2"/>
      </w:numPr>
    </w:pPr>
  </w:style>
  <w:style w:type="paragraph" w:customStyle="1" w:styleId="Bodycopy">
    <w:name w:val="Body copy"/>
    <w:basedOn w:val="Normal"/>
    <w:rsid w:val="00DD216C"/>
    <w:pPr>
      <w:spacing w:line="240" w:lineRule="exact"/>
    </w:pPr>
    <w:rPr>
      <w:lang w:val="en-US"/>
    </w:rPr>
  </w:style>
  <w:style w:type="paragraph" w:customStyle="1" w:styleId="SectionHeading">
    <w:name w:val="Section Heading"/>
    <w:basedOn w:val="ColoredText"/>
    <w:next w:val="Bodycopy"/>
    <w:rsid w:val="00DD216C"/>
    <w:rPr>
      <w:rFonts w:ascii="Franklin Gothic Medium" w:hAnsi="Franklin Gothic Medium"/>
      <w:sz w:val="24"/>
    </w:rPr>
  </w:style>
  <w:style w:type="paragraph" w:customStyle="1" w:styleId="Subject">
    <w:name w:val="Subject"/>
    <w:basedOn w:val="Normal"/>
    <w:rsid w:val="00DD216C"/>
    <w:pPr>
      <w:jc w:val="center"/>
    </w:pPr>
    <w:rPr>
      <w:rFonts w:ascii="Century Schoolbook" w:hAnsi="Century Schoolbook"/>
      <w:b/>
      <w:sz w:val="32"/>
      <w:u w:val="single"/>
    </w:rPr>
  </w:style>
  <w:style w:type="paragraph" w:styleId="PlainText">
    <w:name w:val="Plain Text"/>
    <w:basedOn w:val="Normal"/>
    <w:rsid w:val="00DD216C"/>
    <w:rPr>
      <w:sz w:val="22"/>
    </w:rPr>
  </w:style>
  <w:style w:type="paragraph" w:customStyle="1" w:styleId="MergedAnswer">
    <w:name w:val="MergedAnswer"/>
    <w:basedOn w:val="Normal"/>
    <w:rsid w:val="00DD216C"/>
  </w:style>
  <w:style w:type="paragraph" w:styleId="TOC2">
    <w:name w:val="toc 2"/>
    <w:basedOn w:val="Normal"/>
    <w:next w:val="Normal"/>
    <w:autoRedefine/>
    <w:semiHidden/>
    <w:rsid w:val="00DD216C"/>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DD216C"/>
    <w:pPr>
      <w:spacing w:line="360" w:lineRule="exact"/>
    </w:pPr>
    <w:rPr>
      <w:sz w:val="24"/>
    </w:rPr>
  </w:style>
  <w:style w:type="paragraph" w:customStyle="1" w:styleId="PartnerName">
    <w:name w:val="Partner Name"/>
    <w:basedOn w:val="ColoredText"/>
    <w:rsid w:val="00DD216C"/>
    <w:pPr>
      <w:spacing w:after="10" w:line="240" w:lineRule="auto"/>
    </w:pPr>
    <w:rPr>
      <w:rFonts w:ascii="Franklin Gothic Medium" w:hAnsi="Franklin Gothic Medium"/>
      <w:bCs/>
      <w:sz w:val="32"/>
    </w:rPr>
  </w:style>
  <w:style w:type="paragraph" w:customStyle="1" w:styleId="WHITEPAPER">
    <w:name w:val="WHITE PAPER"/>
    <w:basedOn w:val="ColoredText"/>
    <w:rsid w:val="00DD216C"/>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DD216C"/>
    <w:pPr>
      <w:spacing w:before="40" w:after="20"/>
    </w:pPr>
    <w:rPr>
      <w:rFonts w:ascii="Franklin Gothic Medium" w:hAnsi="Franklin Gothic Medium"/>
      <w:b/>
      <w:bCs/>
    </w:rPr>
  </w:style>
  <w:style w:type="paragraph" w:customStyle="1" w:styleId="Bullet">
    <w:name w:val="Bullet"/>
    <w:basedOn w:val="Bulletcolored"/>
    <w:rsid w:val="00DD216C"/>
    <w:pPr>
      <w:numPr>
        <w:numId w:val="10"/>
      </w:numPr>
    </w:pPr>
    <w:rPr>
      <w:color w:val="auto"/>
    </w:rPr>
  </w:style>
  <w:style w:type="paragraph" w:customStyle="1" w:styleId="Bodycopyheading">
    <w:name w:val="Body copy heading"/>
    <w:basedOn w:val="Bodycopy"/>
    <w:next w:val="Bodycopy"/>
    <w:rsid w:val="00DD216C"/>
    <w:rPr>
      <w:rFonts w:ascii="Franklin Gothic Heavy" w:hAnsi="Franklin Gothic Heavy"/>
      <w:szCs w:val="17"/>
    </w:rPr>
  </w:style>
  <w:style w:type="paragraph" w:customStyle="1" w:styleId="Disclaimer">
    <w:name w:val="Disclaimer"/>
    <w:basedOn w:val="Bodycopy"/>
    <w:rsid w:val="00DD216C"/>
    <w:pPr>
      <w:spacing w:line="120" w:lineRule="exact"/>
    </w:pPr>
    <w:rPr>
      <w:sz w:val="11"/>
    </w:rPr>
  </w:style>
  <w:style w:type="paragraph" w:customStyle="1" w:styleId="Pullquote">
    <w:name w:val="Pull quote"/>
    <w:basedOn w:val="ColoredText"/>
    <w:rsid w:val="00DD216C"/>
    <w:pPr>
      <w:spacing w:line="360" w:lineRule="exact"/>
    </w:pPr>
    <w:rPr>
      <w:sz w:val="30"/>
    </w:rPr>
  </w:style>
  <w:style w:type="paragraph" w:customStyle="1" w:styleId="Diagramcaption">
    <w:name w:val="Diagram caption"/>
    <w:basedOn w:val="ColoredText"/>
    <w:rsid w:val="00DD216C"/>
    <w:rPr>
      <w:rFonts w:ascii="Franklin Gothic Medium" w:hAnsi="Franklin Gothic Medium"/>
      <w:sz w:val="19"/>
    </w:rPr>
  </w:style>
  <w:style w:type="paragraph" w:styleId="TOC1">
    <w:name w:val="toc 1"/>
    <w:basedOn w:val="Normal"/>
    <w:next w:val="Normal"/>
    <w:semiHidden/>
    <w:rsid w:val="00DD216C"/>
    <w:pPr>
      <w:tabs>
        <w:tab w:val="right" w:pos="3289"/>
      </w:tabs>
      <w:spacing w:line="360" w:lineRule="exact"/>
    </w:pPr>
    <w:rPr>
      <w:noProof/>
      <w:color w:val="FFFFFF"/>
      <w:sz w:val="24"/>
    </w:rPr>
  </w:style>
  <w:style w:type="paragraph" w:styleId="TOC3">
    <w:name w:val="toc 3"/>
    <w:basedOn w:val="Normal"/>
    <w:next w:val="Normal"/>
    <w:autoRedefine/>
    <w:semiHidden/>
    <w:rsid w:val="00DD216C"/>
    <w:pPr>
      <w:ind w:left="440"/>
    </w:pPr>
  </w:style>
  <w:style w:type="paragraph" w:styleId="TOC4">
    <w:name w:val="toc 4"/>
    <w:basedOn w:val="Normal"/>
    <w:next w:val="Normal"/>
    <w:autoRedefine/>
    <w:semiHidden/>
    <w:rsid w:val="00DD216C"/>
    <w:pPr>
      <w:ind w:left="660"/>
    </w:pPr>
  </w:style>
  <w:style w:type="paragraph" w:styleId="TOC5">
    <w:name w:val="toc 5"/>
    <w:basedOn w:val="Normal"/>
    <w:next w:val="Normal"/>
    <w:autoRedefine/>
    <w:semiHidden/>
    <w:rsid w:val="00DD216C"/>
    <w:pPr>
      <w:ind w:left="880"/>
    </w:pPr>
  </w:style>
  <w:style w:type="paragraph" w:styleId="TOC6">
    <w:name w:val="toc 6"/>
    <w:basedOn w:val="Normal"/>
    <w:next w:val="Normal"/>
    <w:autoRedefine/>
    <w:semiHidden/>
    <w:rsid w:val="00DD216C"/>
    <w:pPr>
      <w:ind w:left="1100"/>
    </w:pPr>
  </w:style>
  <w:style w:type="paragraph" w:styleId="TOC7">
    <w:name w:val="toc 7"/>
    <w:basedOn w:val="Normal"/>
    <w:next w:val="Normal"/>
    <w:autoRedefine/>
    <w:semiHidden/>
    <w:rsid w:val="00DD216C"/>
    <w:pPr>
      <w:ind w:left="1320"/>
    </w:pPr>
  </w:style>
  <w:style w:type="paragraph" w:styleId="TOC8">
    <w:name w:val="toc 8"/>
    <w:basedOn w:val="Normal"/>
    <w:next w:val="Normal"/>
    <w:autoRedefine/>
    <w:semiHidden/>
    <w:rsid w:val="00DD216C"/>
    <w:pPr>
      <w:ind w:left="1540"/>
    </w:pPr>
  </w:style>
  <w:style w:type="paragraph" w:styleId="TOC9">
    <w:name w:val="toc 9"/>
    <w:basedOn w:val="Normal"/>
    <w:next w:val="Normal"/>
    <w:autoRedefine/>
    <w:semiHidden/>
    <w:rsid w:val="00DD216C"/>
    <w:pPr>
      <w:ind w:left="1760"/>
    </w:pPr>
  </w:style>
  <w:style w:type="character" w:styleId="Hyperlink">
    <w:name w:val="Hyperlink"/>
    <w:basedOn w:val="DefaultParagraphFont"/>
    <w:rsid w:val="00DD216C"/>
    <w:rPr>
      <w:color w:val="0000FF"/>
      <w:u w:val="single"/>
    </w:rPr>
  </w:style>
  <w:style w:type="paragraph" w:customStyle="1" w:styleId="AutoCorrect">
    <w:name w:val="AutoCorrect"/>
    <w:rsid w:val="00DD216C"/>
    <w:rPr>
      <w:lang w:val="en-GB" w:eastAsia="en-US" w:bidi="he-IL"/>
    </w:rPr>
  </w:style>
  <w:style w:type="paragraph" w:styleId="BodyText">
    <w:name w:val="Body Text"/>
    <w:basedOn w:val="Normal"/>
    <w:rsid w:val="00DD216C"/>
    <w:pPr>
      <w:spacing w:after="120"/>
    </w:pPr>
    <w:rPr>
      <w:rFonts w:ascii="Arial" w:hAnsi="Arial"/>
      <w:snapToGrid w:val="0"/>
      <w:sz w:val="20"/>
      <w:szCs w:val="20"/>
      <w:lang w:val="en-US" w:bidi="he-IL"/>
    </w:rPr>
  </w:style>
  <w:style w:type="paragraph" w:customStyle="1" w:styleId="Bulletcolored">
    <w:name w:val="Bullet colored"/>
    <w:basedOn w:val="ColoredText"/>
    <w:rsid w:val="00DD216C"/>
    <w:pPr>
      <w:numPr>
        <w:numId w:val="11"/>
      </w:numPr>
    </w:pPr>
    <w:rPr>
      <w:szCs w:val="17"/>
    </w:rPr>
  </w:style>
  <w:style w:type="paragraph" w:customStyle="1" w:styleId="ColoredText">
    <w:name w:val="Colored Text"/>
    <w:basedOn w:val="Bodycopy"/>
    <w:rsid w:val="00DD216C"/>
    <w:rPr>
      <w:color w:val="999999"/>
    </w:rPr>
  </w:style>
  <w:style w:type="paragraph" w:customStyle="1" w:styleId="DocumentTitle">
    <w:name w:val="Document Title"/>
    <w:basedOn w:val="ColoredText"/>
    <w:rsid w:val="00DD216C"/>
    <w:pPr>
      <w:spacing w:line="360" w:lineRule="exact"/>
    </w:pPr>
    <w:rPr>
      <w:rFonts w:ascii="Franklin Gothic Medium" w:hAnsi="Franklin Gothic Medium"/>
      <w:color w:val="auto"/>
      <w:sz w:val="32"/>
    </w:rPr>
  </w:style>
  <w:style w:type="paragraph" w:customStyle="1" w:styleId="Tableheading">
    <w:name w:val="Table heading"/>
    <w:basedOn w:val="ColoredText"/>
    <w:rsid w:val="00DD216C"/>
    <w:rPr>
      <w:rFonts w:ascii="Franklin Gothic Medium" w:hAnsi="Franklin Gothic Medium"/>
      <w:bCs/>
    </w:rPr>
  </w:style>
  <w:style w:type="paragraph" w:customStyle="1" w:styleId="Bulletbold">
    <w:name w:val="Bullet bold"/>
    <w:basedOn w:val="Bullet"/>
    <w:rsid w:val="00DD216C"/>
    <w:pPr>
      <w:numPr>
        <w:numId w:val="9"/>
      </w:numPr>
    </w:pPr>
    <w:rPr>
      <w:rFonts w:ascii="Franklin Gothic Heavy" w:hAnsi="Franklin Gothic Heavy"/>
    </w:rPr>
  </w:style>
  <w:style w:type="paragraph" w:customStyle="1" w:styleId="Contents">
    <w:name w:val="Contents"/>
    <w:basedOn w:val="Bodycopy"/>
    <w:rsid w:val="00DD216C"/>
    <w:pPr>
      <w:spacing w:line="480" w:lineRule="exact"/>
    </w:pPr>
    <w:rPr>
      <w:rFonts w:ascii="Franklin Gothic Medium" w:hAnsi="Franklin Gothic Medium"/>
      <w:color w:val="FFFFFF"/>
      <w:sz w:val="30"/>
    </w:rPr>
  </w:style>
  <w:style w:type="character" w:styleId="PageNumber">
    <w:name w:val="page number"/>
    <w:basedOn w:val="DefaultParagraphFont"/>
    <w:rsid w:val="00DD216C"/>
    <w:rPr>
      <w:rFonts w:ascii="Franklin Gothic Book" w:hAnsi="Franklin Gothic Book"/>
      <w:spacing w:val="20"/>
      <w:sz w:val="16"/>
    </w:rPr>
  </w:style>
  <w:style w:type="paragraph" w:customStyle="1" w:styleId="Tabletext">
    <w:name w:val="Table text"/>
    <w:basedOn w:val="Bodycopy"/>
    <w:rsid w:val="00DD216C"/>
    <w:pPr>
      <w:spacing w:after="40"/>
    </w:pPr>
  </w:style>
  <w:style w:type="paragraph" w:customStyle="1" w:styleId="OrangeText">
    <w:name w:val="Orange Text"/>
    <w:basedOn w:val="Normal"/>
    <w:rsid w:val="00DD216C"/>
    <w:pPr>
      <w:spacing w:line="240" w:lineRule="exact"/>
    </w:pPr>
    <w:rPr>
      <w:color w:val="FF3300"/>
    </w:rPr>
  </w:style>
  <w:style w:type="paragraph" w:customStyle="1" w:styleId="Casestudydescription">
    <w:name w:val="Case study description"/>
    <w:basedOn w:val="Normal"/>
    <w:rsid w:val="00DD216C"/>
    <w:rPr>
      <w:rFonts w:ascii="Franklin Gothic Medium" w:hAnsi="Franklin Gothic Medium"/>
      <w:color w:val="FFFFFF"/>
      <w:sz w:val="24"/>
    </w:rPr>
  </w:style>
  <w:style w:type="paragraph" w:customStyle="1" w:styleId="PullQuotecredit">
    <w:name w:val="Pull Quote credit"/>
    <w:basedOn w:val="Pullquote"/>
    <w:rsid w:val="00DD216C"/>
    <w:pPr>
      <w:spacing w:before="120" w:line="240" w:lineRule="exact"/>
    </w:pPr>
    <w:rPr>
      <w:sz w:val="16"/>
    </w:rPr>
  </w:style>
  <w:style w:type="paragraph" w:customStyle="1" w:styleId="Diagramtitle">
    <w:name w:val="Diagram title"/>
    <w:basedOn w:val="Bodycopy"/>
    <w:rsid w:val="00DD216C"/>
    <w:rPr>
      <w:rFonts w:ascii="Franklin Gothic Medium" w:hAnsi="Franklin Gothic Medium"/>
      <w:color w:val="FFFFFF"/>
      <w:sz w:val="19"/>
    </w:rPr>
  </w:style>
  <w:style w:type="paragraph" w:customStyle="1" w:styleId="Bullet2">
    <w:name w:val="Bullet2"/>
    <w:basedOn w:val="Bullet"/>
    <w:rsid w:val="00DD216C"/>
    <w:pPr>
      <w:numPr>
        <w:numId w:val="0"/>
      </w:numPr>
      <w:ind w:left="170"/>
    </w:pPr>
  </w:style>
  <w:style w:type="paragraph" w:customStyle="1" w:styleId="SectionHeadingGrey">
    <w:name w:val="Section Heading Grey"/>
    <w:basedOn w:val="SectionHeading"/>
    <w:rsid w:val="00DD216C"/>
    <w:rPr>
      <w:color w:val="666666"/>
    </w:rPr>
  </w:style>
  <w:style w:type="paragraph" w:customStyle="1" w:styleId="BulletGrey">
    <w:name w:val="Bullet Grey"/>
    <w:basedOn w:val="Bullet"/>
    <w:rsid w:val="00DD216C"/>
    <w:pPr>
      <w:numPr>
        <w:numId w:val="7"/>
      </w:numPr>
    </w:pPr>
  </w:style>
  <w:style w:type="paragraph" w:customStyle="1" w:styleId="TableTitle">
    <w:name w:val="Table Title"/>
    <w:basedOn w:val="Tabletextheading"/>
    <w:rsid w:val="00DD216C"/>
    <w:pPr>
      <w:ind w:left="60"/>
    </w:pPr>
    <w:rPr>
      <w:color w:val="FFFFFF"/>
      <w:szCs w:val="17"/>
    </w:rPr>
  </w:style>
  <w:style w:type="paragraph" w:styleId="EnvelopeAddress">
    <w:name w:val="envelope address"/>
    <w:basedOn w:val="Normal"/>
    <w:rsid w:val="00DD216C"/>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DD216C"/>
    <w:pPr>
      <w:numPr>
        <w:numId w:val="8"/>
      </w:numPr>
    </w:pPr>
  </w:style>
  <w:style w:type="paragraph" w:styleId="BalloonText">
    <w:name w:val="Balloon Text"/>
    <w:basedOn w:val="Normal"/>
    <w:semiHidden/>
    <w:rsid w:val="00DD216C"/>
    <w:rPr>
      <w:rFonts w:ascii="Tahoma" w:hAnsi="Tahoma" w:cs="Tahoma"/>
      <w:sz w:val="16"/>
      <w:szCs w:val="16"/>
    </w:rPr>
  </w:style>
  <w:style w:type="paragraph" w:customStyle="1" w:styleId="ZnakZnakZnakCharCharZnakZnakCharChar">
    <w:name w:val="Znak Znak Znak Char Char Znak Znak Char Char"/>
    <w:basedOn w:val="Normal"/>
    <w:semiHidden/>
    <w:rsid w:val="00DD216C"/>
    <w:pPr>
      <w:spacing w:after="160" w:line="240" w:lineRule="exact"/>
    </w:pPr>
    <w:rPr>
      <w:rFonts w:ascii="Verdana" w:hAnsi="Verdana"/>
      <w:sz w:val="20"/>
      <w:szCs w:val="20"/>
      <w:lang w:val="en-US" w:bidi="he-IL"/>
    </w:rPr>
  </w:style>
  <w:style w:type="table" w:styleId="TableGrid">
    <w:name w:val="Table Grid"/>
    <w:basedOn w:val="TableNormal"/>
    <w:rsid w:val="00DD2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D216C"/>
    <w:pPr>
      <w:spacing w:after="160" w:line="240" w:lineRule="exact"/>
    </w:pPr>
    <w:rPr>
      <w:rFonts w:ascii="Verdana" w:hAnsi="Verdana"/>
      <w:sz w:val="20"/>
      <w:szCs w:val="20"/>
      <w:lang w:val="en-US" w:bidi="he-IL"/>
    </w:rPr>
  </w:style>
  <w:style w:type="paragraph" w:customStyle="1" w:styleId="CharChar">
    <w:name w:val="Char Char"/>
    <w:basedOn w:val="Normal"/>
    <w:semiHidden/>
    <w:rsid w:val="00DD216C"/>
    <w:pPr>
      <w:spacing w:after="160" w:line="240" w:lineRule="exact"/>
    </w:pPr>
    <w:rPr>
      <w:rFonts w:ascii="Verdana" w:hAnsi="Verdana"/>
      <w:sz w:val="20"/>
      <w:szCs w:val="20"/>
      <w:lang w:val="en-US" w:bidi="he-IL"/>
    </w:rPr>
  </w:style>
  <w:style w:type="paragraph" w:customStyle="1" w:styleId="ZnakZnakZnakCharCharZnakZnakCharCharZnakZnakCharChar">
    <w:name w:val="Znak Znak Znak Char Char Znak Znak Char Char Znak Znak Char Char"/>
    <w:basedOn w:val="Normal"/>
    <w:semiHidden/>
    <w:rsid w:val="00DD216C"/>
    <w:pPr>
      <w:spacing w:after="160" w:line="240" w:lineRule="exact"/>
    </w:pPr>
    <w:rPr>
      <w:rFonts w:ascii="Verdana" w:hAnsi="Verdana"/>
      <w:sz w:val="20"/>
      <w:szCs w:val="20"/>
      <w:lang w:val="en-US" w:bidi="he-IL"/>
    </w:rPr>
  </w:style>
  <w:style w:type="paragraph" w:styleId="EndnoteText">
    <w:name w:val="endnote text"/>
    <w:basedOn w:val="Normal"/>
    <w:semiHidden/>
    <w:rsid w:val="00DD216C"/>
    <w:rPr>
      <w:sz w:val="20"/>
      <w:szCs w:val="20"/>
    </w:rPr>
  </w:style>
  <w:style w:type="character" w:styleId="EndnoteReference">
    <w:name w:val="endnote reference"/>
    <w:basedOn w:val="DefaultParagraphFont"/>
    <w:semiHidden/>
    <w:rsid w:val="00DD216C"/>
    <w:rPr>
      <w:vertAlign w:val="superscript"/>
    </w:rPr>
  </w:style>
  <w:style w:type="paragraph" w:styleId="NoSpacing">
    <w:name w:val="No Spacing"/>
    <w:uiPriority w:val="1"/>
    <w:qFormat/>
    <w:rsid w:val="00E140D5"/>
    <w:rPr>
      <w:rFonts w:ascii="Franklin Gothic Book" w:hAnsi="Franklin Gothic Book"/>
      <w:sz w:val="17"/>
      <w:szCs w:val="24"/>
      <w:lang w:eastAsia="en-US"/>
    </w:rPr>
  </w:style>
  <w:style w:type="paragraph" w:customStyle="1" w:styleId="StylBulletVerdana6ptInterliniapojedyncze">
    <w:name w:val="Styl Bullet + Verdana 6 pt Interlinia:  pojedyncze"/>
    <w:basedOn w:val="Bullet"/>
    <w:rsid w:val="00A55A75"/>
    <w:pPr>
      <w:numPr>
        <w:numId w:val="25"/>
      </w:numPr>
      <w:spacing w:line="240" w:lineRule="auto"/>
    </w:pPr>
    <w:rPr>
      <w:rFonts w:ascii="Verdana" w:hAnsi="Verdana"/>
      <w:sz w:val="12"/>
      <w:szCs w:val="20"/>
    </w:rPr>
  </w:style>
  <w:style w:type="character" w:styleId="CommentReference">
    <w:name w:val="annotation reference"/>
    <w:basedOn w:val="DefaultParagraphFont"/>
    <w:rsid w:val="001E67B7"/>
    <w:rPr>
      <w:sz w:val="16"/>
      <w:szCs w:val="16"/>
    </w:rPr>
  </w:style>
  <w:style w:type="paragraph" w:styleId="CommentSubject">
    <w:name w:val="annotation subject"/>
    <w:basedOn w:val="CommentText"/>
    <w:next w:val="CommentText"/>
    <w:link w:val="CommentSubjectChar"/>
    <w:rsid w:val="001E67B7"/>
    <w:rPr>
      <w:b/>
      <w:bCs/>
      <w:sz w:val="20"/>
      <w:szCs w:val="20"/>
    </w:rPr>
  </w:style>
  <w:style w:type="character" w:customStyle="1" w:styleId="CommentTextChar">
    <w:name w:val="Comment Text Char"/>
    <w:basedOn w:val="DefaultParagraphFont"/>
    <w:link w:val="CommentText"/>
    <w:semiHidden/>
    <w:rsid w:val="001E67B7"/>
    <w:rPr>
      <w:rFonts w:ascii="Franklin Gothic Book" w:hAnsi="Franklin Gothic Book"/>
      <w:sz w:val="24"/>
      <w:szCs w:val="24"/>
      <w:lang w:eastAsia="en-US"/>
    </w:rPr>
  </w:style>
  <w:style w:type="character" w:customStyle="1" w:styleId="CommentSubjectChar">
    <w:name w:val="Comment Subject Char"/>
    <w:basedOn w:val="CommentTextChar"/>
    <w:link w:val="CommentSubject"/>
    <w:rsid w:val="001E67B7"/>
  </w:style>
  <w:style w:type="paragraph" w:styleId="Revision">
    <w:name w:val="Revision"/>
    <w:hidden/>
    <w:uiPriority w:val="99"/>
    <w:semiHidden/>
    <w:rsid w:val="007918B8"/>
    <w:rPr>
      <w:rFonts w:ascii="Franklin Gothic Book" w:hAnsi="Franklin Gothic Book"/>
      <w:sz w:val="17"/>
      <w:szCs w:val="24"/>
      <w:lang w:eastAsia="en-US"/>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poland/windowsserversyst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2911</Words>
  <Characters>17466</Characters>
  <Application>Microsoft Office Word</Application>
  <DocSecurity>0</DocSecurity>
  <Lines>145</Lines>
  <Paragraphs>40</Paragraphs>
  <ScaleCrop>false</ScaleCrop>
  <LinksUpToDate>false</LinksUpToDate>
  <CharactersWithSpaces>20337</CharactersWithSpaces>
  <SharedDoc>false</SharedDoc>
  <HLinks>
    <vt:vector size="6" baseType="variant">
      <vt:variant>
        <vt:i4>7929907</vt:i4>
      </vt:variant>
      <vt:variant>
        <vt:i4>0</vt:i4>
      </vt:variant>
      <vt:variant>
        <vt:i4>0</vt:i4>
      </vt:variant>
      <vt:variant>
        <vt:i4>5</vt:i4>
      </vt:variant>
      <vt:variant>
        <vt:lpwstr>http://www.microsoft.com/poland/windowsserversystem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2009-11-24T13:24:00Z</dcterms:created>
  <dcterms:modified xsi:type="dcterms:W3CDTF">2009-11-24T13:24:00Z</dcterms:modified>
</cp:coreProperties>
</file>