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5B" w:rsidRPr="00CD6110" w:rsidRDefault="00441EFC" w:rsidP="00D65A66">
      <w:pPr>
        <w:pStyle w:val="DatasheetH1"/>
        <w:rPr>
          <w:spacing w:val="-2"/>
          <w:lang w:val="pt-BR"/>
        </w:rPr>
      </w:pPr>
      <w:r>
        <w:rPr>
          <w:noProof/>
        </w:rPr>
        <w:drawing>
          <wp:anchor distT="0" distB="0" distL="114300" distR="114300" simplePos="0" relativeHeight="251661824" behindDoc="0" locked="0" layoutInCell="1" allowOverlap="1">
            <wp:simplePos x="0" y="0"/>
            <wp:positionH relativeFrom="column">
              <wp:posOffset>-3002915</wp:posOffset>
            </wp:positionH>
            <wp:positionV relativeFrom="paragraph">
              <wp:posOffset>-43815</wp:posOffset>
            </wp:positionV>
            <wp:extent cx="2790190" cy="1921510"/>
            <wp:effectExtent l="19050" t="0" r="0" b="0"/>
            <wp:wrapNone/>
            <wp:docPr id="2" name="Picture 11" descr="man smiling working casual computer looking deve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 smiling working casual computer looking developer.jpg"/>
                    <pic:cNvPicPr>
                      <a:picLocks noChangeAspect="1" noChangeArrowheads="1"/>
                    </pic:cNvPicPr>
                  </pic:nvPicPr>
                  <pic:blipFill>
                    <a:blip r:embed="rId5"/>
                    <a:srcRect r="2635"/>
                    <a:stretch>
                      <a:fillRect/>
                    </a:stretch>
                  </pic:blipFill>
                  <pic:spPr bwMode="auto">
                    <a:xfrm>
                      <a:off x="0" y="0"/>
                      <a:ext cx="2790190" cy="1921510"/>
                    </a:xfrm>
                    <a:prstGeom prst="rect">
                      <a:avLst/>
                    </a:prstGeom>
                    <a:noFill/>
                  </pic:spPr>
                </pic:pic>
              </a:graphicData>
            </a:graphic>
          </wp:anchor>
        </w:drawing>
      </w:r>
      <w:r>
        <w:rPr>
          <w:noProof/>
        </w:rPr>
        <w:drawing>
          <wp:anchor distT="0" distB="0" distL="114300" distR="114300" simplePos="0" relativeHeight="251659776" behindDoc="1" locked="1" layoutInCell="1" allowOverlap="1">
            <wp:simplePos x="0" y="0"/>
            <wp:positionH relativeFrom="page">
              <wp:posOffset>224790</wp:posOffset>
            </wp:positionH>
            <wp:positionV relativeFrom="paragraph">
              <wp:posOffset>-713105</wp:posOffset>
            </wp:positionV>
            <wp:extent cx="2517775" cy="397510"/>
            <wp:effectExtent l="0" t="0" r="0" b="0"/>
            <wp:wrapNone/>
            <wp:docPr id="3" name="Picture 6" descr="windows 7 bl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ows 7 bl h.png"/>
                    <pic:cNvPicPr>
                      <a:picLocks noChangeAspect="1" noChangeArrowheads="1"/>
                    </pic:cNvPicPr>
                  </pic:nvPicPr>
                  <pic:blipFill>
                    <a:blip r:embed="rId6"/>
                    <a:srcRect/>
                    <a:stretch>
                      <a:fillRect/>
                    </a:stretch>
                  </pic:blipFill>
                  <pic:spPr bwMode="auto">
                    <a:xfrm>
                      <a:off x="0" y="0"/>
                      <a:ext cx="2517775" cy="397510"/>
                    </a:xfrm>
                    <a:prstGeom prst="rect">
                      <a:avLst/>
                    </a:prstGeom>
                    <a:noFill/>
                  </pic:spPr>
                </pic:pic>
              </a:graphicData>
            </a:graphic>
          </wp:anchor>
        </w:drawing>
      </w:r>
      <w:r>
        <w:rPr>
          <w:noProof/>
        </w:rPr>
        <w:drawing>
          <wp:anchor distT="0" distB="0" distL="114300" distR="114300" simplePos="0" relativeHeight="251660800" behindDoc="1" locked="1" layoutInCell="1" allowOverlap="1">
            <wp:simplePos x="0" y="0"/>
            <wp:positionH relativeFrom="column">
              <wp:posOffset>-2102485</wp:posOffset>
            </wp:positionH>
            <wp:positionV relativeFrom="paragraph">
              <wp:posOffset>-905510</wp:posOffset>
            </wp:positionV>
            <wp:extent cx="1087120" cy="198755"/>
            <wp:effectExtent l="19050" t="0" r="0" b="0"/>
            <wp:wrapNone/>
            <wp:docPr id="4" name="Picture 9" descr="Microsoft corporate Logo wht shadowMS generic 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rosoft corporate Logo wht shadowMS generic brand.png"/>
                    <pic:cNvPicPr>
                      <a:picLocks noChangeAspect="1" noChangeArrowheads="1"/>
                    </pic:cNvPicPr>
                  </pic:nvPicPr>
                  <pic:blipFill>
                    <a:blip r:embed="rId7"/>
                    <a:srcRect/>
                    <a:stretch>
                      <a:fillRect/>
                    </a:stretch>
                  </pic:blipFill>
                  <pic:spPr bwMode="auto">
                    <a:xfrm>
                      <a:off x="0" y="0"/>
                      <a:ext cx="1087120" cy="198755"/>
                    </a:xfrm>
                    <a:prstGeom prst="rect">
                      <a:avLst/>
                    </a:prstGeom>
                    <a:noFill/>
                  </pic:spPr>
                </pic:pic>
              </a:graphicData>
            </a:graphic>
          </wp:anchor>
        </w:drawing>
      </w:r>
      <w:r>
        <w:rPr>
          <w:noProof/>
        </w:rPr>
        <w:drawing>
          <wp:anchor distT="0" distB="0" distL="114300" distR="114300" simplePos="0" relativeHeight="251655680" behindDoc="1" locked="1" layoutInCell="1" allowOverlap="1">
            <wp:simplePos x="0" y="0"/>
            <wp:positionH relativeFrom="page">
              <wp:posOffset>-4445</wp:posOffset>
            </wp:positionH>
            <wp:positionV relativeFrom="page">
              <wp:posOffset>-1270</wp:posOffset>
            </wp:positionV>
            <wp:extent cx="7773035" cy="10058400"/>
            <wp:effectExtent l="19050" t="0" r="0" b="0"/>
            <wp:wrapNone/>
            <wp:docPr id="5" name="Picture 3" descr="Windows7ActivationDataShe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ows7ActivationDataSheet1.jpg"/>
                    <pic:cNvPicPr>
                      <a:picLocks noChangeAspect="1" noChangeArrowheads="1"/>
                    </pic:cNvPicPr>
                  </pic:nvPicPr>
                  <pic:blipFill>
                    <a:blip r:embed="rId8"/>
                    <a:srcRect/>
                    <a:stretch>
                      <a:fillRect/>
                    </a:stretch>
                  </pic:blipFill>
                  <pic:spPr bwMode="auto">
                    <a:xfrm>
                      <a:off x="0" y="0"/>
                      <a:ext cx="7773035" cy="10058400"/>
                    </a:xfrm>
                    <a:prstGeom prst="rect">
                      <a:avLst/>
                    </a:prstGeom>
                    <a:noFill/>
                  </pic:spPr>
                </pic:pic>
              </a:graphicData>
            </a:graphic>
          </wp:anchor>
        </w:drawing>
      </w:r>
      <w:r w:rsidR="00892C4D" w:rsidRPr="00892C4D">
        <w:rPr>
          <w:noProof/>
          <w:lang w:val="pt-BR" w:eastAsia="pt-BR"/>
        </w:rPr>
        <w:pict>
          <v:shapetype id="_x0000_t202" coordsize="21600,21600" o:spt="202" path="m,l,21600r21600,l21600,xe">
            <v:stroke joinstyle="miter"/>
            <v:path gradientshapeok="t" o:connecttype="rect"/>
          </v:shapetype>
          <v:shape id="_x0000_s1030" type="#_x0000_t202" style="position:absolute;margin-left:23.05pt;margin-top:92.6pt;width:161.65pt;height:655.2pt;z-index:251654656;mso-position-horizontal-relative:page;mso-position-vertical-relative:page" filled="f" stroked="f" strokecolor="#f79646" strokeweight="1pt">
            <v:stroke dashstyle="dash"/>
            <v:shadow color="#868686"/>
            <v:textbox style="mso-next-textbox:#_x0000_s1030">
              <w:txbxContent>
                <w:p w:rsidR="00E810EF" w:rsidRDefault="00E810EF" w:rsidP="001B4482">
                  <w:pPr>
                    <w:spacing w:before="240"/>
                  </w:pPr>
                </w:p>
                <w:p w:rsidR="00E810EF" w:rsidRDefault="00E810EF" w:rsidP="001B4482">
                  <w:pPr>
                    <w:spacing w:before="240"/>
                  </w:pPr>
                </w:p>
                <w:p w:rsidR="00E810EF" w:rsidRDefault="00E810EF" w:rsidP="001B4482">
                  <w:pPr>
                    <w:spacing w:before="240"/>
                  </w:pPr>
                </w:p>
                <w:p w:rsidR="00E810EF" w:rsidRDefault="00E810EF" w:rsidP="001B4482">
                  <w:pPr>
                    <w:spacing w:before="240"/>
                  </w:pPr>
                </w:p>
                <w:p w:rsidR="00E810EF" w:rsidRDefault="00E810EF" w:rsidP="001B4482">
                  <w:pPr>
                    <w:spacing w:before="240"/>
                  </w:pPr>
                </w:p>
                <w:p w:rsidR="00E810EF" w:rsidRDefault="00E810EF" w:rsidP="001B4482">
                  <w:pPr>
                    <w:spacing w:before="240"/>
                  </w:pPr>
                </w:p>
                <w:p w:rsidR="00E810EF" w:rsidRDefault="00E810EF" w:rsidP="00541FA4">
                  <w:pPr>
                    <w:pStyle w:val="body"/>
                    <w:spacing w:before="120" w:line="440" w:lineRule="atLeast"/>
                    <w:rPr>
                      <w:i/>
                      <w:iCs/>
                      <w:color w:val="007BC2"/>
                      <w:sz w:val="26"/>
                      <w:szCs w:val="26"/>
                    </w:rPr>
                  </w:pPr>
                  <w:r>
                    <w:rPr>
                      <w:i/>
                      <w:iCs/>
                      <w:color w:val="007BC2"/>
                      <w:sz w:val="26"/>
                      <w:szCs w:val="26"/>
                    </w:rPr>
                    <w:t>Usar software original garante a segurança de que o software é confiável e totalmente suportado pela Microsoft e seus parceiros, ao mesmo tempo em que ajuda a proteger contra ameaças de segurança.</w:t>
                  </w:r>
                </w:p>
                <w:p w:rsidR="00E810EF" w:rsidRDefault="00E810EF" w:rsidP="001B4482">
                  <w:pPr>
                    <w:spacing w:before="240"/>
                  </w:pPr>
                </w:p>
              </w:txbxContent>
            </v:textbox>
            <w10:wrap anchorx="page" anchory="page"/>
            <w10:anchorlock/>
          </v:shape>
        </w:pict>
      </w:r>
      <w:r w:rsidR="0042385B" w:rsidRPr="00CD6110">
        <w:rPr>
          <w:spacing w:val="-2"/>
          <w:lang w:val="pt-BR"/>
        </w:rPr>
        <w:t>Aperfeiçoamentos da Ativação do Windows 7</w:t>
      </w:r>
      <w:r w:rsidR="0042385B" w:rsidRPr="00CD6110">
        <w:rPr>
          <w:spacing w:val="-2"/>
          <w:vertAlign w:val="superscript"/>
          <w:lang w:val="pt-BR"/>
        </w:rPr>
        <w:t>®</w:t>
      </w:r>
    </w:p>
    <w:p w:rsidR="0042385B" w:rsidRPr="00CD6110" w:rsidRDefault="0042385B" w:rsidP="007826BC">
      <w:pPr>
        <w:pStyle w:val="DatasheetBodyText"/>
        <w:rPr>
          <w:spacing w:val="-2"/>
          <w:lang w:val="pt-BR"/>
        </w:rPr>
      </w:pPr>
      <w:r w:rsidRPr="00CD6110">
        <w:rPr>
          <w:spacing w:val="-2"/>
          <w:lang w:val="pt-BR"/>
        </w:rPr>
        <w:t>Com o lançamento do sistema operacional Windows 7, a Microsoft aperfeiçoou consideravelmente suas tecnologias e ferramentas de Volume Activation (VA, Ativação de Volume) Além de confirmar a autenticidade do software e garantir a segurança de que o software é confiável e totalmente suportado pela Microsoft e seus parceiros, a tecnologia de ativação do Windows 7 inclui os seguintes aperfeiçoamentos:</w:t>
      </w:r>
    </w:p>
    <w:p w:rsidR="0042385B" w:rsidRPr="00CD6110" w:rsidRDefault="0042385B" w:rsidP="00002E2A">
      <w:pPr>
        <w:pStyle w:val="DatasheetBullets"/>
        <w:rPr>
          <w:spacing w:val="-2"/>
        </w:rPr>
      </w:pPr>
      <w:r w:rsidRPr="00CD6110">
        <w:rPr>
          <w:spacing w:val="-2"/>
        </w:rPr>
        <w:t>Interfaces aperfeiçoadas para maior usabilidade e personalização</w:t>
      </w:r>
    </w:p>
    <w:p w:rsidR="0042385B" w:rsidRPr="00CD6110" w:rsidRDefault="0042385B" w:rsidP="007826BC">
      <w:pPr>
        <w:pStyle w:val="DatasheetBullets"/>
        <w:rPr>
          <w:spacing w:val="-2"/>
        </w:rPr>
      </w:pPr>
      <w:r w:rsidRPr="00CD6110">
        <w:rPr>
          <w:spacing w:val="-2"/>
        </w:rPr>
        <w:t xml:space="preserve">Ativação mais fácil e flexível, reduzindo recursos administrativos </w:t>
      </w:r>
    </w:p>
    <w:p w:rsidR="0042385B" w:rsidRPr="00CD6110" w:rsidRDefault="0042385B" w:rsidP="007826BC">
      <w:pPr>
        <w:pStyle w:val="DatasheetBullets"/>
        <w:rPr>
          <w:spacing w:val="-2"/>
        </w:rPr>
      </w:pPr>
      <w:r w:rsidRPr="00CD6110">
        <w:rPr>
          <w:spacing w:val="-2"/>
        </w:rPr>
        <w:t>Integração e gerenciabilidade aperfeiçoadas do serviço e das chaves de ativação, para maior controle administrativo</w:t>
      </w:r>
    </w:p>
    <w:p w:rsidR="0042385B" w:rsidRPr="00CD6110" w:rsidRDefault="0042385B" w:rsidP="00AF0FAF">
      <w:pPr>
        <w:pStyle w:val="DatasheetBullets"/>
        <w:spacing w:after="0"/>
        <w:rPr>
          <w:spacing w:val="-2"/>
        </w:rPr>
      </w:pPr>
      <w:r w:rsidRPr="00CD6110">
        <w:rPr>
          <w:spacing w:val="-2"/>
        </w:rPr>
        <w:t>Ajuda a melhorar o desempenho e reduz o uso de memória, para maior eficiência</w:t>
      </w:r>
    </w:p>
    <w:p w:rsidR="0042385B" w:rsidRPr="00CD6110" w:rsidRDefault="0042385B" w:rsidP="00D65A66">
      <w:pPr>
        <w:pStyle w:val="DatasheetBodyText"/>
        <w:spacing w:before="240"/>
        <w:rPr>
          <w:spacing w:val="-2"/>
          <w:lang w:val="pt-BR"/>
        </w:rPr>
      </w:pPr>
      <w:r w:rsidRPr="00CD6110">
        <w:rPr>
          <w:spacing w:val="-2"/>
          <w:lang w:val="pt-BR"/>
        </w:rPr>
        <w:t>A maioria desses aperfeiçoamentos vem diretamente das opiniões de clientes e parceiros da Microsoft. Dessa forma, o conjunto de ferramentas de VA (ativação de volume) fundamental permanece intacto, e as organizações podem aproveitar os aperfeiçoamentos de VA sem alterar a infraestrutura de ativação atual. As Ferramentas de Gerenciamento do Volume Activation (VAMT), a Chave de Ativação Múltipla (MAK) e o Servidor de Gerenciamento de Chaves (KMS) continuam a auxiliar na conformidade da licença, enquanto ajuda a reduzir os riscos associados ao uso não-autorizado da chave.</w:t>
      </w:r>
    </w:p>
    <w:p w:rsidR="0042385B" w:rsidRPr="00CD6110" w:rsidRDefault="0042385B" w:rsidP="00541FA4">
      <w:pPr>
        <w:pStyle w:val="DatasheetH1"/>
        <w:spacing w:before="320"/>
        <w:rPr>
          <w:spacing w:val="-2"/>
          <w:lang w:val="pt-BR"/>
        </w:rPr>
      </w:pPr>
      <w:r w:rsidRPr="00CD6110">
        <w:rPr>
          <w:spacing w:val="-2"/>
          <w:lang w:val="pt-BR"/>
        </w:rPr>
        <w:t xml:space="preserve">Volume Activation (Ativação de Volume) </w:t>
      </w:r>
    </w:p>
    <w:p w:rsidR="0042385B" w:rsidRPr="00CD6110" w:rsidRDefault="0042385B" w:rsidP="00B331C8">
      <w:pPr>
        <w:pStyle w:val="DatasheetBodyText"/>
        <w:rPr>
          <w:spacing w:val="-2"/>
          <w:lang w:val="pt-BR"/>
        </w:rPr>
      </w:pPr>
      <w:r w:rsidRPr="00CD6110">
        <w:rPr>
          <w:spacing w:val="-2"/>
          <w:lang w:val="pt-BR"/>
        </w:rPr>
        <w:t xml:space="preserve">Os recursos do VA (ativação de volume) do Windows 7 se baseiam </w:t>
      </w:r>
      <w:r>
        <w:rPr>
          <w:spacing w:val="-2"/>
          <w:lang w:val="pt-BR"/>
        </w:rPr>
        <w:t>em</w:t>
      </w:r>
      <w:r w:rsidRPr="00CD6110">
        <w:rPr>
          <w:spacing w:val="-2"/>
          <w:lang w:val="pt-BR"/>
        </w:rPr>
        <w:t xml:space="preserve"> ferramentas e serviços do VA inicial apresentados no Windows Vista</w:t>
      </w:r>
      <w:r w:rsidRPr="00CD6110">
        <w:rPr>
          <w:spacing w:val="-2"/>
          <w:vertAlign w:val="superscript"/>
          <w:lang w:val="pt-BR"/>
        </w:rPr>
        <w:t>®</w:t>
      </w:r>
      <w:r w:rsidRPr="00CD6110">
        <w:rPr>
          <w:spacing w:val="-2"/>
          <w:lang w:val="pt-BR"/>
        </w:rPr>
        <w:t>:</w:t>
      </w:r>
    </w:p>
    <w:p w:rsidR="0042385B" w:rsidRPr="00CD6110" w:rsidRDefault="0042385B" w:rsidP="00B331C8">
      <w:pPr>
        <w:pStyle w:val="DatasheetBullets"/>
        <w:rPr>
          <w:spacing w:val="-2"/>
        </w:rPr>
      </w:pPr>
      <w:r w:rsidRPr="00CD6110">
        <w:rPr>
          <w:rStyle w:val="H3Bullet"/>
          <w:bCs/>
          <w:spacing w:val="-2"/>
        </w:rPr>
        <w:t>O Serviço de Gerenciamento de Chaves (KMS).</w:t>
      </w:r>
      <w:r w:rsidRPr="00CD6110">
        <w:rPr>
          <w:spacing w:val="-2"/>
        </w:rPr>
        <w:t xml:space="preserve"> O KMS permite que as organizações hospedem e gerenciem a ativação dentro de um ambiente gerenciado. As organizações que usam o KMS recebem uma chave do KMS que pode ser instalada em um host (ou hosts) KMS configurado dentro da organização. Os sistemas se conectam ao host KMS e se ativam de forma transparente.</w:t>
      </w:r>
    </w:p>
    <w:p w:rsidR="0042385B" w:rsidRPr="00CD6110" w:rsidRDefault="0042385B" w:rsidP="007826BC">
      <w:pPr>
        <w:pStyle w:val="DatasheetBullets"/>
        <w:rPr>
          <w:spacing w:val="-2"/>
        </w:rPr>
      </w:pPr>
      <w:r w:rsidRPr="00CD6110">
        <w:rPr>
          <w:rStyle w:val="H3Bullet"/>
          <w:bCs/>
          <w:spacing w:val="-2"/>
        </w:rPr>
        <w:lastRenderedPageBreak/>
        <w:t>Chave de Ativação Múltipla (MAK).</w:t>
      </w:r>
      <w:r w:rsidRPr="00CD6110">
        <w:rPr>
          <w:b/>
          <w:bCs/>
          <w:spacing w:val="-2"/>
        </w:rPr>
        <w:t xml:space="preserve"> </w:t>
      </w:r>
      <w:r w:rsidRPr="00CD6110">
        <w:rPr>
          <w:b/>
          <w:bCs/>
          <w:spacing w:val="-2"/>
        </w:rPr>
        <w:br/>
      </w:r>
      <w:r w:rsidRPr="00CD6110">
        <w:rPr>
          <w:spacing w:val="-2"/>
        </w:rPr>
        <w:t>Com um MAK, as organizações usam serviços de ativação hospedados na Microsoft para ativar cada sistema qualificado na organização. Cada MAK tem um número predeterminado de ativações permitidas, combinando com o número de sistemas qualificados pela organização.</w:t>
      </w:r>
    </w:p>
    <w:p w:rsidR="0042385B" w:rsidRPr="00CD6110" w:rsidRDefault="0042385B" w:rsidP="00B331C8">
      <w:pPr>
        <w:pStyle w:val="DatasheetBullets"/>
        <w:rPr>
          <w:b/>
          <w:bCs/>
          <w:spacing w:val="-2"/>
        </w:rPr>
      </w:pPr>
      <w:r w:rsidRPr="00CD6110">
        <w:rPr>
          <w:rStyle w:val="H3Bullet"/>
          <w:spacing w:val="-2"/>
        </w:rPr>
        <w:t>Notificações</w:t>
      </w:r>
      <w:r w:rsidRPr="00CD6110">
        <w:rPr>
          <w:rStyle w:val="H3Bullet"/>
          <w:bCs/>
          <w:spacing w:val="-2"/>
        </w:rPr>
        <w:t xml:space="preserve">. </w:t>
      </w:r>
      <w:r w:rsidRPr="00CD6110">
        <w:rPr>
          <w:spacing w:val="-2"/>
        </w:rPr>
        <w:t>Se a ativação não ocorrer dentro de um prazo predeterminado ou se houver problemas de ativação em uma instalação existente, quaisquer máquinas que não estejam dentro da conformidade irão exibir notificações regulares alertando os usuários do problema de ativação.</w:t>
      </w:r>
    </w:p>
    <w:p w:rsidR="0042385B" w:rsidRPr="00CD6110" w:rsidRDefault="0042385B" w:rsidP="009962D6">
      <w:pPr>
        <w:pStyle w:val="DatasheetBodyText"/>
        <w:spacing w:before="240"/>
        <w:rPr>
          <w:lang w:val="pt-BR"/>
        </w:rPr>
      </w:pPr>
      <w:r w:rsidRPr="00CD6110">
        <w:rPr>
          <w:spacing w:val="-2"/>
          <w:lang w:val="pt-BR"/>
        </w:rPr>
        <w:t>Para mais informações sobre serviços e ferramentas do VA, consulte do Guia de Visão Geral do Volume Activation em</w:t>
      </w:r>
      <w:r w:rsidRPr="00F754F5">
        <w:t xml:space="preserve"> </w:t>
      </w:r>
      <w:hyperlink r:id="rId9" w:history="1">
        <w:r w:rsidRPr="00E03240">
          <w:rPr>
            <w:rStyle w:val="Hyperlink"/>
            <w:rFonts w:cs="Segoe"/>
          </w:rPr>
          <w:t>http://go.microsoft.com/fwlink/?LinkId=149823</w:t>
        </w:r>
      </w:hyperlink>
    </w:p>
    <w:p w:rsidR="0042385B" w:rsidRPr="00CD6110" w:rsidRDefault="0042385B" w:rsidP="00541FA4">
      <w:pPr>
        <w:pStyle w:val="DatasheetH1"/>
        <w:spacing w:before="320"/>
        <w:rPr>
          <w:spacing w:val="-2"/>
          <w:lang w:val="pt-BR"/>
        </w:rPr>
      </w:pPr>
      <w:r w:rsidRPr="00CD6110">
        <w:rPr>
          <w:spacing w:val="-2"/>
          <w:lang w:val="pt-BR"/>
        </w:rPr>
        <w:t>Aperfeiçoamentos na Ativação</w:t>
      </w:r>
    </w:p>
    <w:p w:rsidR="0042385B" w:rsidRPr="00CD6110" w:rsidRDefault="0042385B" w:rsidP="00B331C8">
      <w:pPr>
        <w:pStyle w:val="DatasheetBodyText"/>
        <w:rPr>
          <w:spacing w:val="-2"/>
          <w:lang w:val="pt-BR"/>
        </w:rPr>
      </w:pPr>
      <w:r w:rsidRPr="00CD6110">
        <w:rPr>
          <w:spacing w:val="-2"/>
          <w:lang w:val="pt-BR"/>
        </w:rPr>
        <w:t>O seguinte resumo de alto nível destaca os principais aperfeiçoamentos do VA no Windows 7 e no Windows Server</w:t>
      </w:r>
      <w:r w:rsidRPr="00CD6110">
        <w:rPr>
          <w:rFonts w:cs="Segoe UI"/>
          <w:spacing w:val="-2"/>
          <w:lang w:val="pt-BR"/>
        </w:rPr>
        <w:t>®</w:t>
      </w:r>
      <w:r w:rsidRPr="00CD6110">
        <w:rPr>
          <w:spacing w:val="-2"/>
          <w:lang w:val="pt-BR"/>
        </w:rPr>
        <w:t xml:space="preserve"> 2008 R2.</w:t>
      </w:r>
    </w:p>
    <w:p w:rsidR="0042385B" w:rsidRPr="00CD6110" w:rsidRDefault="0042385B" w:rsidP="00B331C8">
      <w:pPr>
        <w:pStyle w:val="DatasheetH2"/>
        <w:rPr>
          <w:spacing w:val="-2"/>
        </w:rPr>
      </w:pPr>
      <w:r w:rsidRPr="00CD6110">
        <w:rPr>
          <w:spacing w:val="-2"/>
        </w:rPr>
        <w:t>Melhor Experiência do Usuário</w:t>
      </w:r>
    </w:p>
    <w:p w:rsidR="0042385B" w:rsidRPr="00CD6110" w:rsidRDefault="0042385B" w:rsidP="00B331C8">
      <w:pPr>
        <w:pStyle w:val="DatasheetBodyText"/>
        <w:rPr>
          <w:spacing w:val="-2"/>
          <w:lang w:val="pt-BR"/>
        </w:rPr>
      </w:pPr>
      <w:r w:rsidRPr="00CD6110">
        <w:rPr>
          <w:spacing w:val="-2"/>
          <w:lang w:val="pt-BR"/>
        </w:rPr>
        <w:t>Os aperfeiçoamentos na experiência do usuário do VA significam que as organizações podem personalizar a interface com mais precisão, evitar melhor problemas em potencial e resolver problemas de ativação mais rapidamente:</w:t>
      </w:r>
    </w:p>
    <w:p w:rsidR="0042385B" w:rsidRPr="00CD6110" w:rsidRDefault="0042385B" w:rsidP="00B331C8">
      <w:pPr>
        <w:pStyle w:val="DatasheetBullets"/>
        <w:rPr>
          <w:spacing w:val="-2"/>
        </w:rPr>
      </w:pPr>
      <w:r w:rsidRPr="00CD6110">
        <w:rPr>
          <w:rStyle w:val="H3Bullet"/>
          <w:bCs/>
          <w:spacing w:val="-2"/>
        </w:rPr>
        <w:t xml:space="preserve">Personalização da Interface. </w:t>
      </w:r>
      <w:r w:rsidRPr="00CD6110">
        <w:rPr>
          <w:spacing w:val="-2"/>
        </w:rPr>
        <w:t>As organizações podem alterar vários elementos da interface, para oferecer uma experiência direcionada para seus usuários internos. Por exemplo, os administradores podem personalizar a URL para uma solução rápida, gerenciada, se houver problemas relativos à ativação.</w:t>
      </w:r>
    </w:p>
    <w:p w:rsidR="0042385B" w:rsidRPr="00CD6110" w:rsidRDefault="0042385B" w:rsidP="00B331C8">
      <w:pPr>
        <w:pStyle w:val="DatasheetBullets"/>
        <w:rPr>
          <w:spacing w:val="-2"/>
        </w:rPr>
      </w:pPr>
      <w:r w:rsidRPr="00CD6110">
        <w:rPr>
          <w:rStyle w:val="H3Bullet"/>
          <w:bCs/>
          <w:spacing w:val="-2"/>
        </w:rPr>
        <w:t xml:space="preserve">Melhorias no Sistema de Mensagens. </w:t>
      </w:r>
      <w:r w:rsidRPr="00CD6110">
        <w:rPr>
          <w:spacing w:val="-2"/>
        </w:rPr>
        <w:t>As mensagens de erro para usuários finais e administradores foram simplificadas e aperfeiçoadas, incluindo a adição de informações de solução de problemas.</w:t>
      </w:r>
    </w:p>
    <w:p w:rsidR="0042385B" w:rsidRPr="00CD6110" w:rsidRDefault="0042385B" w:rsidP="00E64435">
      <w:pPr>
        <w:pStyle w:val="DatasheetBullets"/>
        <w:sectPr w:rsidR="0042385B" w:rsidRPr="00CD6110" w:rsidSect="00657478">
          <w:pgSz w:w="12240" w:h="15840" w:code="1"/>
          <w:pgMar w:top="1728" w:right="720" w:bottom="576" w:left="4248" w:header="720" w:footer="720" w:gutter="0"/>
          <w:cols w:num="2" w:space="288"/>
          <w:docGrid w:linePitch="360"/>
        </w:sectPr>
      </w:pPr>
      <w:r w:rsidRPr="00CD6110">
        <w:rPr>
          <w:b/>
          <w:spacing w:val="-2"/>
        </w:rPr>
        <w:t>Notificações Aperfeiçoadas.</w:t>
      </w:r>
      <w:r w:rsidRPr="00CD6110">
        <w:rPr>
          <w:spacing w:val="-2"/>
        </w:rPr>
        <w:t xml:space="preserve"> As caixas de diálogo das notificações oferecem informações mais baseadas em ações e opções que levam a uma solução de problemas mais rápida.</w:t>
      </w:r>
      <w:r w:rsidRPr="00CD6110">
        <w:t xml:space="preserve"> </w:t>
      </w:r>
    </w:p>
    <w:p w:rsidR="0042385B" w:rsidRPr="000E4C7C" w:rsidRDefault="00441EFC" w:rsidP="001363C4">
      <w:pPr>
        <w:pStyle w:val="DatasheetH2"/>
        <w:rPr>
          <w:spacing w:val="-2"/>
        </w:rPr>
      </w:pPr>
      <w:r>
        <w:rPr>
          <w:noProof/>
          <w:lang w:val="en-US"/>
        </w:rPr>
        <w:lastRenderedPageBreak/>
        <w:drawing>
          <wp:anchor distT="0" distB="0" distL="114300" distR="114300" simplePos="0" relativeHeight="251656704" behindDoc="1" locked="0" layoutInCell="1" allowOverlap="1">
            <wp:simplePos x="0" y="0"/>
            <wp:positionH relativeFrom="page">
              <wp:posOffset>-41275</wp:posOffset>
            </wp:positionH>
            <wp:positionV relativeFrom="page">
              <wp:align>top</wp:align>
            </wp:positionV>
            <wp:extent cx="7770495" cy="10058400"/>
            <wp:effectExtent l="19050" t="0" r="1905" b="0"/>
            <wp:wrapNone/>
            <wp:docPr id="7" name="Picture 4" descr="Windows7ActivationDataShe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s7ActivationDataSheet2.jpg"/>
                    <pic:cNvPicPr>
                      <a:picLocks noChangeAspect="1" noChangeArrowheads="1"/>
                    </pic:cNvPicPr>
                  </pic:nvPicPr>
                  <pic:blipFill>
                    <a:blip r:embed="rId10"/>
                    <a:srcRect/>
                    <a:stretch>
                      <a:fillRect/>
                    </a:stretch>
                  </pic:blipFill>
                  <pic:spPr bwMode="auto">
                    <a:xfrm>
                      <a:off x="0" y="0"/>
                      <a:ext cx="7770495" cy="10058400"/>
                    </a:xfrm>
                    <a:prstGeom prst="rect">
                      <a:avLst/>
                    </a:prstGeom>
                    <a:noFill/>
                  </pic:spPr>
                </pic:pic>
              </a:graphicData>
            </a:graphic>
          </wp:anchor>
        </w:drawing>
      </w:r>
      <w:r w:rsidR="00892C4D" w:rsidRPr="00892C4D">
        <w:rPr>
          <w:noProof/>
          <w:lang w:eastAsia="pt-BR"/>
        </w:rPr>
        <w:pict>
          <v:shape id="_x0000_s1032" type="#_x0000_t202" style="position:absolute;margin-left:2.8pt;margin-top:9.5pt;width:600pt;height:29.2pt;z-index:-251657728;mso-position-horizontal-relative:page;mso-position-vertical-relative:page;v-text-anchor:middle" filled="f" stroked="f">
            <v:textbox style="mso-next-textbox:#_x0000_s1032" inset=",0,,0">
              <w:txbxContent>
                <w:p w:rsidR="00E810EF" w:rsidRPr="000F16A6" w:rsidRDefault="00E810EF" w:rsidP="00F13831">
                  <w:pPr>
                    <w:spacing w:after="0"/>
                    <w:rPr>
                      <w:rFonts w:ascii="Segoe" w:hAnsi="Segoe"/>
                      <w:sz w:val="32"/>
                      <w:szCs w:val="32"/>
                    </w:rPr>
                  </w:pPr>
                  <w:r>
                    <w:t xml:space="preserve"> </w:t>
                  </w:r>
                  <w:r>
                    <w:rPr>
                      <w:rFonts w:ascii="Segoe" w:hAnsi="Segoe"/>
                      <w:sz w:val="32"/>
                      <w:szCs w:val="32"/>
                    </w:rPr>
                    <w:t xml:space="preserve">      Folha de Dados de Ativação do Windows 7</w:t>
                  </w:r>
                  <w:r>
                    <w:rPr>
                      <w:rFonts w:ascii="Segoe" w:hAnsi="Segoe"/>
                      <w:sz w:val="32"/>
                      <w:szCs w:val="32"/>
                      <w:vertAlign w:val="superscript"/>
                    </w:rPr>
                    <w:t>®</w:t>
                  </w:r>
                </w:p>
              </w:txbxContent>
            </v:textbox>
            <w10:wrap anchorx="page" anchory="page"/>
            <w10:anchorlock/>
          </v:shape>
        </w:pict>
      </w:r>
      <w:r>
        <w:rPr>
          <w:noProof/>
          <w:lang w:val="en-US"/>
        </w:rPr>
        <w:drawing>
          <wp:anchor distT="0" distB="0" distL="114300" distR="114300" simplePos="0" relativeHeight="251657728" behindDoc="0" locked="0" layoutInCell="1" allowOverlap="1">
            <wp:simplePos x="0" y="0"/>
            <wp:positionH relativeFrom="column">
              <wp:posOffset>-2357120</wp:posOffset>
            </wp:positionH>
            <wp:positionV relativeFrom="paragraph">
              <wp:posOffset>13335</wp:posOffset>
            </wp:positionV>
            <wp:extent cx="1828800" cy="1129030"/>
            <wp:effectExtent l="0" t="0" r="0" b="0"/>
            <wp:wrapThrough wrapText="bothSides">
              <wp:wrapPolygon edited="0">
                <wp:start x="10350" y="729"/>
                <wp:lineTo x="9675" y="1093"/>
                <wp:lineTo x="8325" y="5102"/>
                <wp:lineTo x="8325" y="6560"/>
                <wp:lineTo x="7200" y="12391"/>
                <wp:lineTo x="1350" y="14214"/>
                <wp:lineTo x="450" y="14943"/>
                <wp:lineTo x="1350" y="20409"/>
                <wp:lineTo x="19800" y="20409"/>
                <wp:lineTo x="21375" y="15672"/>
                <wp:lineTo x="20475" y="14214"/>
                <wp:lineTo x="16425" y="12391"/>
                <wp:lineTo x="17550" y="6925"/>
                <wp:lineTo x="18225" y="3280"/>
                <wp:lineTo x="17325" y="2187"/>
                <wp:lineTo x="12600" y="729"/>
                <wp:lineTo x="10350" y="729"/>
              </wp:wrapPolygon>
            </wp:wrapThrough>
            <wp:docPr id="9" name="Picture 5" descr="windows 7 bl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ows 7 bl v.png"/>
                    <pic:cNvPicPr>
                      <a:picLocks noChangeAspect="1" noChangeArrowheads="1"/>
                    </pic:cNvPicPr>
                  </pic:nvPicPr>
                  <pic:blipFill>
                    <a:blip r:embed="rId11"/>
                    <a:srcRect/>
                    <a:stretch>
                      <a:fillRect/>
                    </a:stretch>
                  </pic:blipFill>
                  <pic:spPr bwMode="auto">
                    <a:xfrm>
                      <a:off x="0" y="0"/>
                      <a:ext cx="1828800" cy="1129030"/>
                    </a:xfrm>
                    <a:prstGeom prst="rect">
                      <a:avLst/>
                    </a:prstGeom>
                    <a:noFill/>
                  </pic:spPr>
                </pic:pic>
              </a:graphicData>
            </a:graphic>
          </wp:anchor>
        </w:drawing>
      </w:r>
      <w:r w:rsidR="00892C4D" w:rsidRPr="00892C4D">
        <w:rPr>
          <w:noProof/>
          <w:lang w:eastAsia="pt-BR"/>
        </w:rPr>
        <w:pict>
          <v:shape id="_x0000_s1034" type="#_x0000_t202" style="position:absolute;margin-left:22.3pt;margin-top:54pt;width:173.35pt;height:705.6pt;z-index:251653632;mso-position-horizontal-relative:page;mso-position-vertical-relative:page" filled="f" stroked="f" strokecolor="#f79646" strokeweight="1pt">
            <v:stroke dashstyle="dash"/>
            <v:shadow color="#868686"/>
            <v:textbox style="mso-next-textbox:#_x0000_s1034">
              <w:txbxContent>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Default="00E810EF" w:rsidP="00D65A66">
                  <w:pPr>
                    <w:spacing w:before="240"/>
                  </w:pPr>
                </w:p>
                <w:p w:rsidR="00E810EF" w:rsidRPr="00E12C72" w:rsidRDefault="00E810EF" w:rsidP="00D65A66">
                  <w:pPr>
                    <w:pStyle w:val="DatasheetH1"/>
                    <w:spacing w:before="240"/>
                    <w:rPr>
                      <w:rFonts w:ascii="Segoe UI" w:hAnsi="Segoe UI" w:cs="Times New Roman"/>
                      <w:color w:val="auto"/>
                      <w:sz w:val="22"/>
                      <w:szCs w:val="22"/>
                    </w:rPr>
                  </w:pPr>
                </w:p>
                <w:p w:rsidR="00E810EF" w:rsidRPr="00E12C72" w:rsidRDefault="00E810EF" w:rsidP="00D65A66">
                  <w:pPr>
                    <w:pStyle w:val="DatasheetH1"/>
                    <w:spacing w:before="240"/>
                    <w:rPr>
                      <w:rFonts w:ascii="Segoe UI" w:hAnsi="Segoe UI" w:cs="Times New Roman"/>
                      <w:color w:val="auto"/>
                      <w:sz w:val="22"/>
                      <w:szCs w:val="22"/>
                    </w:rPr>
                  </w:pPr>
                </w:p>
                <w:p w:rsidR="00E810EF" w:rsidRPr="003B5775" w:rsidRDefault="00E810EF" w:rsidP="001363C4">
                  <w:pPr>
                    <w:pStyle w:val="DatasheetH1"/>
                    <w:spacing w:before="240" w:after="0"/>
                  </w:pPr>
                  <w:r>
                    <w:t xml:space="preserve">Recursos adicionais </w:t>
                  </w:r>
                </w:p>
                <w:p w:rsidR="00E810EF" w:rsidRPr="00A72407" w:rsidRDefault="00E810EF" w:rsidP="001363C4">
                  <w:pPr>
                    <w:pStyle w:val="DatasheetBullets"/>
                    <w:spacing w:before="120"/>
                    <w:rPr>
                      <w:sz w:val="20"/>
                      <w:szCs w:val="20"/>
                    </w:rPr>
                  </w:pPr>
                  <w:r>
                    <w:rPr>
                      <w:szCs w:val="20"/>
                    </w:rPr>
                    <w:t>Saiba mais sobre volume activation (ativação de volume):</w:t>
                  </w:r>
                  <w:r>
                    <w:rPr>
                      <w:sz w:val="16"/>
                    </w:rPr>
                    <w:t xml:space="preserve">  </w:t>
                  </w:r>
                  <w:hyperlink r:id="rId12" w:history="1">
                    <w:r>
                      <w:rPr>
                        <w:rStyle w:val="Hyperlink"/>
                        <w:rFonts w:ascii="Segoe UI" w:hAnsi="Segoe UI" w:cs="Segoe"/>
                        <w:i/>
                        <w:szCs w:val="20"/>
                      </w:rPr>
                      <w:t>http://technet.microsoft.com/volumeactivation</w:t>
                    </w:r>
                  </w:hyperlink>
                </w:p>
                <w:p w:rsidR="00E810EF" w:rsidRDefault="00E810EF" w:rsidP="00D65A66">
                  <w:pPr>
                    <w:pStyle w:val="DatasheetBullets"/>
                    <w:spacing w:before="240"/>
                  </w:pPr>
                  <w:r>
                    <w:t xml:space="preserve">Visite o site de Licenciamento por Volume: </w:t>
                  </w:r>
                  <w:hyperlink r:id="rId13" w:history="1">
                    <w:r>
                      <w:rPr>
                        <w:rStyle w:val="Hyperlink"/>
                        <w:rFonts w:ascii="Segoe UI" w:hAnsi="Segoe UI" w:cs="Segoe"/>
                        <w:i/>
                        <w:szCs w:val="20"/>
                      </w:rPr>
                      <w:t>http://microsoft.com/licensin</w:t>
                    </w:r>
                    <w:r>
                      <w:rPr>
                        <w:rStyle w:val="Hyperlink"/>
                        <w:rFonts w:ascii="Segoe UI" w:hAnsi="Segoe UI" w:cs="Segoe"/>
                        <w:szCs w:val="20"/>
                      </w:rPr>
                      <w:t>g</w:t>
                    </w:r>
                  </w:hyperlink>
                </w:p>
                <w:p w:rsidR="00E810EF" w:rsidRDefault="00E810EF" w:rsidP="00D65A66">
                  <w:pPr>
                    <w:pStyle w:val="DatasheetBullets"/>
                    <w:spacing w:before="240"/>
                    <w:rPr>
                      <w:noProof/>
                    </w:rPr>
                  </w:pPr>
                  <w:r>
                    <w:t xml:space="preserve">Saiba mais sobre o Kit de Instalação Automatizada do Windows (AIK): </w:t>
                  </w:r>
                  <w:r>
                    <w:br/>
                  </w:r>
                  <w:hyperlink r:id="rId14" w:history="1">
                    <w:r>
                      <w:rPr>
                        <w:rStyle w:val="Hyperlink"/>
                        <w:rFonts w:ascii="Segoe UI" w:hAnsi="Segoe UI" w:cs="Segoe"/>
                        <w:i/>
                        <w:szCs w:val="20"/>
                      </w:rPr>
                      <w:t>http://technet.microsoft.com/en-us/library/cc748933.aspx</w:t>
                    </w:r>
                  </w:hyperlink>
                </w:p>
                <w:p w:rsidR="00E810EF" w:rsidRPr="00002E2A" w:rsidRDefault="00E810EF" w:rsidP="00D65A66">
                  <w:pPr>
                    <w:pStyle w:val="DatasheetBullets"/>
                    <w:spacing w:before="240"/>
                    <w:rPr>
                      <w:rStyle w:val="DatasheetURL"/>
                    </w:rPr>
                  </w:pPr>
                  <w:r>
                    <w:t xml:space="preserve">Informações sobre o Windows 7 Enterprise Edition: </w:t>
                  </w:r>
                  <w:hyperlink r:id="rId15" w:history="1">
                    <w:r>
                      <w:rPr>
                        <w:rStyle w:val="Hyperlink"/>
                        <w:rFonts w:ascii="Segoe UI" w:hAnsi="Segoe UI" w:cs="Segoe"/>
                        <w:i/>
                        <w:szCs w:val="20"/>
                      </w:rPr>
                      <w:t>http://microsoft.com/windows/enterprise/products/</w:t>
                    </w:r>
                  </w:hyperlink>
                </w:p>
                <w:p w:rsidR="00E810EF" w:rsidRDefault="00E810EF" w:rsidP="00D65A66">
                  <w:pPr>
                    <w:spacing w:before="240"/>
                  </w:pPr>
                </w:p>
              </w:txbxContent>
            </v:textbox>
            <w10:wrap anchorx="page" anchory="page"/>
            <w10:anchorlock/>
          </v:shape>
        </w:pict>
      </w:r>
      <w:r w:rsidR="0042385B" w:rsidRPr="000E4C7C">
        <w:rPr>
          <w:spacing w:val="-2"/>
        </w:rPr>
        <w:t xml:space="preserve">Ativação Aperfeiçoada como Parte da Implantação </w:t>
      </w:r>
    </w:p>
    <w:p w:rsidR="0042385B" w:rsidRPr="000E4C7C" w:rsidRDefault="0042385B" w:rsidP="00B331C8">
      <w:pPr>
        <w:pStyle w:val="DatasheetBodyText"/>
        <w:rPr>
          <w:spacing w:val="-2"/>
          <w:lang w:val="pt-BR"/>
        </w:rPr>
      </w:pPr>
      <w:r w:rsidRPr="000E4C7C">
        <w:rPr>
          <w:spacing w:val="-2"/>
          <w:lang w:val="pt-BR"/>
        </w:rPr>
        <w:t xml:space="preserve">As tecnologias do VA também foram aperfeiçoadas para se integrarem melhor à infraestrutura de TI atual do cliente, destas formas: </w:t>
      </w:r>
    </w:p>
    <w:p w:rsidR="0042385B" w:rsidRPr="000E4C7C" w:rsidRDefault="0042385B" w:rsidP="00B331C8">
      <w:pPr>
        <w:pStyle w:val="DatasheetBullets"/>
        <w:rPr>
          <w:spacing w:val="-2"/>
        </w:rPr>
      </w:pPr>
      <w:r w:rsidRPr="000E4C7C">
        <w:rPr>
          <w:b/>
          <w:spacing w:val="-2"/>
        </w:rPr>
        <w:t xml:space="preserve">Contagem de sistemas virtuais. </w:t>
      </w:r>
      <w:r w:rsidRPr="000E4C7C">
        <w:rPr>
          <w:spacing w:val="-2"/>
        </w:rPr>
        <w:t xml:space="preserve">Com a versão do KMS para Windows Vista, as organizações podiam ativar sistemas virtuais assim que houvesse um número suficiente de máquinas físicas.  Com o Windows 7, o KMS agora combina </w:t>
      </w:r>
      <w:r w:rsidRPr="000E4C7C">
        <w:rPr>
          <w:i/>
          <w:spacing w:val="-2"/>
        </w:rPr>
        <w:t>ambos</w:t>
      </w:r>
      <w:r w:rsidRPr="000E4C7C">
        <w:rPr>
          <w:spacing w:val="-2"/>
        </w:rPr>
        <w:t xml:space="preserve"> os sistemas, físicos e virtuais, com o limite mínimo necessário para a ativação do KMS, fazendo deste uma grande opção para organizações que dependem bastante da virtualização da infraestrutura.</w:t>
      </w:r>
    </w:p>
    <w:p w:rsidR="0042385B" w:rsidRPr="000E4C7C" w:rsidRDefault="0042385B" w:rsidP="00B331C8">
      <w:pPr>
        <w:pStyle w:val="DatasheetBullets"/>
        <w:rPr>
          <w:spacing w:val="-2"/>
        </w:rPr>
      </w:pPr>
      <w:r w:rsidRPr="000E4C7C">
        <w:rPr>
          <w:b/>
          <w:spacing w:val="-2"/>
        </w:rPr>
        <w:t>DNS Aperfeiçoado.</w:t>
      </w:r>
      <w:r w:rsidRPr="000E4C7C">
        <w:rPr>
          <w:spacing w:val="-2"/>
        </w:rPr>
        <w:t xml:space="preserve"> Desde o lançamento do KMS, o processo de ativação KMS-para-cliente ficou automático e transparente (para usuários finais e administradores) através dos registros “SRV A”. O Windows 7 dá aos administradores maior controle sobre como o KMS e os clientes interagem pelos seus ambientes DNS (Sistema de Nomes de Domínio), para</w:t>
      </w:r>
      <w:r>
        <w:rPr>
          <w:spacing w:val="-2"/>
        </w:rPr>
        <w:t>:</w:t>
      </w:r>
      <w:r w:rsidRPr="000E4C7C">
        <w:rPr>
          <w:spacing w:val="-2"/>
        </w:rPr>
        <w:t xml:space="preserve"> </w:t>
      </w:r>
    </w:p>
    <w:p w:rsidR="0042385B" w:rsidRPr="000E4C7C" w:rsidRDefault="0042385B" w:rsidP="009962D6">
      <w:pPr>
        <w:pStyle w:val="DatasheetBulletsLevel2"/>
        <w:rPr>
          <w:spacing w:val="-2"/>
        </w:rPr>
      </w:pPr>
      <w:r w:rsidRPr="000E4C7C">
        <w:rPr>
          <w:spacing w:val="-2"/>
        </w:rPr>
        <w:t xml:space="preserve">Habilitar instalação do KMS em um </w:t>
      </w:r>
      <w:r>
        <w:rPr>
          <w:spacing w:val="-2"/>
        </w:rPr>
        <w:t>só</w:t>
      </w:r>
      <w:r w:rsidRPr="000E4C7C">
        <w:rPr>
          <w:spacing w:val="-2"/>
        </w:rPr>
        <w:t xml:space="preserve"> host por zona, mesmo que os clientes residam em várias zonas de DNS. </w:t>
      </w:r>
    </w:p>
    <w:p w:rsidR="0042385B" w:rsidRPr="000E4C7C" w:rsidRDefault="0042385B" w:rsidP="009962D6">
      <w:pPr>
        <w:pStyle w:val="DatasheetBulletsLevel2"/>
        <w:rPr>
          <w:spacing w:val="-2"/>
        </w:rPr>
      </w:pPr>
      <w:r w:rsidRPr="000E4C7C">
        <w:rPr>
          <w:spacing w:val="-2"/>
        </w:rPr>
        <w:t>Equilibrar o tráfego entre vários hosts KMS, usando prioridade e importância do host de registro DNS SRV, permitindo que os administradores de rede façam a "sintonia fina" do comportamento do cliente KMS nos ambientes distribuídos.</w:t>
      </w:r>
    </w:p>
    <w:p w:rsidR="0042385B" w:rsidRPr="000E4C7C" w:rsidRDefault="0042385B" w:rsidP="00B331C8">
      <w:pPr>
        <w:pStyle w:val="DatasheetBullets"/>
        <w:rPr>
          <w:spacing w:val="-2"/>
        </w:rPr>
      </w:pPr>
      <w:r w:rsidRPr="000E4C7C">
        <w:rPr>
          <w:b/>
          <w:spacing w:val="-2"/>
        </w:rPr>
        <w:t xml:space="preserve">Ativação baseada </w:t>
      </w:r>
      <w:smartTag w:uri="urn:schemas-microsoft-com:office:smarttags" w:element="PersonName">
        <w:smartTagPr>
          <w:attr w:name="ProductID" w:val="em token. Em"/>
        </w:smartTagPr>
        <w:r w:rsidRPr="000E4C7C">
          <w:rPr>
            <w:b/>
            <w:spacing w:val="-2"/>
          </w:rPr>
          <w:t>em token.</w:t>
        </w:r>
        <w:r w:rsidRPr="000E4C7C">
          <w:rPr>
            <w:spacing w:val="-2"/>
          </w:rPr>
          <w:t xml:space="preserve"> Em</w:t>
        </w:r>
      </w:smartTag>
      <w:r w:rsidRPr="000E4C7C">
        <w:rPr>
          <w:spacing w:val="-2"/>
        </w:rPr>
        <w:t xml:space="preserve"> situações exclusivas em que os sistemas requeiram ativação, mas estejam em um ambiente desconectado (sem acesso via rede ou telefone). A ativação baseada em token é uma opção de ativação alternativa, disponível para clientes aprovados do Licenciamento por Volume (VL) da Microsoft. Essa opção permite que os clientes usem sua própria infraestrutura de chave pública (PKI) e seus próprios certificados digitais (os "tokens", normalmente armazenados em cartões inteligentes, para ativar o Windows 7 localmente, sem entrar em contato com os serviços de ativação da Microsoft ou qualquer infraestrutura interna do cliente.</w:t>
      </w:r>
    </w:p>
    <w:p w:rsidR="0042385B" w:rsidRPr="000E4C7C" w:rsidRDefault="0042385B" w:rsidP="00B331C8">
      <w:pPr>
        <w:pStyle w:val="DatasheetH2"/>
        <w:rPr>
          <w:spacing w:val="-2"/>
        </w:rPr>
      </w:pPr>
      <w:r w:rsidRPr="000E4C7C">
        <w:rPr>
          <w:spacing w:val="-2"/>
        </w:rPr>
        <w:lastRenderedPageBreak/>
        <w:t>Gerenciabilidade Aperfeiçoada</w:t>
      </w:r>
    </w:p>
    <w:p w:rsidR="0042385B" w:rsidRPr="000E4C7C" w:rsidRDefault="0042385B" w:rsidP="00B331C8">
      <w:pPr>
        <w:pStyle w:val="DatasheetBodyText"/>
        <w:rPr>
          <w:spacing w:val="-2"/>
          <w:lang w:val="pt-BR"/>
        </w:rPr>
      </w:pPr>
      <w:r w:rsidRPr="000E4C7C">
        <w:rPr>
          <w:spacing w:val="-2"/>
          <w:lang w:val="pt-BR"/>
        </w:rPr>
        <w:t>Vários aperfeiçoamentos ajudam os administradores a gerenciar melhor a implantação do serviço de ativação e das chaves de ativação:</w:t>
      </w:r>
    </w:p>
    <w:p w:rsidR="0042385B" w:rsidRPr="000E4C7C" w:rsidRDefault="0042385B" w:rsidP="00B331C8">
      <w:pPr>
        <w:pStyle w:val="DatasheetBullets"/>
        <w:rPr>
          <w:spacing w:val="-2"/>
        </w:rPr>
      </w:pPr>
      <w:r w:rsidRPr="000E4C7C">
        <w:rPr>
          <w:b/>
          <w:spacing w:val="-2"/>
        </w:rPr>
        <w:t>Expansão das propriedades da Instrumentação de Gerenciamento do Windows (WMI).</w:t>
      </w:r>
      <w:r w:rsidRPr="000E4C7C">
        <w:rPr>
          <w:spacing w:val="-2"/>
        </w:rPr>
        <w:t xml:space="preserve"> Com o Windows 7, as propriedades e métodos da WMI da classe do Serviço de Licenciamento de Software e foram aperfeiçoados para mais flexibilidade e controle. Por exemplo, os administradores podem acessar o número restante de rearmações, evitando uma situação em que eles podem não perceber que restam poucas.</w:t>
      </w:r>
    </w:p>
    <w:p w:rsidR="0042385B" w:rsidRPr="000E4C7C" w:rsidRDefault="0042385B" w:rsidP="00B331C8">
      <w:pPr>
        <w:pStyle w:val="DatasheetBullets"/>
        <w:rPr>
          <w:spacing w:val="-2"/>
        </w:rPr>
      </w:pPr>
      <w:r w:rsidRPr="000E4C7C">
        <w:rPr>
          <w:b/>
          <w:spacing w:val="-2"/>
        </w:rPr>
        <w:t>Valores de tolerância do hardware modificados.</w:t>
      </w:r>
      <w:r w:rsidRPr="000E4C7C">
        <w:rPr>
          <w:spacing w:val="-2"/>
        </w:rPr>
        <w:t xml:space="preserve"> Com o Windows 7, é menos provável que uma necessidade de reativação seja acionada por uma situação de fora de tolerância. </w:t>
      </w:r>
    </w:p>
    <w:p w:rsidR="0042385B" w:rsidRPr="000E4C7C" w:rsidRDefault="0042385B" w:rsidP="00B331C8">
      <w:pPr>
        <w:pStyle w:val="DatasheetBullets"/>
        <w:rPr>
          <w:spacing w:val="-2"/>
        </w:rPr>
      </w:pPr>
      <w:r w:rsidRPr="000E4C7C">
        <w:rPr>
          <w:b/>
          <w:spacing w:val="-2"/>
        </w:rPr>
        <w:t>Portal de gerenciamento consolidado.</w:t>
      </w:r>
      <w:r w:rsidRPr="000E4C7C">
        <w:rPr>
          <w:spacing w:val="-2"/>
        </w:rPr>
        <w:t xml:space="preserve"> Todos os portais de VL anteriores foram consolidados no aperfeiçoado Centro de Atendimento de Licenciamento por Volume (VLSC). Esse portal único vem com vários aperfeiçoamentos destinados a ajudar as organizações a identificar, monitorar e organizar todas as suas chaves de um só local de fácil acesso.</w:t>
      </w:r>
    </w:p>
    <w:p w:rsidR="0042385B" w:rsidRPr="000E4C7C" w:rsidRDefault="0042385B" w:rsidP="00B331C8">
      <w:pPr>
        <w:pStyle w:val="DatasheetBullets"/>
        <w:rPr>
          <w:spacing w:val="-2"/>
        </w:rPr>
      </w:pPr>
      <w:r w:rsidRPr="000E4C7C">
        <w:rPr>
          <w:b/>
          <w:spacing w:val="-2"/>
        </w:rPr>
        <w:t>Manipulação transparente do limite de MAK.</w:t>
      </w:r>
      <w:r w:rsidRPr="000E4C7C">
        <w:rPr>
          <w:spacing w:val="-2"/>
        </w:rPr>
        <w:t xml:space="preserve"> Com o Windows 7, se a utilização do MAK de um cliente se aproximar do limite, o serviço de back-end hospedado pela Microsoft revisa automaticamente o limite, reduzindo o tempo de administração manual.</w:t>
      </w:r>
    </w:p>
    <w:p w:rsidR="0042385B" w:rsidRPr="000E4C7C" w:rsidRDefault="0042385B" w:rsidP="00B331C8">
      <w:pPr>
        <w:pStyle w:val="DatasheetH2"/>
        <w:rPr>
          <w:spacing w:val="-2"/>
        </w:rPr>
      </w:pPr>
      <w:r w:rsidRPr="000E4C7C">
        <w:rPr>
          <w:spacing w:val="-2"/>
        </w:rPr>
        <w:t>Melhor Eficiência</w:t>
      </w:r>
    </w:p>
    <w:p w:rsidR="0042385B" w:rsidRPr="000E4C7C" w:rsidRDefault="0042385B" w:rsidP="00B331C8">
      <w:pPr>
        <w:pStyle w:val="DatasheetBodyText"/>
        <w:rPr>
          <w:spacing w:val="-2"/>
          <w:lang w:val="pt-BR"/>
        </w:rPr>
      </w:pPr>
      <w:r w:rsidRPr="000E4C7C">
        <w:rPr>
          <w:spacing w:val="-2"/>
          <w:lang w:val="pt-BR"/>
        </w:rPr>
        <w:t xml:space="preserve">Além dos aperfeiçoamentos de recursos listados acima, as tecnologias e ferramentas de VA do Windows 7 funcionam melhor e requerem menos recursos do sistema, como resultado da execução otimizada de serviços e utilização reduzida de memória e E/S de disco, oferecendo uma experiência de ativação mais segura e flexível. </w:t>
      </w:r>
    </w:p>
    <w:p w:rsidR="0042385B" w:rsidRPr="000E4C7C" w:rsidRDefault="0042385B" w:rsidP="00B331C8">
      <w:pPr>
        <w:pStyle w:val="DatasheetBodyText"/>
        <w:rPr>
          <w:rStyle w:val="Hyperlink"/>
          <w:rFonts w:cs="Segoe"/>
          <w:spacing w:val="-2"/>
          <w:lang w:val="pt-BR"/>
        </w:rPr>
      </w:pPr>
      <w:r w:rsidRPr="000E4C7C">
        <w:rPr>
          <w:spacing w:val="-2"/>
          <w:lang w:val="pt-BR"/>
        </w:rPr>
        <w:t xml:space="preserve">Para mais informações sobre o Windows 7 para clientes corporativos, acesse </w:t>
      </w:r>
      <w:hyperlink r:id="rId16" w:history="1">
        <w:r w:rsidRPr="00991811">
          <w:rPr>
            <w:rStyle w:val="Hyperlink"/>
            <w:rFonts w:cs="Segoe"/>
          </w:rPr>
          <w:t>http://microsoft.com/windows/enterprise</w:t>
        </w:r>
      </w:hyperlink>
      <w:r w:rsidRPr="000E4C7C">
        <w:rPr>
          <w:rStyle w:val="Hyperlink"/>
          <w:rFonts w:cs="Segoe"/>
          <w:spacing w:val="-2"/>
          <w:lang w:val="pt-BR"/>
        </w:rPr>
        <w:t xml:space="preserve"> </w:t>
      </w:r>
    </w:p>
    <w:p w:rsidR="0042385B" w:rsidRPr="000E4C7C" w:rsidRDefault="0042385B" w:rsidP="00B331C8">
      <w:pPr>
        <w:pStyle w:val="DatasheetBodyText"/>
        <w:rPr>
          <w:spacing w:val="-2"/>
          <w:lang w:val="pt-BR"/>
        </w:rPr>
      </w:pPr>
    </w:p>
    <w:p w:rsidR="0042385B" w:rsidRPr="000E4C7C" w:rsidRDefault="0042385B" w:rsidP="00B331C8">
      <w:pPr>
        <w:pStyle w:val="DatasheetBodyText"/>
        <w:rPr>
          <w:spacing w:val="-2"/>
          <w:lang w:val="pt-BR"/>
        </w:rPr>
      </w:pPr>
    </w:p>
    <w:p w:rsidR="0042385B" w:rsidRPr="000E4C7C" w:rsidRDefault="0042385B" w:rsidP="00B331C8">
      <w:pPr>
        <w:pStyle w:val="DatasheetBodyText"/>
        <w:rPr>
          <w:spacing w:val="-2"/>
          <w:lang w:val="pt-BR"/>
        </w:rPr>
      </w:pPr>
    </w:p>
    <w:sectPr w:rsidR="0042385B" w:rsidRPr="000E4C7C" w:rsidSect="00D65A66">
      <w:pgSz w:w="12240" w:h="15840" w:code="1"/>
      <w:pgMar w:top="1080" w:right="720" w:bottom="576" w:left="4248" w:header="720" w:footer="720" w:gutter="0"/>
      <w:cols w:num="2" w:space="28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w:altName w:val="Times New Roman"/>
    <w:panose1 w:val="00000000000000000000"/>
    <w:charset w:val="00"/>
    <w:family w:val="roman"/>
    <w:notTrueType/>
    <w:pitch w:val="default"/>
    <w:sig w:usb0="00000000" w:usb1="00000000" w:usb2="00000000" w:usb3="00000000" w:csb0="00000000" w:csb1="00000000"/>
  </w:font>
  <w:font w:name="Segoe Light">
    <w:altName w:val="Segoe UI"/>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044"/>
    <w:multiLevelType w:val="hybridMultilevel"/>
    <w:tmpl w:val="3B7EA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82A97"/>
    <w:multiLevelType w:val="hybridMultilevel"/>
    <w:tmpl w:val="3D2A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6476D"/>
    <w:multiLevelType w:val="hybridMultilevel"/>
    <w:tmpl w:val="AB0C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42A74"/>
    <w:multiLevelType w:val="hybridMultilevel"/>
    <w:tmpl w:val="C7EAF286"/>
    <w:lvl w:ilvl="0" w:tplc="7DCC8E32">
      <w:start w:val="1"/>
      <w:numFmt w:val="bullet"/>
      <w:pStyle w:val="DatasheetBullets"/>
      <w:lvlText w:val=""/>
      <w:lvlJc w:val="left"/>
      <w:pPr>
        <w:ind w:left="720" w:hanging="360"/>
      </w:pPr>
      <w:rPr>
        <w:rFonts w:ascii="Wingdings" w:hAnsi="Wingdings"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838B5"/>
    <w:multiLevelType w:val="hybridMultilevel"/>
    <w:tmpl w:val="791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0268A"/>
    <w:multiLevelType w:val="hybridMultilevel"/>
    <w:tmpl w:val="1B1C5016"/>
    <w:lvl w:ilvl="0" w:tplc="FC2E171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9200EFE"/>
    <w:multiLevelType w:val="hybridMultilevel"/>
    <w:tmpl w:val="C298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237DE"/>
    <w:multiLevelType w:val="hybridMultilevel"/>
    <w:tmpl w:val="33489E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7"/>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compat/>
  <w:rsids>
    <w:rsidRoot w:val="00EC6A7E"/>
    <w:rsid w:val="00002E2A"/>
    <w:rsid w:val="000060D9"/>
    <w:rsid w:val="00094DB9"/>
    <w:rsid w:val="000E4C7C"/>
    <w:rsid w:val="000F16A6"/>
    <w:rsid w:val="000F4EDF"/>
    <w:rsid w:val="001363C4"/>
    <w:rsid w:val="00186556"/>
    <w:rsid w:val="001B4482"/>
    <w:rsid w:val="001F4DF0"/>
    <w:rsid w:val="0020020A"/>
    <w:rsid w:val="002147CA"/>
    <w:rsid w:val="00217202"/>
    <w:rsid w:val="002453FA"/>
    <w:rsid w:val="002B7D03"/>
    <w:rsid w:val="003778F8"/>
    <w:rsid w:val="003A4D21"/>
    <w:rsid w:val="003B5775"/>
    <w:rsid w:val="00410D0F"/>
    <w:rsid w:val="0042385B"/>
    <w:rsid w:val="0043697D"/>
    <w:rsid w:val="00441EFC"/>
    <w:rsid w:val="004C0E5B"/>
    <w:rsid w:val="004C3692"/>
    <w:rsid w:val="004D3340"/>
    <w:rsid w:val="004F08A1"/>
    <w:rsid w:val="00526A2B"/>
    <w:rsid w:val="00531A98"/>
    <w:rsid w:val="00541FA4"/>
    <w:rsid w:val="00562423"/>
    <w:rsid w:val="00657478"/>
    <w:rsid w:val="00692338"/>
    <w:rsid w:val="006C09D9"/>
    <w:rsid w:val="006C4693"/>
    <w:rsid w:val="006F0D87"/>
    <w:rsid w:val="007300F3"/>
    <w:rsid w:val="007826BC"/>
    <w:rsid w:val="00791663"/>
    <w:rsid w:val="00807137"/>
    <w:rsid w:val="00892C4D"/>
    <w:rsid w:val="008E05EF"/>
    <w:rsid w:val="00917E62"/>
    <w:rsid w:val="00961753"/>
    <w:rsid w:val="00991811"/>
    <w:rsid w:val="009962D6"/>
    <w:rsid w:val="009A72A5"/>
    <w:rsid w:val="009E0990"/>
    <w:rsid w:val="00A72407"/>
    <w:rsid w:val="00AF0D16"/>
    <w:rsid w:val="00AF0FAF"/>
    <w:rsid w:val="00B331C8"/>
    <w:rsid w:val="00C06600"/>
    <w:rsid w:val="00C318B9"/>
    <w:rsid w:val="00CD6110"/>
    <w:rsid w:val="00CF76DA"/>
    <w:rsid w:val="00D65A66"/>
    <w:rsid w:val="00DA142A"/>
    <w:rsid w:val="00DA146A"/>
    <w:rsid w:val="00DE178D"/>
    <w:rsid w:val="00DF7A00"/>
    <w:rsid w:val="00E03240"/>
    <w:rsid w:val="00E12C72"/>
    <w:rsid w:val="00E43CF6"/>
    <w:rsid w:val="00E64435"/>
    <w:rsid w:val="00E810EF"/>
    <w:rsid w:val="00EB1B6D"/>
    <w:rsid w:val="00EC6A7E"/>
    <w:rsid w:val="00EF4CD4"/>
    <w:rsid w:val="00F10521"/>
    <w:rsid w:val="00F13831"/>
    <w:rsid w:val="00F31C91"/>
    <w:rsid w:val="00F754F5"/>
    <w:rsid w:val="00FA6AB9"/>
    <w:rsid w:val="00FB3459"/>
    <w:rsid w:val="00FC202C"/>
    <w:rsid w:val="00FD7314"/>
    <w:rsid w:val="00FE13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A4"/>
    <w:pPr>
      <w:spacing w:after="200"/>
    </w:pPr>
    <w:rPr>
      <w:rFonts w:ascii="Segoe UI" w:hAnsi="Segoe UI"/>
      <w:lang w:eastAsia="en-US"/>
    </w:rPr>
  </w:style>
  <w:style w:type="paragraph" w:styleId="Heading2">
    <w:name w:val="heading 2"/>
    <w:basedOn w:val="Normal"/>
    <w:next w:val="Normal"/>
    <w:link w:val="Heading2Char"/>
    <w:uiPriority w:val="99"/>
    <w:qFormat/>
    <w:rsid w:val="00B331C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331C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331C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331C8"/>
    <w:rPr>
      <w:rFonts w:ascii="Cambria" w:hAnsi="Cambria" w:cs="Times New Roman"/>
      <w:b/>
      <w:bCs/>
      <w:color w:val="4F81BD"/>
    </w:rPr>
  </w:style>
  <w:style w:type="paragraph" w:styleId="BalloonText">
    <w:name w:val="Balloon Text"/>
    <w:basedOn w:val="Normal"/>
    <w:link w:val="BalloonTextChar"/>
    <w:uiPriority w:val="99"/>
    <w:semiHidden/>
    <w:rsid w:val="00FA6A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AB9"/>
    <w:rPr>
      <w:rFonts w:ascii="Tahoma" w:hAnsi="Tahoma" w:cs="Tahoma"/>
      <w:sz w:val="16"/>
      <w:szCs w:val="16"/>
    </w:rPr>
  </w:style>
  <w:style w:type="paragraph" w:customStyle="1" w:styleId="body">
    <w:name w:val="body"/>
    <w:basedOn w:val="Normal"/>
    <w:uiPriority w:val="99"/>
    <w:rsid w:val="00FA6AB9"/>
    <w:pPr>
      <w:suppressAutoHyphens/>
      <w:autoSpaceDE w:val="0"/>
      <w:autoSpaceDN w:val="0"/>
      <w:adjustRightInd w:val="0"/>
      <w:spacing w:after="0" w:line="240" w:lineRule="atLeast"/>
      <w:textAlignment w:val="center"/>
    </w:pPr>
    <w:rPr>
      <w:rFonts w:ascii="Segoe" w:hAnsi="Segoe" w:cs="Segoe"/>
      <w:color w:val="000000"/>
      <w:sz w:val="18"/>
      <w:szCs w:val="18"/>
    </w:rPr>
  </w:style>
  <w:style w:type="paragraph" w:customStyle="1" w:styleId="H1">
    <w:name w:val="H1"/>
    <w:basedOn w:val="body"/>
    <w:next w:val="body"/>
    <w:uiPriority w:val="99"/>
    <w:rsid w:val="00FA6AB9"/>
    <w:pPr>
      <w:keepNext/>
      <w:keepLines/>
      <w:suppressAutoHyphens w:val="0"/>
      <w:spacing w:before="144" w:after="115" w:line="360" w:lineRule="atLeast"/>
    </w:pPr>
    <w:rPr>
      <w:rFonts w:ascii="Segoe Light" w:hAnsi="Segoe Light" w:cs="Segoe Light"/>
      <w:color w:val="F47C20"/>
      <w:sz w:val="32"/>
      <w:szCs w:val="32"/>
    </w:rPr>
  </w:style>
  <w:style w:type="paragraph" w:customStyle="1" w:styleId="Bullets">
    <w:name w:val="Bullets"/>
    <w:basedOn w:val="body"/>
    <w:uiPriority w:val="99"/>
    <w:rsid w:val="00FA6AB9"/>
    <w:pPr>
      <w:tabs>
        <w:tab w:val="left" w:pos="360"/>
      </w:tabs>
      <w:suppressAutoHyphens w:val="0"/>
      <w:spacing w:after="220"/>
      <w:ind w:left="270" w:hanging="270"/>
    </w:pPr>
  </w:style>
  <w:style w:type="character" w:customStyle="1" w:styleId="H3Bullet">
    <w:name w:val="H3Bullet"/>
    <w:uiPriority w:val="99"/>
    <w:rsid w:val="00FA6AB9"/>
    <w:rPr>
      <w:rFonts w:ascii="Segoe" w:hAnsi="Segoe"/>
      <w:b/>
      <w:color w:val="000000"/>
    </w:rPr>
  </w:style>
  <w:style w:type="paragraph" w:customStyle="1" w:styleId="H2">
    <w:name w:val="H2"/>
    <w:basedOn w:val="body"/>
    <w:next w:val="Normal"/>
    <w:uiPriority w:val="99"/>
    <w:rsid w:val="00FA6AB9"/>
    <w:pPr>
      <w:keepNext/>
      <w:spacing w:before="200"/>
    </w:pPr>
    <w:rPr>
      <w:rFonts w:ascii="Segoe Light" w:hAnsi="Segoe Light" w:cs="Segoe Light"/>
      <w:color w:val="007BC2"/>
      <w:sz w:val="22"/>
      <w:szCs w:val="22"/>
    </w:rPr>
  </w:style>
  <w:style w:type="paragraph" w:styleId="FootnoteText">
    <w:name w:val="footnote text"/>
    <w:basedOn w:val="Normal"/>
    <w:link w:val="FootnoteTextChar"/>
    <w:uiPriority w:val="99"/>
    <w:semiHidden/>
    <w:rsid w:val="007826BC"/>
    <w:pPr>
      <w:spacing w:after="0"/>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uiPriority w:val="99"/>
    <w:semiHidden/>
    <w:locked/>
    <w:rsid w:val="007826BC"/>
    <w:rPr>
      <w:rFonts w:ascii="Times New Roman" w:eastAsia="MS Mincho" w:hAnsi="Times New Roman" w:cs="Times New Roman"/>
      <w:sz w:val="20"/>
      <w:szCs w:val="20"/>
      <w:lang w:eastAsia="ja-JP"/>
    </w:rPr>
  </w:style>
  <w:style w:type="paragraph" w:styleId="ListParagraph">
    <w:name w:val="List Paragraph"/>
    <w:basedOn w:val="Normal"/>
    <w:uiPriority w:val="99"/>
    <w:qFormat/>
    <w:rsid w:val="007826BC"/>
    <w:pPr>
      <w:ind w:left="720"/>
      <w:contextualSpacing/>
    </w:pPr>
  </w:style>
  <w:style w:type="paragraph" w:customStyle="1" w:styleId="DatasheetBullets">
    <w:name w:val="DatasheetBullets"/>
    <w:basedOn w:val="Bullets"/>
    <w:uiPriority w:val="99"/>
    <w:rsid w:val="00002E2A"/>
    <w:pPr>
      <w:numPr>
        <w:numId w:val="5"/>
      </w:numPr>
      <w:spacing w:after="120"/>
      <w:ind w:left="360"/>
    </w:pPr>
  </w:style>
  <w:style w:type="paragraph" w:customStyle="1" w:styleId="DatasheetBodyText">
    <w:name w:val="DatasheetBodyText"/>
    <w:uiPriority w:val="99"/>
    <w:rsid w:val="003A4D21"/>
    <w:pPr>
      <w:spacing w:after="120" w:line="220" w:lineRule="exact"/>
    </w:pPr>
    <w:rPr>
      <w:rFonts w:ascii="Segoe" w:hAnsi="Segoe" w:cs="Segoe"/>
      <w:color w:val="000000"/>
      <w:sz w:val="18"/>
      <w:szCs w:val="18"/>
      <w:lang w:val="en-US" w:eastAsia="en-US"/>
    </w:rPr>
  </w:style>
  <w:style w:type="paragraph" w:customStyle="1" w:styleId="DatasheetH1">
    <w:name w:val="DatasheetH1"/>
    <w:uiPriority w:val="99"/>
    <w:rsid w:val="00541FA4"/>
    <w:pPr>
      <w:spacing w:after="120" w:line="400" w:lineRule="exact"/>
    </w:pPr>
    <w:rPr>
      <w:rFonts w:ascii="Segoe Light" w:hAnsi="Segoe Light" w:cs="Segoe Light"/>
      <w:color w:val="F47C20"/>
      <w:sz w:val="32"/>
      <w:szCs w:val="32"/>
      <w:lang w:val="en-US" w:eastAsia="en-US"/>
    </w:rPr>
  </w:style>
  <w:style w:type="paragraph" w:customStyle="1" w:styleId="DatasheetH2">
    <w:name w:val="DatasheetH2"/>
    <w:basedOn w:val="H2"/>
    <w:uiPriority w:val="99"/>
    <w:rsid w:val="00B331C8"/>
    <w:rPr>
      <w:color w:val="0070C0"/>
    </w:rPr>
  </w:style>
  <w:style w:type="character" w:styleId="Hyperlink">
    <w:name w:val="Hyperlink"/>
    <w:basedOn w:val="DefaultParagraphFont"/>
    <w:uiPriority w:val="99"/>
    <w:rsid w:val="00B331C8"/>
    <w:rPr>
      <w:rFonts w:cs="Times New Roman"/>
      <w:color w:val="0000FF"/>
      <w:u w:val="single"/>
    </w:rPr>
  </w:style>
  <w:style w:type="character" w:customStyle="1" w:styleId="DatasheetURL">
    <w:name w:val="DatasheetURL"/>
    <w:uiPriority w:val="99"/>
    <w:rsid w:val="00B331C8"/>
    <w:rPr>
      <w:i/>
      <w:color w:val="0070C0"/>
    </w:rPr>
  </w:style>
  <w:style w:type="paragraph" w:customStyle="1" w:styleId="DatasheetBulletsLevel2">
    <w:name w:val="DatasheetBulletsLevel2"/>
    <w:basedOn w:val="DatasheetBullets"/>
    <w:uiPriority w:val="99"/>
    <w:rsid w:val="009962D6"/>
    <w:pPr>
      <w:ind w:left="720"/>
    </w:pPr>
  </w:style>
  <w:style w:type="paragraph" w:customStyle="1" w:styleId="BulletedList1">
    <w:name w:val="Bulleted List 1"/>
    <w:aliases w:val="bl1,Lb1,Bulleted List,Bulleted List 1 Char,Bulleted List Char,bl1 Char Char Char Char,Bulleted List1,bl11,Bulleted List 1 Char1,Bulleted List Char1 Char Char,Bulleted List2,bl12,Bulleted List 1 Char2,Bulleted List Char1 Char"/>
    <w:basedOn w:val="Normal"/>
    <w:uiPriority w:val="99"/>
    <w:rsid w:val="00002E2A"/>
    <w:pPr>
      <w:keepLines/>
      <w:tabs>
        <w:tab w:val="left" w:pos="360"/>
        <w:tab w:val="num" w:pos="720"/>
      </w:tabs>
      <w:spacing w:after="80"/>
      <w:ind w:left="360" w:hanging="360"/>
    </w:pPr>
    <w:rPr>
      <w:rFonts w:ascii="Verdana" w:eastAsia="Times New Roman" w:hAnsi="Verdana" w:cs="Arial"/>
      <w:sz w:val="20"/>
      <w:szCs w:val="20"/>
    </w:rPr>
  </w:style>
  <w:style w:type="character" w:styleId="FollowedHyperlink">
    <w:name w:val="FollowedHyperlink"/>
    <w:basedOn w:val="DefaultParagraphFont"/>
    <w:uiPriority w:val="99"/>
    <w:semiHidden/>
    <w:rsid w:val="004C369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microsoft.com/licens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technet.microsoft.com/volumeactiv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crosoft.com/windows/enterpris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microsoft.com/windows/enterprise/products/"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go.microsoft.com/fwlink/?LinkId=149823" TargetMode="External"/><Relationship Id="rId14" Type="http://schemas.openxmlformats.org/officeDocument/2006/relationships/hyperlink" Target="http://technet.microsoft.com/en-us/library/cc7489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Nicolas BACHELET</cp:lastModifiedBy>
  <cp:revision>2</cp:revision>
  <cp:lastPrinted>2009-04-30T07:15:00Z</cp:lastPrinted>
  <dcterms:created xsi:type="dcterms:W3CDTF">2009-04-30T07:19:00Z</dcterms:created>
  <dcterms:modified xsi:type="dcterms:W3CDTF">2009-04-30T07:19:00Z</dcterms:modified>
</cp:coreProperties>
</file>