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3D0" w:rsidRDefault="00B354EB" w:rsidP="00F2352E">
      <w:pPr>
        <w:pStyle w:val="Title"/>
      </w:pPr>
      <w:bookmarkStart w:id="0" w:name="_GoBack"/>
      <w:bookmarkEnd w:id="0"/>
      <w:r>
        <w:rPr>
          <w:sz w:val="48"/>
        </w:rPr>
        <w:t>Report</w:t>
      </w:r>
      <w:r w:rsidR="003338DA">
        <w:rPr>
          <w:sz w:val="48"/>
        </w:rPr>
        <w:t>ing Activation Information</w:t>
      </w:r>
      <w:r w:rsidR="00505BC5" w:rsidRPr="00922595">
        <w:rPr>
          <w:sz w:val="48"/>
        </w:rPr>
        <w:t xml:space="preserve"> Using Volume Activation Management Tool 2.0</w:t>
      </w:r>
    </w:p>
    <w:p w:rsidR="0088782F" w:rsidRDefault="00C92F2B" w:rsidP="00BE1135">
      <w:pPr>
        <w:spacing w:after="120"/>
      </w:pPr>
      <w:r>
        <w:t xml:space="preserve">We often hear from customers asking about tools they can use to track and report activation data for Windows </w:t>
      </w:r>
      <w:r w:rsidR="00027408">
        <w:t xml:space="preserve">operating </w:t>
      </w:r>
      <w:r>
        <w:t xml:space="preserve">systems activated using Key Management Service (KMS) or Multiple Activation Key (MAK). Microsoft’s free </w:t>
      </w:r>
      <w:hyperlink r:id="rId8" w:history="1">
        <w:r w:rsidRPr="009D1AEE">
          <w:rPr>
            <w:rStyle w:val="Hyperlink"/>
          </w:rPr>
          <w:t>Volume Activation Management Tool (VAMT) 2.0</w:t>
        </w:r>
      </w:hyperlink>
      <w:r>
        <w:t xml:space="preserve"> </w:t>
      </w:r>
      <w:r w:rsidR="0088782F">
        <w:t xml:space="preserve">can help you monitor activation information. </w:t>
      </w:r>
      <w:r w:rsidR="008539EE">
        <w:t>You can even monitor retail activations performed using VAMT.</w:t>
      </w:r>
    </w:p>
    <w:p w:rsidR="008539EE" w:rsidRDefault="008539EE" w:rsidP="00BE1135">
      <w:pPr>
        <w:spacing w:after="120"/>
      </w:pPr>
      <w:r>
        <w:t xml:space="preserve">VAMT 2.0 supports Windows 7, Windows Vista, Windows Server </w:t>
      </w:r>
      <w:r w:rsidR="00BF3D0D">
        <w:t>2008 R2 and Windows Server 2008</w:t>
      </w:r>
      <w:r w:rsidR="005E50D1">
        <w:t>, plus</w:t>
      </w:r>
      <w:r w:rsidR="00BF3D0D">
        <w:t xml:space="preserve"> Office 2010</w:t>
      </w:r>
      <w:r w:rsidR="009A75C9">
        <w:t xml:space="preserve"> client suites and applications</w:t>
      </w:r>
      <w:r w:rsidR="005E50D1">
        <w:t>, Visio 2010 and Project 2010</w:t>
      </w:r>
      <w:r w:rsidR="00BF3D0D">
        <w:t xml:space="preserve"> clients.</w:t>
      </w:r>
    </w:p>
    <w:p w:rsidR="0037572E" w:rsidRDefault="009821C8" w:rsidP="00BE1135">
      <w:pPr>
        <w:spacing w:after="120"/>
      </w:pPr>
      <w:r>
        <w:t xml:space="preserve">VAMT is not </w:t>
      </w:r>
      <w:r w:rsidR="00127503">
        <w:t>meant</w:t>
      </w:r>
      <w:r>
        <w:t xml:space="preserve"> to replace any tool you already may be using</w:t>
      </w:r>
      <w:r w:rsidR="00851C78">
        <w:t xml:space="preserve"> for the purpose of software asset management or license management</w:t>
      </w:r>
      <w:r>
        <w:t>. Rather it is</w:t>
      </w:r>
      <w:r w:rsidR="00127503">
        <w:t xml:space="preserve"> intended to assist you </w:t>
      </w:r>
      <w:r w:rsidR="00027408">
        <w:t xml:space="preserve">centrally </w:t>
      </w:r>
      <w:r w:rsidR="00127503">
        <w:t>manag</w:t>
      </w:r>
      <w:r w:rsidR="00027408">
        <w:t>e</w:t>
      </w:r>
      <w:r w:rsidR="00127503">
        <w:t xml:space="preserve"> activation and related tasks for </w:t>
      </w:r>
      <w:r w:rsidR="005E50D1">
        <w:t xml:space="preserve">the </w:t>
      </w:r>
      <w:r w:rsidR="00127503">
        <w:t>products</w:t>
      </w:r>
      <w:r w:rsidR="005E50D1">
        <w:t xml:space="preserve"> mentioned above</w:t>
      </w:r>
      <w:r w:rsidR="00127503">
        <w:t xml:space="preserve">. VAMT </w:t>
      </w:r>
      <w:r w:rsidR="004C42CA">
        <w:t>can provide important information on licens</w:t>
      </w:r>
      <w:r w:rsidR="0061734B">
        <w:t>e</w:t>
      </w:r>
      <w:r w:rsidR="004C42CA">
        <w:t xml:space="preserve"> status, and </w:t>
      </w:r>
      <w:r w:rsidR="0061734B">
        <w:t>whether</w:t>
      </w:r>
      <w:r w:rsidR="004C42CA">
        <w:t xml:space="preserve"> installed software is genuine. This information </w:t>
      </w:r>
      <w:r w:rsidR="000E673F">
        <w:t xml:space="preserve">also </w:t>
      </w:r>
      <w:r w:rsidR="004C42CA">
        <w:t>can help you with license compliance.</w:t>
      </w:r>
    </w:p>
    <w:sdt>
      <w:sdtPr>
        <w:rPr>
          <w:rFonts w:asciiTheme="minorHAnsi" w:eastAsiaTheme="minorHAnsi" w:hAnsiTheme="minorHAnsi" w:cstheme="minorBidi"/>
          <w:b w:val="0"/>
          <w:bCs w:val="0"/>
          <w:color w:val="auto"/>
          <w:sz w:val="22"/>
          <w:szCs w:val="22"/>
        </w:rPr>
        <w:id w:val="3686632"/>
        <w:docPartObj>
          <w:docPartGallery w:val="Table of Contents"/>
          <w:docPartUnique/>
        </w:docPartObj>
      </w:sdtPr>
      <w:sdtContent>
        <w:p w:rsidR="00963520" w:rsidRDefault="00963520">
          <w:pPr>
            <w:pStyle w:val="TOCHeading"/>
          </w:pPr>
          <w:r>
            <w:t>Contents</w:t>
          </w:r>
        </w:p>
        <w:p w:rsidR="00963520" w:rsidRDefault="00AE3E29">
          <w:pPr>
            <w:pStyle w:val="TOC1"/>
            <w:tabs>
              <w:tab w:val="right" w:leader="dot" w:pos="9350"/>
            </w:tabs>
            <w:rPr>
              <w:rFonts w:eastAsiaTheme="minorEastAsia"/>
              <w:noProof/>
            </w:rPr>
          </w:pPr>
          <w:r>
            <w:fldChar w:fldCharType="begin"/>
          </w:r>
          <w:r w:rsidR="00963520">
            <w:instrText xml:space="preserve"> TOC \o "1-3" \h \z \u </w:instrText>
          </w:r>
          <w:r>
            <w:fldChar w:fldCharType="separate"/>
          </w:r>
          <w:hyperlink w:anchor="_Toc257201370" w:history="1">
            <w:r w:rsidR="00963520" w:rsidRPr="007D07FA">
              <w:rPr>
                <w:rStyle w:val="Hyperlink"/>
                <w:noProof/>
              </w:rPr>
              <w:t>Monitor Using the Product List</w:t>
            </w:r>
            <w:r w:rsidR="00963520">
              <w:rPr>
                <w:noProof/>
                <w:webHidden/>
              </w:rPr>
              <w:tab/>
            </w:r>
            <w:r>
              <w:rPr>
                <w:noProof/>
                <w:webHidden/>
              </w:rPr>
              <w:fldChar w:fldCharType="begin"/>
            </w:r>
            <w:r w:rsidR="00963520">
              <w:rPr>
                <w:noProof/>
                <w:webHidden/>
              </w:rPr>
              <w:instrText xml:space="preserve"> PAGEREF _Toc257201370 \h </w:instrText>
            </w:r>
            <w:r>
              <w:rPr>
                <w:noProof/>
                <w:webHidden/>
              </w:rPr>
            </w:r>
            <w:r>
              <w:rPr>
                <w:noProof/>
                <w:webHidden/>
              </w:rPr>
              <w:fldChar w:fldCharType="separate"/>
            </w:r>
            <w:r w:rsidR="00963520">
              <w:rPr>
                <w:noProof/>
                <w:webHidden/>
              </w:rPr>
              <w:t>1</w:t>
            </w:r>
            <w:r>
              <w:rPr>
                <w:noProof/>
                <w:webHidden/>
              </w:rPr>
              <w:fldChar w:fldCharType="end"/>
            </w:r>
          </w:hyperlink>
        </w:p>
        <w:p w:rsidR="00963520" w:rsidRDefault="00AE3E29">
          <w:pPr>
            <w:pStyle w:val="TOC1"/>
            <w:tabs>
              <w:tab w:val="right" w:leader="dot" w:pos="9350"/>
            </w:tabs>
            <w:rPr>
              <w:rFonts w:eastAsiaTheme="minorEastAsia"/>
              <w:noProof/>
            </w:rPr>
          </w:pPr>
          <w:hyperlink w:anchor="_Toc257201371" w:history="1">
            <w:r w:rsidR="00963520" w:rsidRPr="007D07FA">
              <w:rPr>
                <w:rStyle w:val="Hyperlink"/>
                <w:noProof/>
              </w:rPr>
              <w:t>License Status</w:t>
            </w:r>
            <w:r w:rsidR="00963520">
              <w:rPr>
                <w:noProof/>
                <w:webHidden/>
              </w:rPr>
              <w:tab/>
            </w:r>
            <w:r>
              <w:rPr>
                <w:noProof/>
                <w:webHidden/>
              </w:rPr>
              <w:fldChar w:fldCharType="begin"/>
            </w:r>
            <w:r w:rsidR="00963520">
              <w:rPr>
                <w:noProof/>
                <w:webHidden/>
              </w:rPr>
              <w:instrText xml:space="preserve"> PAGEREF _Toc257201371 \h </w:instrText>
            </w:r>
            <w:r>
              <w:rPr>
                <w:noProof/>
                <w:webHidden/>
              </w:rPr>
            </w:r>
            <w:r>
              <w:rPr>
                <w:noProof/>
                <w:webHidden/>
              </w:rPr>
              <w:fldChar w:fldCharType="separate"/>
            </w:r>
            <w:r w:rsidR="00963520">
              <w:rPr>
                <w:noProof/>
                <w:webHidden/>
              </w:rPr>
              <w:t>3</w:t>
            </w:r>
            <w:r>
              <w:rPr>
                <w:noProof/>
                <w:webHidden/>
              </w:rPr>
              <w:fldChar w:fldCharType="end"/>
            </w:r>
          </w:hyperlink>
        </w:p>
        <w:p w:rsidR="00963520" w:rsidRDefault="00AE3E29">
          <w:pPr>
            <w:pStyle w:val="TOC1"/>
            <w:tabs>
              <w:tab w:val="right" w:leader="dot" w:pos="9350"/>
            </w:tabs>
            <w:rPr>
              <w:rFonts w:eastAsiaTheme="minorEastAsia"/>
              <w:noProof/>
            </w:rPr>
          </w:pPr>
          <w:hyperlink w:anchor="_Toc257201372" w:history="1">
            <w:r w:rsidR="00963520" w:rsidRPr="007D07FA">
              <w:rPr>
                <w:rStyle w:val="Hyperlink"/>
                <w:noProof/>
              </w:rPr>
              <w:t>Computer Information List (CIL)</w:t>
            </w:r>
            <w:r w:rsidR="00963520">
              <w:rPr>
                <w:noProof/>
                <w:webHidden/>
              </w:rPr>
              <w:tab/>
            </w:r>
            <w:r>
              <w:rPr>
                <w:noProof/>
                <w:webHidden/>
              </w:rPr>
              <w:fldChar w:fldCharType="begin"/>
            </w:r>
            <w:r w:rsidR="00963520">
              <w:rPr>
                <w:noProof/>
                <w:webHidden/>
              </w:rPr>
              <w:instrText xml:space="preserve"> PAGEREF _Toc257201372 \h </w:instrText>
            </w:r>
            <w:r>
              <w:rPr>
                <w:noProof/>
                <w:webHidden/>
              </w:rPr>
            </w:r>
            <w:r>
              <w:rPr>
                <w:noProof/>
                <w:webHidden/>
              </w:rPr>
              <w:fldChar w:fldCharType="separate"/>
            </w:r>
            <w:r w:rsidR="00963520">
              <w:rPr>
                <w:noProof/>
                <w:webHidden/>
              </w:rPr>
              <w:t>4</w:t>
            </w:r>
            <w:r>
              <w:rPr>
                <w:noProof/>
                <w:webHidden/>
              </w:rPr>
              <w:fldChar w:fldCharType="end"/>
            </w:r>
          </w:hyperlink>
        </w:p>
        <w:p w:rsidR="00963520" w:rsidRDefault="00AE3E29">
          <w:pPr>
            <w:pStyle w:val="TOC1"/>
            <w:tabs>
              <w:tab w:val="right" w:leader="dot" w:pos="9350"/>
            </w:tabs>
            <w:rPr>
              <w:rFonts w:eastAsiaTheme="minorEastAsia"/>
              <w:noProof/>
            </w:rPr>
          </w:pPr>
          <w:hyperlink w:anchor="_Toc257201373" w:history="1">
            <w:r w:rsidR="00963520" w:rsidRPr="007D07FA">
              <w:rPr>
                <w:rStyle w:val="Hyperlink"/>
                <w:noProof/>
              </w:rPr>
              <w:t>CIL Table</w:t>
            </w:r>
            <w:r w:rsidR="00963520">
              <w:rPr>
                <w:noProof/>
                <w:webHidden/>
              </w:rPr>
              <w:tab/>
            </w:r>
            <w:r>
              <w:rPr>
                <w:noProof/>
                <w:webHidden/>
              </w:rPr>
              <w:fldChar w:fldCharType="begin"/>
            </w:r>
            <w:r w:rsidR="00963520">
              <w:rPr>
                <w:noProof/>
                <w:webHidden/>
              </w:rPr>
              <w:instrText xml:space="preserve"> PAGEREF _Toc257201373 \h </w:instrText>
            </w:r>
            <w:r>
              <w:rPr>
                <w:noProof/>
                <w:webHidden/>
              </w:rPr>
            </w:r>
            <w:r>
              <w:rPr>
                <w:noProof/>
                <w:webHidden/>
              </w:rPr>
              <w:fldChar w:fldCharType="separate"/>
            </w:r>
            <w:r w:rsidR="00963520">
              <w:rPr>
                <w:noProof/>
                <w:webHidden/>
              </w:rPr>
              <w:t>5</w:t>
            </w:r>
            <w:r>
              <w:rPr>
                <w:noProof/>
                <w:webHidden/>
              </w:rPr>
              <w:fldChar w:fldCharType="end"/>
            </w:r>
          </w:hyperlink>
        </w:p>
        <w:p w:rsidR="00963520" w:rsidRDefault="00AE3E29">
          <w:pPr>
            <w:pStyle w:val="TOC1"/>
            <w:tabs>
              <w:tab w:val="right" w:leader="dot" w:pos="9350"/>
            </w:tabs>
            <w:rPr>
              <w:rFonts w:eastAsiaTheme="minorEastAsia"/>
              <w:noProof/>
            </w:rPr>
          </w:pPr>
          <w:hyperlink w:anchor="_Toc257201374" w:history="1">
            <w:r w:rsidR="00963520" w:rsidRPr="007D07FA">
              <w:rPr>
                <w:rStyle w:val="Hyperlink"/>
                <w:noProof/>
              </w:rPr>
              <w:t xml:space="preserve">More </w:t>
            </w:r>
            <w:r w:rsidR="00963520" w:rsidRPr="007D07FA">
              <w:rPr>
                <w:rStyle w:val="Hyperlink"/>
                <w:i/>
                <w:noProof/>
              </w:rPr>
              <w:t>Using VAMT 2.0</w:t>
            </w:r>
            <w:r w:rsidR="00963520" w:rsidRPr="007D07FA">
              <w:rPr>
                <w:rStyle w:val="Hyperlink"/>
                <w:noProof/>
              </w:rPr>
              <w:t xml:space="preserve"> Guidance</w:t>
            </w:r>
            <w:r w:rsidR="00963520">
              <w:rPr>
                <w:noProof/>
                <w:webHidden/>
              </w:rPr>
              <w:tab/>
            </w:r>
            <w:r>
              <w:rPr>
                <w:noProof/>
                <w:webHidden/>
              </w:rPr>
              <w:fldChar w:fldCharType="begin"/>
            </w:r>
            <w:r w:rsidR="00963520">
              <w:rPr>
                <w:noProof/>
                <w:webHidden/>
              </w:rPr>
              <w:instrText xml:space="preserve"> PAGEREF _Toc257201374 \h </w:instrText>
            </w:r>
            <w:r>
              <w:rPr>
                <w:noProof/>
                <w:webHidden/>
              </w:rPr>
            </w:r>
            <w:r>
              <w:rPr>
                <w:noProof/>
                <w:webHidden/>
              </w:rPr>
              <w:fldChar w:fldCharType="separate"/>
            </w:r>
            <w:r w:rsidR="00963520">
              <w:rPr>
                <w:noProof/>
                <w:webHidden/>
              </w:rPr>
              <w:t>7</w:t>
            </w:r>
            <w:r>
              <w:rPr>
                <w:noProof/>
                <w:webHidden/>
              </w:rPr>
              <w:fldChar w:fldCharType="end"/>
            </w:r>
          </w:hyperlink>
        </w:p>
        <w:p w:rsidR="00A726F2" w:rsidRDefault="00AE3E29" w:rsidP="00963520">
          <w:r>
            <w:fldChar w:fldCharType="end"/>
          </w:r>
        </w:p>
      </w:sdtContent>
    </w:sdt>
    <w:p w:rsidR="0073078C" w:rsidRDefault="0073078C" w:rsidP="0073078C">
      <w:pPr>
        <w:pStyle w:val="Heading1"/>
      </w:pPr>
      <w:bookmarkStart w:id="1" w:name="_Toc256690979"/>
      <w:bookmarkStart w:id="2" w:name="_Toc257201370"/>
      <w:r>
        <w:t>Monitor Using the Product List</w:t>
      </w:r>
      <w:bookmarkEnd w:id="1"/>
      <w:bookmarkEnd w:id="2"/>
    </w:p>
    <w:p w:rsidR="0073078C" w:rsidRDefault="0073078C" w:rsidP="0073078C">
      <w:pPr>
        <w:spacing w:after="120"/>
      </w:pPr>
      <w:r>
        <w:t>VAMT’s product list, in the center pane of the UI, is configurable to show attributes used most commonly to monitor activation data</w:t>
      </w:r>
      <w:r w:rsidR="00B335DD">
        <w:t>, including the license status of each product</w:t>
      </w:r>
      <w:r>
        <w:t>. These attributes are maintained by VAMT.</w:t>
      </w:r>
    </w:p>
    <w:p w:rsidR="0073078C" w:rsidRDefault="0073078C" w:rsidP="0073078C">
      <w:pPr>
        <w:spacing w:after="120"/>
      </w:pPr>
      <w:r>
        <w:t xml:space="preserve">To define </w:t>
      </w:r>
      <w:r w:rsidR="00C10297">
        <w:t>the</w:t>
      </w:r>
      <w:r>
        <w:t xml:space="preserve"> categories of information to display, and the order in which to display them, click </w:t>
      </w:r>
      <w:r>
        <w:rPr>
          <w:rStyle w:val="UI"/>
        </w:rPr>
        <w:t>View</w:t>
      </w:r>
      <w:r>
        <w:t xml:space="preserve"> in the top menu bar and then click </w:t>
      </w:r>
      <w:r>
        <w:rPr>
          <w:rStyle w:val="UI"/>
        </w:rPr>
        <w:t>Add/Remove Columns</w:t>
      </w:r>
      <w:r>
        <w:t xml:space="preserve">. Make your selections and click </w:t>
      </w:r>
      <w:r w:rsidRPr="00DC29A1">
        <w:rPr>
          <w:b/>
        </w:rPr>
        <w:t>OK</w:t>
      </w:r>
      <w:r>
        <w:t>.</w:t>
      </w:r>
      <w:r w:rsidR="00C10297">
        <w:t xml:space="preserve"> See Figure 1.</w:t>
      </w:r>
    </w:p>
    <w:p w:rsidR="00C10297" w:rsidRDefault="00C10297" w:rsidP="00C10297">
      <w:pPr>
        <w:spacing w:after="120"/>
      </w:pPr>
      <w:r>
        <w:rPr>
          <w:noProof/>
        </w:rPr>
        <w:lastRenderedPageBreak/>
        <w:drawing>
          <wp:inline distT="0" distB="0" distL="0" distR="0">
            <wp:extent cx="5939623" cy="2507535"/>
            <wp:effectExtent l="19050" t="0" r="3977" b="0"/>
            <wp:docPr id="2" name="Picture 3" descr="C:\Users\v-leslge\Documents\Genuine Windows\VA Videos_Office_Windows\Screenshots\Leslie's VAMT 2.0 screenshots\VAMT 2.0 Monitor and Man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leslge\Documents\Genuine Windows\VA Videos_Office_Windows\Screenshots\Leslie's VAMT 2.0 screenshots\VAMT 2.0 Monitor and Manage.png"/>
                    <pic:cNvPicPr>
                      <a:picLocks noChangeAspect="1" noChangeArrowheads="1"/>
                    </pic:cNvPicPr>
                  </pic:nvPicPr>
                  <pic:blipFill>
                    <a:blip r:embed="rId9" cstate="print"/>
                    <a:srcRect b="29106"/>
                    <a:stretch>
                      <a:fillRect/>
                    </a:stretch>
                  </pic:blipFill>
                  <pic:spPr bwMode="auto">
                    <a:xfrm>
                      <a:off x="0" y="0"/>
                      <a:ext cx="5939623" cy="2507535"/>
                    </a:xfrm>
                    <a:prstGeom prst="rect">
                      <a:avLst/>
                    </a:prstGeom>
                    <a:noFill/>
                    <a:ln w="9525">
                      <a:noFill/>
                      <a:miter lim="800000"/>
                      <a:headEnd/>
                      <a:tailEnd/>
                    </a:ln>
                  </pic:spPr>
                </pic:pic>
              </a:graphicData>
            </a:graphic>
          </wp:inline>
        </w:drawing>
      </w:r>
    </w:p>
    <w:p w:rsidR="00C10297" w:rsidRDefault="00C10297" w:rsidP="00C10297">
      <w:pPr>
        <w:spacing w:after="120"/>
      </w:pPr>
      <w:r w:rsidRPr="009C6BED">
        <w:rPr>
          <w:b/>
        </w:rPr>
        <w:t xml:space="preserve">Figure </w:t>
      </w:r>
      <w:r>
        <w:rPr>
          <w:b/>
        </w:rPr>
        <w:t>1</w:t>
      </w:r>
      <w:r w:rsidRPr="009C6BED">
        <w:rPr>
          <w:b/>
        </w:rPr>
        <w:t xml:space="preserve">. Common </w:t>
      </w:r>
      <w:r>
        <w:rPr>
          <w:b/>
        </w:rPr>
        <w:t>product list</w:t>
      </w:r>
      <w:r w:rsidRPr="009C6BED">
        <w:rPr>
          <w:b/>
        </w:rPr>
        <w:t xml:space="preserve"> fields</w:t>
      </w:r>
    </w:p>
    <w:p w:rsidR="0073078C" w:rsidRDefault="0073078C" w:rsidP="0073078C">
      <w:pPr>
        <w:spacing w:after="120"/>
      </w:pPr>
      <w:r>
        <w:t>The table below shows the possible columns in the Product List. Some of these are default.</w:t>
      </w: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146"/>
        <w:gridCol w:w="5710"/>
      </w:tblGrid>
      <w:tr w:rsidR="0073078C" w:rsidTr="006B1649">
        <w:trPr>
          <w:tblHeader/>
        </w:trPr>
        <w:tc>
          <w:tcPr>
            <w:tcW w:w="3146"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73078C" w:rsidRPr="00C37481" w:rsidRDefault="0073078C" w:rsidP="006B1649">
            <w:pPr>
              <w:keepNext/>
              <w:rPr>
                <w:b/>
                <w:szCs w:val="18"/>
              </w:rPr>
            </w:pPr>
            <w:r w:rsidRPr="00C37481">
              <w:rPr>
                <w:b/>
                <w:szCs w:val="18"/>
              </w:rPr>
              <w:t>Column</w:t>
            </w:r>
          </w:p>
        </w:tc>
        <w:tc>
          <w:tcPr>
            <w:tcW w:w="5710"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73078C" w:rsidRPr="00C37481" w:rsidRDefault="0073078C" w:rsidP="006B1649">
            <w:pPr>
              <w:keepNext/>
              <w:rPr>
                <w:b/>
                <w:szCs w:val="18"/>
              </w:rPr>
            </w:pPr>
            <w:r w:rsidRPr="00C37481">
              <w:rPr>
                <w:b/>
                <w:szCs w:val="18"/>
              </w:rPr>
              <w:t>Description</w:t>
            </w:r>
          </w:p>
        </w:tc>
      </w:tr>
      <w:tr w:rsidR="0073078C" w:rsidTr="006B1649">
        <w:tc>
          <w:tcPr>
            <w:tcW w:w="3146" w:type="dxa"/>
          </w:tcPr>
          <w:p w:rsidR="0073078C" w:rsidRDefault="0073078C" w:rsidP="006B1649">
            <w:r>
              <w:t>Internal computer GUID</w:t>
            </w:r>
          </w:p>
        </w:tc>
        <w:tc>
          <w:tcPr>
            <w:tcW w:w="5710" w:type="dxa"/>
          </w:tcPr>
          <w:p w:rsidR="0073078C" w:rsidRDefault="0073078C" w:rsidP="006B1649">
            <w:r>
              <w:t>ID created by the VAMT and assigned to keep track of computers during various operations.</w:t>
            </w:r>
          </w:p>
        </w:tc>
      </w:tr>
      <w:tr w:rsidR="0073078C" w:rsidTr="006B1649">
        <w:tc>
          <w:tcPr>
            <w:tcW w:w="3146" w:type="dxa"/>
          </w:tcPr>
          <w:p w:rsidR="0073078C" w:rsidRDefault="0073078C" w:rsidP="006B1649">
            <w:r>
              <w:t>Computer Name</w:t>
            </w:r>
          </w:p>
        </w:tc>
        <w:tc>
          <w:tcPr>
            <w:tcW w:w="5710" w:type="dxa"/>
          </w:tcPr>
          <w:p w:rsidR="0073078C" w:rsidRDefault="0073078C" w:rsidP="006B1649">
            <w:r>
              <w:t>(Default) – Computer name or IP address (if entered manually).</w:t>
            </w:r>
          </w:p>
        </w:tc>
      </w:tr>
      <w:tr w:rsidR="0073078C" w:rsidTr="006B1649">
        <w:tc>
          <w:tcPr>
            <w:tcW w:w="3146" w:type="dxa"/>
          </w:tcPr>
          <w:p w:rsidR="0073078C" w:rsidRDefault="0073078C" w:rsidP="006B1649">
            <w:r>
              <w:t>Product Name</w:t>
            </w:r>
          </w:p>
        </w:tc>
        <w:tc>
          <w:tcPr>
            <w:tcW w:w="5710" w:type="dxa"/>
          </w:tcPr>
          <w:p w:rsidR="0073078C" w:rsidRDefault="0073078C" w:rsidP="006B1649">
            <w:r>
              <w:t>(Default) – The name of the discovered product.</w:t>
            </w:r>
          </w:p>
        </w:tc>
      </w:tr>
      <w:tr w:rsidR="0073078C" w:rsidTr="006B1649">
        <w:tc>
          <w:tcPr>
            <w:tcW w:w="3146" w:type="dxa"/>
          </w:tcPr>
          <w:p w:rsidR="0073078C" w:rsidRDefault="0073078C" w:rsidP="006B1649">
            <w:r>
              <w:t>Product Key Type</w:t>
            </w:r>
          </w:p>
        </w:tc>
        <w:tc>
          <w:tcPr>
            <w:tcW w:w="5710" w:type="dxa"/>
          </w:tcPr>
          <w:p w:rsidR="0073078C" w:rsidRDefault="0073078C" w:rsidP="006B1649">
            <w:r>
              <w:t>(Default) – Displays the current activation type for the product.</w:t>
            </w:r>
            <w:r w:rsidR="00924BBA">
              <w:t xml:space="preserve"> Read </w:t>
            </w:r>
            <w:hyperlink r:id="rId10" w:history="1">
              <w:r w:rsidR="00924BBA" w:rsidRPr="00924BBA">
                <w:rPr>
                  <w:rStyle w:val="Hyperlink"/>
                  <w:rFonts w:cstheme="minorBidi"/>
                  <w:i/>
                </w:rPr>
                <w:t>Manage Product Keys Using VAMT 2.0</w:t>
              </w:r>
            </w:hyperlink>
            <w:r w:rsidR="00924BBA">
              <w:t xml:space="preserve"> for details on product key type.</w:t>
            </w:r>
          </w:p>
        </w:tc>
      </w:tr>
      <w:tr w:rsidR="0073078C" w:rsidTr="006B1649">
        <w:tc>
          <w:tcPr>
            <w:tcW w:w="3146" w:type="dxa"/>
          </w:tcPr>
          <w:p w:rsidR="0073078C" w:rsidRDefault="0073078C" w:rsidP="006B1649">
            <w:r>
              <w:t>OS Edition</w:t>
            </w:r>
          </w:p>
        </w:tc>
        <w:tc>
          <w:tcPr>
            <w:tcW w:w="5710" w:type="dxa"/>
          </w:tcPr>
          <w:p w:rsidR="0073078C" w:rsidRDefault="0073078C" w:rsidP="006B1649">
            <w:r>
              <w:t>The installed Windows edition.</w:t>
            </w:r>
          </w:p>
        </w:tc>
      </w:tr>
      <w:tr w:rsidR="0073078C" w:rsidTr="006B1649">
        <w:tc>
          <w:tcPr>
            <w:tcW w:w="3146" w:type="dxa"/>
          </w:tcPr>
          <w:p w:rsidR="0073078C" w:rsidRDefault="0073078C" w:rsidP="006B1649">
            <w:r>
              <w:t>Product Version</w:t>
            </w:r>
          </w:p>
        </w:tc>
        <w:tc>
          <w:tcPr>
            <w:tcW w:w="5710" w:type="dxa"/>
          </w:tcPr>
          <w:p w:rsidR="0073078C" w:rsidRDefault="0073078C" w:rsidP="006B1649">
            <w:r>
              <w:t>The specific product version number, in the format: x.x.xxxx.xxxx</w:t>
            </w:r>
          </w:p>
        </w:tc>
      </w:tr>
      <w:tr w:rsidR="0073078C" w:rsidTr="006B1649">
        <w:tc>
          <w:tcPr>
            <w:tcW w:w="3146" w:type="dxa"/>
          </w:tcPr>
          <w:p w:rsidR="0073078C" w:rsidRDefault="0073078C" w:rsidP="006B1649">
            <w:r>
              <w:t>License Status</w:t>
            </w:r>
          </w:p>
        </w:tc>
        <w:tc>
          <w:tcPr>
            <w:tcW w:w="5710" w:type="dxa"/>
          </w:tcPr>
          <w:p w:rsidR="0073078C" w:rsidRDefault="0073078C" w:rsidP="006B1649">
            <w:r>
              <w:t>(Default) – Displays the product’s last known license state:</w:t>
            </w:r>
          </w:p>
          <w:p w:rsidR="0073078C" w:rsidRDefault="0073078C" w:rsidP="006B1649">
            <w:pPr>
              <w:pStyle w:val="BulletedList1"/>
              <w:keepNext/>
              <w:tabs>
                <w:tab w:val="left" w:pos="360"/>
              </w:tabs>
            </w:pPr>
            <w:r w:rsidRPr="004851DB">
              <w:rPr>
                <w:rFonts w:ascii="Symbol" w:hAnsi="Symbol"/>
              </w:rPr>
              <w:t></w:t>
            </w:r>
            <w:r w:rsidRPr="004851DB">
              <w:rPr>
                <w:rFonts w:ascii="Symbol" w:hAnsi="Symbol"/>
              </w:rPr>
              <w:tab/>
            </w:r>
            <w:r>
              <w:t>Out-of-Box (OOB) Grace</w:t>
            </w:r>
          </w:p>
          <w:p w:rsidR="0073078C" w:rsidRDefault="0073078C" w:rsidP="006B1649">
            <w:pPr>
              <w:pStyle w:val="BulletedList1"/>
              <w:keepNext/>
              <w:tabs>
                <w:tab w:val="left" w:pos="360"/>
              </w:tabs>
            </w:pPr>
            <w:r w:rsidRPr="004851DB">
              <w:rPr>
                <w:rFonts w:ascii="Symbol" w:hAnsi="Symbol"/>
              </w:rPr>
              <w:t></w:t>
            </w:r>
            <w:r w:rsidRPr="004851DB">
              <w:rPr>
                <w:rFonts w:ascii="Symbol" w:hAnsi="Symbol"/>
              </w:rPr>
              <w:tab/>
            </w:r>
            <w:r>
              <w:t>Licensed</w:t>
            </w:r>
          </w:p>
          <w:p w:rsidR="0073078C" w:rsidRDefault="0073078C" w:rsidP="006B1649">
            <w:pPr>
              <w:pStyle w:val="BulletedList1"/>
              <w:keepNext/>
              <w:tabs>
                <w:tab w:val="left" w:pos="360"/>
              </w:tabs>
            </w:pPr>
            <w:r w:rsidRPr="004851DB">
              <w:rPr>
                <w:rFonts w:ascii="Symbol" w:hAnsi="Symbol"/>
              </w:rPr>
              <w:t></w:t>
            </w:r>
            <w:r w:rsidRPr="004851DB">
              <w:rPr>
                <w:rFonts w:ascii="Symbol" w:hAnsi="Symbol"/>
              </w:rPr>
              <w:tab/>
            </w:r>
            <w:r>
              <w:t>Non-Genuine Grace</w:t>
            </w:r>
          </w:p>
          <w:p w:rsidR="0073078C" w:rsidRDefault="0073078C" w:rsidP="006B1649">
            <w:pPr>
              <w:pStyle w:val="BulletedList1"/>
              <w:keepNext/>
              <w:tabs>
                <w:tab w:val="left" w:pos="360"/>
              </w:tabs>
            </w:pPr>
            <w:r w:rsidRPr="004851DB">
              <w:rPr>
                <w:rFonts w:ascii="Symbol" w:hAnsi="Symbol"/>
              </w:rPr>
              <w:t></w:t>
            </w:r>
            <w:r w:rsidRPr="004851DB">
              <w:rPr>
                <w:rFonts w:ascii="Symbol" w:hAnsi="Symbol"/>
              </w:rPr>
              <w:tab/>
            </w:r>
            <w:r>
              <w:t>Out-of-Tolerance (OOT) Grace (includes KMS client activation expired)</w:t>
            </w:r>
          </w:p>
          <w:p w:rsidR="0073078C" w:rsidRDefault="0073078C" w:rsidP="006B1649">
            <w:pPr>
              <w:pStyle w:val="BulletedList1"/>
              <w:keepNext/>
              <w:tabs>
                <w:tab w:val="left" w:pos="360"/>
              </w:tabs>
            </w:pPr>
            <w:r w:rsidRPr="004851DB">
              <w:rPr>
                <w:rFonts w:ascii="Symbol" w:hAnsi="Symbol"/>
              </w:rPr>
              <w:t></w:t>
            </w:r>
            <w:r w:rsidRPr="004851DB">
              <w:rPr>
                <w:rFonts w:ascii="Symbol" w:hAnsi="Symbol"/>
              </w:rPr>
              <w:tab/>
            </w:r>
            <w:r>
              <w:t>Unlicensed</w:t>
            </w:r>
          </w:p>
          <w:p w:rsidR="0073078C" w:rsidRDefault="0073078C" w:rsidP="006B1649">
            <w:pPr>
              <w:pStyle w:val="BulletedList1"/>
              <w:keepNext/>
              <w:tabs>
                <w:tab w:val="left" w:pos="360"/>
              </w:tabs>
            </w:pPr>
            <w:r w:rsidRPr="004851DB">
              <w:rPr>
                <w:rFonts w:ascii="Symbol" w:hAnsi="Symbol"/>
              </w:rPr>
              <w:t></w:t>
            </w:r>
            <w:r w:rsidRPr="004851DB">
              <w:rPr>
                <w:rFonts w:ascii="Symbol" w:hAnsi="Symbol"/>
              </w:rPr>
              <w:tab/>
            </w:r>
            <w:r>
              <w:t>Notification</w:t>
            </w:r>
          </w:p>
        </w:tc>
      </w:tr>
      <w:tr w:rsidR="0073078C" w:rsidTr="006B1649">
        <w:tc>
          <w:tcPr>
            <w:tcW w:w="3146" w:type="dxa"/>
          </w:tcPr>
          <w:p w:rsidR="0073078C" w:rsidRDefault="0073078C" w:rsidP="006B1649">
            <w:r>
              <w:t>Grace expiration date</w:t>
            </w:r>
          </w:p>
        </w:tc>
        <w:tc>
          <w:tcPr>
            <w:tcW w:w="5710" w:type="dxa"/>
          </w:tcPr>
          <w:p w:rsidR="0073078C" w:rsidRDefault="0073078C" w:rsidP="006B1649">
            <w:r>
              <w:t>(Default) – Date that grace will expire for a product. For KMS client-activated products, this represents the date that the KMS activation expires.</w:t>
            </w:r>
          </w:p>
        </w:tc>
      </w:tr>
      <w:tr w:rsidR="0073078C" w:rsidTr="006B1649">
        <w:tc>
          <w:tcPr>
            <w:tcW w:w="3146" w:type="dxa"/>
          </w:tcPr>
          <w:p w:rsidR="0073078C" w:rsidRDefault="0073078C" w:rsidP="006B1649">
            <w:r>
              <w:t>Status of the last action</w:t>
            </w:r>
          </w:p>
        </w:tc>
        <w:tc>
          <w:tcPr>
            <w:tcW w:w="5710" w:type="dxa"/>
          </w:tcPr>
          <w:p w:rsidR="0073078C" w:rsidRDefault="0073078C" w:rsidP="006B1649">
            <w:r>
              <w:t>(Default) –The last action performed on the product and the result.</w:t>
            </w:r>
          </w:p>
        </w:tc>
      </w:tr>
      <w:tr w:rsidR="0073078C" w:rsidTr="006B1649">
        <w:tc>
          <w:tcPr>
            <w:tcW w:w="3146" w:type="dxa"/>
          </w:tcPr>
          <w:p w:rsidR="0073078C" w:rsidRDefault="0073078C" w:rsidP="006B1649">
            <w:r>
              <w:t>Partial Product Key</w:t>
            </w:r>
          </w:p>
        </w:tc>
        <w:tc>
          <w:tcPr>
            <w:tcW w:w="5710" w:type="dxa"/>
          </w:tcPr>
          <w:p w:rsidR="0073078C" w:rsidRDefault="0073078C" w:rsidP="006B1649">
            <w:r>
              <w:t>The last five characters of a product key.</w:t>
            </w:r>
          </w:p>
        </w:tc>
      </w:tr>
      <w:tr w:rsidR="0073078C" w:rsidTr="006B1649">
        <w:tc>
          <w:tcPr>
            <w:tcW w:w="3146" w:type="dxa"/>
          </w:tcPr>
          <w:p w:rsidR="0073078C" w:rsidRDefault="0073078C" w:rsidP="006B1649">
            <w:r>
              <w:t>Product ID</w:t>
            </w:r>
          </w:p>
        </w:tc>
        <w:tc>
          <w:tcPr>
            <w:tcW w:w="5710" w:type="dxa"/>
          </w:tcPr>
          <w:p w:rsidR="0073078C" w:rsidRDefault="0073078C" w:rsidP="002564F3">
            <w:r>
              <w:t xml:space="preserve">The ID </w:t>
            </w:r>
            <w:r w:rsidR="002564F3">
              <w:t>that corresponds to the product edition</w:t>
            </w:r>
            <w:r>
              <w:t>.</w:t>
            </w:r>
          </w:p>
        </w:tc>
      </w:tr>
      <w:tr w:rsidR="0073078C" w:rsidTr="006B1649">
        <w:tc>
          <w:tcPr>
            <w:tcW w:w="3146" w:type="dxa"/>
          </w:tcPr>
          <w:p w:rsidR="0073078C" w:rsidRDefault="0073078C" w:rsidP="006B1649">
            <w:r>
              <w:lastRenderedPageBreak/>
              <w:t>Domain/Workgroup</w:t>
            </w:r>
          </w:p>
        </w:tc>
        <w:tc>
          <w:tcPr>
            <w:tcW w:w="5710" w:type="dxa"/>
          </w:tcPr>
          <w:p w:rsidR="0073078C" w:rsidRDefault="0073078C" w:rsidP="006B1649">
            <w:r>
              <w:t>The domain or workgroup of a computer.</w:t>
            </w:r>
          </w:p>
        </w:tc>
      </w:tr>
      <w:tr w:rsidR="0073078C" w:rsidTr="006B1649">
        <w:tc>
          <w:tcPr>
            <w:tcW w:w="3146" w:type="dxa"/>
          </w:tcPr>
          <w:p w:rsidR="0073078C" w:rsidRDefault="0073078C" w:rsidP="006B1649">
            <w:r>
              <w:t>PID</w:t>
            </w:r>
          </w:p>
        </w:tc>
        <w:tc>
          <w:tcPr>
            <w:tcW w:w="5710" w:type="dxa"/>
          </w:tcPr>
          <w:p w:rsidR="0073078C" w:rsidRDefault="0073078C" w:rsidP="00851C78">
            <w:r>
              <w:t>Product ID</w:t>
            </w:r>
            <w:r w:rsidR="00851C78">
              <w:t>.  A numerical representation of the 5x5 product key.  Often used by MS during customer support calls.</w:t>
            </w:r>
          </w:p>
        </w:tc>
      </w:tr>
      <w:tr w:rsidR="0073078C" w:rsidTr="006B1649">
        <w:tc>
          <w:tcPr>
            <w:tcW w:w="3146" w:type="dxa"/>
          </w:tcPr>
          <w:p w:rsidR="0073078C" w:rsidRDefault="0073078C" w:rsidP="006B1649">
            <w:r>
              <w:t>Installation ID (IID)</w:t>
            </w:r>
          </w:p>
        </w:tc>
        <w:tc>
          <w:tcPr>
            <w:tcW w:w="5710" w:type="dxa"/>
          </w:tcPr>
          <w:p w:rsidR="0073078C" w:rsidRDefault="0073078C" w:rsidP="00C10297">
            <w:r>
              <w:t>The ID sent to Microsoft to get a corresponding CID. The IID is generated when retail, MAK, KMS host key.</w:t>
            </w:r>
          </w:p>
        </w:tc>
      </w:tr>
      <w:tr w:rsidR="0073078C" w:rsidTr="006B1649">
        <w:tc>
          <w:tcPr>
            <w:tcW w:w="3146" w:type="dxa"/>
          </w:tcPr>
          <w:p w:rsidR="0073078C" w:rsidRDefault="0073078C" w:rsidP="006B1649">
            <w:r>
              <w:t>Pending Confirmation ID (CID)</w:t>
            </w:r>
          </w:p>
        </w:tc>
        <w:tc>
          <w:tcPr>
            <w:tcW w:w="5710" w:type="dxa"/>
          </w:tcPr>
          <w:p w:rsidR="0073078C" w:rsidRDefault="0073078C" w:rsidP="006B1649">
            <w:r>
              <w:t>Confirmation ID received from Microsoft. Paired with the IID, these IDs allow a client product to activate.</w:t>
            </w:r>
          </w:p>
        </w:tc>
      </w:tr>
      <w:tr w:rsidR="0073078C" w:rsidTr="006B1649">
        <w:tc>
          <w:tcPr>
            <w:tcW w:w="3146" w:type="dxa"/>
          </w:tcPr>
          <w:p w:rsidR="0073078C" w:rsidRDefault="0073078C" w:rsidP="006B1649">
            <w:r>
              <w:t xml:space="preserve">Genuine Status </w:t>
            </w:r>
          </w:p>
        </w:tc>
        <w:tc>
          <w:tcPr>
            <w:tcW w:w="5710" w:type="dxa"/>
          </w:tcPr>
          <w:p w:rsidR="0073078C" w:rsidRDefault="0073078C" w:rsidP="00C10297">
            <w:r>
              <w:t xml:space="preserve">(Default) – The genuine status as returned by the </w:t>
            </w:r>
            <w:r w:rsidR="00C10297">
              <w:t>Microsoft hosted activation service.</w:t>
            </w:r>
          </w:p>
        </w:tc>
      </w:tr>
      <w:tr w:rsidR="0073078C" w:rsidTr="006B1649">
        <w:tc>
          <w:tcPr>
            <w:tcW w:w="3146" w:type="dxa"/>
          </w:tcPr>
          <w:p w:rsidR="0073078C" w:rsidRDefault="0073078C" w:rsidP="006B1649">
            <w:r>
              <w:t xml:space="preserve">Date of Last Status Update </w:t>
            </w:r>
          </w:p>
        </w:tc>
        <w:tc>
          <w:tcPr>
            <w:tcW w:w="5710" w:type="dxa"/>
          </w:tcPr>
          <w:p w:rsidR="0073078C" w:rsidRDefault="0073078C" w:rsidP="006B1649">
            <w:r>
              <w:t>(Default) – The time stamp of the last status update for a product.</w:t>
            </w:r>
          </w:p>
        </w:tc>
      </w:tr>
    </w:tbl>
    <w:p w:rsidR="0073078C" w:rsidRDefault="0073078C" w:rsidP="0073078C">
      <w:pPr>
        <w:spacing w:after="120"/>
      </w:pPr>
    </w:p>
    <w:p w:rsidR="0073078C" w:rsidRDefault="0073078C" w:rsidP="0073078C">
      <w:pPr>
        <w:spacing w:after="120"/>
      </w:pPr>
      <w:r>
        <w:t xml:space="preserve">VAMT provides a </w:t>
      </w:r>
      <w:r w:rsidR="00851C78">
        <w:t>point</w:t>
      </w:r>
      <w:r w:rsidR="00F0300E">
        <w:t>-in-time view</w:t>
      </w:r>
      <w:r>
        <w:t xml:space="preserve"> of </w:t>
      </w:r>
      <w:r w:rsidR="00F0300E">
        <w:t xml:space="preserve">the </w:t>
      </w:r>
      <w:r>
        <w:t>computers and products that it manages. It cannot provide a</w:t>
      </w:r>
      <w:r w:rsidR="00F0300E">
        <w:t xml:space="preserve">n ongoing </w:t>
      </w:r>
      <w:r>
        <w:t>view of your environment. You should refresh the status from time to time. You can easily get an update license status.</w:t>
      </w:r>
    </w:p>
    <w:p w:rsidR="0073078C" w:rsidRDefault="0073078C" w:rsidP="0073078C">
      <w:pPr>
        <w:pStyle w:val="NumberedList1"/>
        <w:numPr>
          <w:ilvl w:val="0"/>
          <w:numId w:val="4"/>
        </w:numPr>
        <w:tabs>
          <w:tab w:val="left" w:pos="360"/>
        </w:tabs>
      </w:pPr>
      <w:r>
        <w:t>Select one or more products, to update their status.</w:t>
      </w:r>
    </w:p>
    <w:p w:rsidR="0073078C" w:rsidRDefault="0073078C" w:rsidP="0073078C">
      <w:pPr>
        <w:pStyle w:val="NumberedList1"/>
        <w:numPr>
          <w:ilvl w:val="0"/>
          <w:numId w:val="4"/>
        </w:numPr>
        <w:tabs>
          <w:tab w:val="left" w:pos="360"/>
        </w:tabs>
      </w:pPr>
      <w:r>
        <w:t xml:space="preserve">On the </w:t>
      </w:r>
      <w:r>
        <w:rPr>
          <w:rStyle w:val="Bold"/>
        </w:rPr>
        <w:t>Actions</w:t>
      </w:r>
      <w:r>
        <w:t xml:space="preserve"> menu, select </w:t>
      </w:r>
      <w:r>
        <w:rPr>
          <w:rStyle w:val="Bold"/>
        </w:rPr>
        <w:t>Update Status</w:t>
      </w:r>
      <w:r>
        <w:t xml:space="preserve"> and choose a credential option. Choose </w:t>
      </w:r>
      <w:r>
        <w:rPr>
          <w:rStyle w:val="Bold"/>
        </w:rPr>
        <w:t>Alternate Credentials</w:t>
      </w:r>
      <w:r>
        <w:t xml:space="preserve"> if you are only updating products that require administrator credentials different from the ones you are currently logged into the computer with.</w:t>
      </w:r>
    </w:p>
    <w:p w:rsidR="0073078C" w:rsidRDefault="0073078C" w:rsidP="0073078C">
      <w:pPr>
        <w:pStyle w:val="NumberedList1"/>
        <w:numPr>
          <w:ilvl w:val="0"/>
          <w:numId w:val="4"/>
        </w:numPr>
        <w:tabs>
          <w:tab w:val="left" w:pos="360"/>
        </w:tabs>
      </w:pPr>
      <w:r>
        <w:t xml:space="preserve">If you are supplying alternate credentials, at the prompt, type the appropriate user name and password and click </w:t>
      </w:r>
      <w:r>
        <w:rPr>
          <w:rStyle w:val="Bold"/>
        </w:rPr>
        <w:t>OK</w:t>
      </w:r>
      <w:r>
        <w:t>.</w:t>
      </w:r>
    </w:p>
    <w:p w:rsidR="0073078C" w:rsidRDefault="0073078C" w:rsidP="0073078C">
      <w:pPr>
        <w:pStyle w:val="ListParagraph"/>
        <w:numPr>
          <w:ilvl w:val="0"/>
          <w:numId w:val="4"/>
        </w:numPr>
        <w:spacing w:after="120"/>
      </w:pPr>
      <w:r>
        <w:t xml:space="preserve">VAMT will display the </w:t>
      </w:r>
      <w:r>
        <w:rPr>
          <w:rStyle w:val="Bold"/>
        </w:rPr>
        <w:t>Collecting product information</w:t>
      </w:r>
      <w:r>
        <w:t xml:space="preserve"> dialog box while it collects the status of all selected products. When the process is finished, the updated license status of each product will appear in the product list view in the center pane.</w:t>
      </w:r>
    </w:p>
    <w:p w:rsidR="0073078C" w:rsidRDefault="0073078C" w:rsidP="0073078C">
      <w:r>
        <w:t>Click the nodes in VAMT’s left pane to determine which products are in an unlicensed state, so you can take corrective action if necessary. Understanding which products are properly licensed or not can assist with license compliance.</w:t>
      </w:r>
    </w:p>
    <w:p w:rsidR="0073078C" w:rsidRDefault="0073078C" w:rsidP="0073078C">
      <w:pPr>
        <w:pStyle w:val="Heading1"/>
      </w:pPr>
      <w:bookmarkStart w:id="3" w:name="_Toc256690980"/>
      <w:bookmarkStart w:id="4" w:name="_Toc257201371"/>
      <w:r>
        <w:t>License Status</w:t>
      </w:r>
      <w:bookmarkEnd w:id="3"/>
      <w:bookmarkEnd w:id="4"/>
    </w:p>
    <w:p w:rsidR="0073078C" w:rsidRDefault="0073078C" w:rsidP="0073078C">
      <w:r>
        <w:t>A critical piece of information to track is the license status of the products that VAMT manages. Above we described how to update a product’s status. Here we explain each status.</w:t>
      </w:r>
    </w:p>
    <w:p w:rsidR="0073078C" w:rsidRDefault="0073078C" w:rsidP="0073078C">
      <w:pPr>
        <w:pStyle w:val="BulletedList2"/>
        <w:numPr>
          <w:ilvl w:val="0"/>
          <w:numId w:val="7"/>
        </w:numPr>
        <w:tabs>
          <w:tab w:val="left" w:pos="720"/>
        </w:tabs>
        <w:ind w:left="360"/>
      </w:pPr>
      <w:r>
        <w:rPr>
          <w:rStyle w:val="Bold"/>
        </w:rPr>
        <w:t>Status Unknown</w:t>
      </w:r>
      <w:r>
        <w:t xml:space="preserve"> – Display all products that the VAMT has not collected or cannot collect license status for. This includes any computers that have been added but whose installed products have not yet been discovered.</w:t>
      </w:r>
    </w:p>
    <w:p w:rsidR="0073078C" w:rsidRDefault="0073078C" w:rsidP="0073078C">
      <w:pPr>
        <w:pStyle w:val="BulletedList2"/>
        <w:numPr>
          <w:ilvl w:val="0"/>
          <w:numId w:val="0"/>
        </w:numPr>
        <w:tabs>
          <w:tab w:val="left" w:pos="720"/>
        </w:tabs>
        <w:ind w:left="360" w:hanging="360"/>
      </w:pPr>
      <w:r>
        <w:rPr>
          <w:rFonts w:ascii="Symbol" w:hAnsi="Symbol"/>
        </w:rPr>
        <w:t></w:t>
      </w:r>
      <w:r>
        <w:rPr>
          <w:rFonts w:ascii="Symbol" w:hAnsi="Symbol"/>
        </w:rPr>
        <w:tab/>
      </w:r>
      <w:r>
        <w:rPr>
          <w:rStyle w:val="Bold"/>
        </w:rPr>
        <w:t>Licensed</w:t>
      </w:r>
      <w:r>
        <w:t xml:space="preserve"> – Display all products that have been activated by a valid product key.</w:t>
      </w:r>
    </w:p>
    <w:p w:rsidR="0073078C" w:rsidRDefault="0073078C" w:rsidP="0073078C">
      <w:pPr>
        <w:pStyle w:val="BulletedList2"/>
        <w:numPr>
          <w:ilvl w:val="0"/>
          <w:numId w:val="0"/>
        </w:numPr>
        <w:tabs>
          <w:tab w:val="left" w:pos="720"/>
        </w:tabs>
        <w:ind w:left="360" w:hanging="360"/>
      </w:pPr>
      <w:r>
        <w:rPr>
          <w:rFonts w:ascii="Symbol" w:hAnsi="Symbol"/>
        </w:rPr>
        <w:t></w:t>
      </w:r>
      <w:r>
        <w:rPr>
          <w:rFonts w:ascii="Symbol" w:hAnsi="Symbol"/>
        </w:rPr>
        <w:tab/>
      </w:r>
      <w:r>
        <w:rPr>
          <w:rStyle w:val="Bold"/>
        </w:rPr>
        <w:t>Not Licensed</w:t>
      </w:r>
      <w:r>
        <w:t xml:space="preserve"> – This is the parent node for all products whose licensing status is not </w:t>
      </w:r>
      <w:r>
        <w:rPr>
          <w:rStyle w:val="Bold"/>
        </w:rPr>
        <w:t>Licensed</w:t>
      </w:r>
      <w:r>
        <w:t>:</w:t>
      </w:r>
    </w:p>
    <w:p w:rsidR="0073078C" w:rsidRDefault="0073078C" w:rsidP="0073078C">
      <w:pPr>
        <w:pStyle w:val="BulletedList3"/>
        <w:numPr>
          <w:ilvl w:val="0"/>
          <w:numId w:val="0"/>
        </w:numPr>
        <w:ind w:left="720" w:hanging="360"/>
      </w:pPr>
      <w:r>
        <w:rPr>
          <w:rFonts w:ascii="Symbol" w:hAnsi="Symbol"/>
        </w:rPr>
        <w:t></w:t>
      </w:r>
      <w:r>
        <w:rPr>
          <w:rFonts w:ascii="Symbol" w:hAnsi="Symbol"/>
        </w:rPr>
        <w:tab/>
      </w:r>
      <w:r w:rsidRPr="001109A5">
        <w:rPr>
          <w:b/>
        </w:rPr>
        <w:t>Out-of-Box (OOB) Grace</w:t>
      </w:r>
      <w:r>
        <w:t xml:space="preserve"> – Display all products that are still within the initial grace period allowed by Windows, Windows Server or Microsoft Office 2010 prior to required activation.</w:t>
      </w:r>
    </w:p>
    <w:p w:rsidR="0073078C" w:rsidRDefault="0073078C" w:rsidP="0073078C">
      <w:pPr>
        <w:pStyle w:val="BulletedList3"/>
        <w:numPr>
          <w:ilvl w:val="0"/>
          <w:numId w:val="0"/>
        </w:numPr>
        <w:ind w:left="720" w:hanging="360"/>
      </w:pPr>
      <w:r>
        <w:rPr>
          <w:rFonts w:ascii="Symbol" w:hAnsi="Symbol"/>
        </w:rPr>
        <w:t></w:t>
      </w:r>
      <w:r>
        <w:rPr>
          <w:rFonts w:ascii="Symbol" w:hAnsi="Symbol"/>
        </w:rPr>
        <w:tab/>
      </w:r>
      <w:r>
        <w:rPr>
          <w:rStyle w:val="Bold"/>
        </w:rPr>
        <w:t>Non-Genuine Grace</w:t>
      </w:r>
      <w:r>
        <w:t xml:space="preserve"> – </w:t>
      </w:r>
      <w:r w:rsidR="00443F0A">
        <w:t>Applicable only to systems running Windows Vista RTM edition.  Indicates the system has failed online genuine validation and is in 30 day grace period.</w:t>
      </w:r>
    </w:p>
    <w:p w:rsidR="0073078C" w:rsidRDefault="0073078C" w:rsidP="0073078C">
      <w:pPr>
        <w:pStyle w:val="BulletedList3"/>
        <w:numPr>
          <w:ilvl w:val="0"/>
          <w:numId w:val="0"/>
        </w:numPr>
        <w:ind w:left="720" w:hanging="360"/>
      </w:pPr>
      <w:r>
        <w:rPr>
          <w:rFonts w:ascii="Symbol" w:hAnsi="Symbol"/>
        </w:rPr>
        <w:lastRenderedPageBreak/>
        <w:t></w:t>
      </w:r>
      <w:r>
        <w:rPr>
          <w:rFonts w:ascii="Symbol" w:hAnsi="Symbol"/>
        </w:rPr>
        <w:tab/>
      </w:r>
      <w:r>
        <w:rPr>
          <w:rStyle w:val="Bold"/>
        </w:rPr>
        <w:t>Out of Tolerance (OOT) Grace</w:t>
      </w:r>
      <w:r>
        <w:t xml:space="preserve"> – Display all products that have had hardware or BIOS changes significant enough to require reactivation, and all KMS client products that have not renewed their activation within the 180 days activation renewal period.</w:t>
      </w:r>
    </w:p>
    <w:p w:rsidR="0073078C" w:rsidRDefault="0073078C" w:rsidP="0073078C">
      <w:pPr>
        <w:pStyle w:val="BulletedList3"/>
        <w:numPr>
          <w:ilvl w:val="0"/>
          <w:numId w:val="0"/>
        </w:numPr>
        <w:ind w:left="720" w:hanging="360"/>
      </w:pPr>
      <w:r>
        <w:rPr>
          <w:rFonts w:ascii="Symbol" w:hAnsi="Symbol"/>
        </w:rPr>
        <w:t></w:t>
      </w:r>
      <w:r>
        <w:rPr>
          <w:rFonts w:ascii="Symbol" w:hAnsi="Symbol"/>
        </w:rPr>
        <w:tab/>
      </w:r>
      <w:r>
        <w:rPr>
          <w:rStyle w:val="Bold"/>
        </w:rPr>
        <w:t>Unlicensed</w:t>
      </w:r>
      <w:r>
        <w:t xml:space="preserve"> – </w:t>
      </w:r>
      <w:r w:rsidR="00D93379">
        <w:t>Activation status cannot be determined. It may indicate tampering of activation related binaries and configuration values.</w:t>
      </w:r>
      <w:r w:rsidR="006860CB">
        <w:t xml:space="preserve"> Applies only to</w:t>
      </w:r>
      <w:r>
        <w:t xml:space="preserve"> Windows Vista</w:t>
      </w:r>
      <w:r w:rsidRPr="007256DC">
        <w:t xml:space="preserve"> </w:t>
      </w:r>
      <w:r>
        <w:t>RTM</w:t>
      </w:r>
      <w:r w:rsidRPr="007256DC">
        <w:t xml:space="preserve"> </w:t>
      </w:r>
      <w:r>
        <w:t>or retail editions of Office 2010 products</w:t>
      </w:r>
      <w:r w:rsidR="006860CB">
        <w:t>.</w:t>
      </w:r>
    </w:p>
    <w:p w:rsidR="0073078C" w:rsidRDefault="0073078C" w:rsidP="0073078C">
      <w:pPr>
        <w:pStyle w:val="BulletedList3"/>
        <w:numPr>
          <w:ilvl w:val="0"/>
          <w:numId w:val="0"/>
        </w:numPr>
        <w:ind w:left="720" w:hanging="360"/>
      </w:pPr>
      <w:r>
        <w:rPr>
          <w:rFonts w:ascii="Symbol" w:hAnsi="Symbol"/>
        </w:rPr>
        <w:t></w:t>
      </w:r>
      <w:r>
        <w:rPr>
          <w:rFonts w:ascii="Symbol" w:hAnsi="Symbol"/>
        </w:rPr>
        <w:tab/>
      </w:r>
      <w:r>
        <w:rPr>
          <w:rStyle w:val="Bold"/>
        </w:rPr>
        <w:t>Notification</w:t>
      </w:r>
      <w:r>
        <w:t xml:space="preserve"> – </w:t>
      </w:r>
      <w:r w:rsidR="00231283">
        <w:t>Display all products that are either past the activation grace period or failed validation.  These products will be subject to a notification experience but continue to run with full functionality.</w:t>
      </w:r>
    </w:p>
    <w:p w:rsidR="0073078C" w:rsidRPr="00E35E5D" w:rsidRDefault="0073078C" w:rsidP="0073078C">
      <w:pPr>
        <w:ind w:left="360" w:hanging="360"/>
      </w:pPr>
      <w:r>
        <w:rPr>
          <w:rFonts w:ascii="Symbol" w:hAnsi="Symbol"/>
        </w:rPr>
        <w:t></w:t>
      </w:r>
      <w:r>
        <w:rPr>
          <w:rFonts w:ascii="Symbol" w:hAnsi="Symbol"/>
        </w:rPr>
        <w:tab/>
      </w:r>
      <w:r>
        <w:rPr>
          <w:rStyle w:val="Bold"/>
        </w:rPr>
        <w:t>Unmanaged Products</w:t>
      </w:r>
      <w:r>
        <w:t xml:space="preserve"> - Display all discovered products that do not support activation methods managed by the VAMT. This only includes Windows XP SP2</w:t>
      </w:r>
      <w:r w:rsidR="006860CB">
        <w:t xml:space="preserve"> or later</w:t>
      </w:r>
      <w:r>
        <w:t xml:space="preserve"> and Windows Server 2003 SP1</w:t>
      </w:r>
      <w:r w:rsidR="006860CB">
        <w:t xml:space="preserve"> or</w:t>
      </w:r>
      <w:r w:rsidR="00231283">
        <w:t xml:space="preserve"> </w:t>
      </w:r>
      <w:r w:rsidR="006860CB">
        <w:t>later</w:t>
      </w:r>
      <w:r>
        <w:t xml:space="preserve"> installations.</w:t>
      </w:r>
    </w:p>
    <w:p w:rsidR="00AA1FE0" w:rsidRDefault="0078357C" w:rsidP="0078357C">
      <w:pPr>
        <w:pStyle w:val="Heading1"/>
      </w:pPr>
      <w:bookmarkStart w:id="5" w:name="_Toc256690981"/>
      <w:bookmarkStart w:id="6" w:name="_Toc257201372"/>
      <w:r>
        <w:t>Computer Information List (CIL)</w:t>
      </w:r>
      <w:bookmarkEnd w:id="5"/>
      <w:bookmarkEnd w:id="6"/>
    </w:p>
    <w:p w:rsidR="00F8458B" w:rsidRDefault="00BC6BF0" w:rsidP="00BE1135">
      <w:pPr>
        <w:spacing w:after="120"/>
      </w:pPr>
      <w:r>
        <w:t xml:space="preserve">VAMT stores data in the Computer Information List, or CIL, </w:t>
      </w:r>
      <w:r w:rsidRPr="00BE1135">
        <w:rPr>
          <w:rFonts w:cstheme="minorHAnsi"/>
        </w:rPr>
        <w:t xml:space="preserve">an XML file created when </w:t>
      </w:r>
      <w:r>
        <w:rPr>
          <w:rFonts w:cstheme="minorHAnsi"/>
        </w:rPr>
        <w:t>you</w:t>
      </w:r>
      <w:r w:rsidRPr="00BE1135">
        <w:rPr>
          <w:rFonts w:cstheme="minorHAnsi"/>
        </w:rPr>
        <w:t xml:space="preserve"> save or export</w:t>
      </w:r>
      <w:r>
        <w:rPr>
          <w:rFonts w:cstheme="minorHAnsi"/>
        </w:rPr>
        <w:t xml:space="preserve"> data.</w:t>
      </w:r>
      <w:r w:rsidR="004634EE">
        <w:rPr>
          <w:rFonts w:cstheme="minorHAnsi"/>
        </w:rPr>
        <w:t xml:space="preserve"> </w:t>
      </w:r>
      <w:r w:rsidR="002A78F3">
        <w:rPr>
          <w:rFonts w:cstheme="minorHAnsi"/>
        </w:rPr>
        <w:t xml:space="preserve">See Figure 2. </w:t>
      </w:r>
      <w:r w:rsidR="004634EE">
        <w:rPr>
          <w:rFonts w:cstheme="minorHAnsi"/>
        </w:rPr>
        <w:t xml:space="preserve">The CIL is required for certain types of activation, including local reactivation and activating in disconnected environments. However, we </w:t>
      </w:r>
      <w:r w:rsidR="00BD6471">
        <w:rPr>
          <w:rFonts w:cstheme="minorHAnsi"/>
        </w:rPr>
        <w:t>suggest</w:t>
      </w:r>
      <w:r w:rsidR="004634EE">
        <w:rPr>
          <w:rFonts w:cstheme="minorHAnsi"/>
        </w:rPr>
        <w:t xml:space="preserve"> that you always </w:t>
      </w:r>
      <w:r w:rsidR="0061734B">
        <w:rPr>
          <w:rFonts w:cstheme="minorHAnsi"/>
        </w:rPr>
        <w:t>save</w:t>
      </w:r>
      <w:r w:rsidR="004634EE">
        <w:rPr>
          <w:rFonts w:cstheme="minorHAnsi"/>
        </w:rPr>
        <w:t xml:space="preserve"> VAMT data in a CIL.</w:t>
      </w:r>
      <w:r w:rsidR="00F8458B" w:rsidRPr="00F8458B">
        <w:t xml:space="preserve"> </w:t>
      </w:r>
      <w:r w:rsidR="00F8458B">
        <w:t xml:space="preserve">You may also want to save a backup copy. </w:t>
      </w:r>
    </w:p>
    <w:p w:rsidR="00BC6BF0" w:rsidRDefault="00F8458B" w:rsidP="00BE1135">
      <w:pPr>
        <w:spacing w:after="120"/>
        <w:rPr>
          <w:rFonts w:cstheme="minorHAnsi"/>
        </w:rPr>
      </w:pPr>
      <w:r>
        <w:t>We also recommend that you restrict access to VAMT and the CIL to only those personnel with a reason to see the product keys and activate products.</w:t>
      </w:r>
      <w:r w:rsidRPr="0089308E">
        <w:t xml:space="preserve"> </w:t>
      </w:r>
      <w:r>
        <w:t>Secure access to the CIL file on the local hard drive by encryption, or set permissions for the folder where the CIL is stored.  Make sure that you similarly protect the backup location if you create a back up file e.g. for disaster recovery.</w:t>
      </w:r>
    </w:p>
    <w:p w:rsidR="00D5090D" w:rsidRDefault="00AE3E29" w:rsidP="00BE1135">
      <w:pPr>
        <w:spacing w:after="120"/>
        <w:rPr>
          <w:rFonts w:cstheme="minorHAnsi"/>
        </w:rPr>
      </w:pPr>
      <w:r w:rsidRPr="00AE3E29">
        <w:rPr>
          <w:noProof/>
        </w:rPr>
        <w:pict>
          <v:oval id="Oval 2" o:spid="_x0000_s1026" style="position:absolute;margin-left:246.05pt;margin-top:52.85pt;width:51.4pt;height:7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" filled="f" strokecolor="red" strokeweight="1pt"/>
        </w:pict>
      </w:r>
      <w:r w:rsidR="00D5090D">
        <w:rPr>
          <w:noProof/>
        </w:rPr>
        <w:drawing>
          <wp:inline distT="0" distB="0" distL="0" distR="0">
            <wp:extent cx="4140968" cy="2738860"/>
            <wp:effectExtent l="19050" t="0" r="0" b="0"/>
            <wp:docPr id="5" name="Picture 1" descr="C:\Users\v-leslge\Documents\Genuine Windows\VA Videos_Office_Windows\Screenshots\Leslie's VAMT 2.0 screenshots\VAMT 2.0 Main 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eslge\Documents\Genuine Windows\VA Videos_Office_Windows\Screenshots\Leslie's VAMT 2.0 screenshots\VAMT 2.0 Main screen.PNG"/>
                    <pic:cNvPicPr>
                      <a:picLocks noChangeAspect="1" noChangeArrowheads="1"/>
                    </pic:cNvPicPr>
                  </pic:nvPicPr>
                  <pic:blipFill>
                    <a:blip r:embed="rId11" cstate="print"/>
                    <a:srcRect r="30282" b="26925"/>
                    <a:stretch>
                      <a:fillRect/>
                    </a:stretch>
                  </pic:blipFill>
                  <pic:spPr bwMode="auto">
                    <a:xfrm>
                      <a:off x="0" y="0"/>
                      <a:ext cx="4140968" cy="2738860"/>
                    </a:xfrm>
                    <a:prstGeom prst="rect">
                      <a:avLst/>
                    </a:prstGeom>
                    <a:noFill/>
                    <a:ln w="9525">
                      <a:noFill/>
                      <a:miter lim="800000"/>
                      <a:headEnd/>
                      <a:tailEnd/>
                    </a:ln>
                  </pic:spPr>
                </pic:pic>
              </a:graphicData>
            </a:graphic>
          </wp:inline>
        </w:drawing>
      </w:r>
    </w:p>
    <w:p w:rsidR="00D5090D" w:rsidRPr="00BC6BF0" w:rsidRDefault="00D5090D" w:rsidP="00D5090D">
      <w:pPr>
        <w:spacing w:after="120"/>
        <w:rPr>
          <w:b/>
        </w:rPr>
      </w:pPr>
      <w:r w:rsidRPr="00BC6BF0">
        <w:rPr>
          <w:b/>
        </w:rPr>
        <w:t xml:space="preserve">Figure </w:t>
      </w:r>
      <w:r w:rsidR="0097571F">
        <w:rPr>
          <w:b/>
        </w:rPr>
        <w:t>2</w:t>
      </w:r>
      <w:r w:rsidRPr="00BC6BF0">
        <w:rPr>
          <w:b/>
        </w:rPr>
        <w:t>. CIL options in VAMT 2.0</w:t>
      </w:r>
    </w:p>
    <w:p w:rsidR="003311FA" w:rsidRDefault="003311FA" w:rsidP="00BE1135">
      <w:pPr>
        <w:spacing w:after="120"/>
        <w:rPr>
          <w:rFonts w:cstheme="minorHAnsi"/>
        </w:rPr>
      </w:pPr>
      <w:r>
        <w:rPr>
          <w:rFonts w:cstheme="minorHAnsi"/>
        </w:rPr>
        <w:t xml:space="preserve">You can save a CIL with all personally identifiable information (PII) or </w:t>
      </w:r>
      <w:r w:rsidR="0019111C">
        <w:rPr>
          <w:rFonts w:cstheme="minorHAnsi"/>
        </w:rPr>
        <w:t xml:space="preserve">excluding PII. </w:t>
      </w:r>
      <w:r w:rsidR="00AE02FE">
        <w:rPr>
          <w:rFonts w:cstheme="minorHAnsi"/>
        </w:rPr>
        <w:t xml:space="preserve"> </w:t>
      </w:r>
      <w:r w:rsidR="002A78F3">
        <w:rPr>
          <w:rFonts w:cstheme="minorHAnsi"/>
        </w:rPr>
        <w:t xml:space="preserve">See Figure 3. </w:t>
      </w:r>
      <w:r w:rsidR="00AE02FE">
        <w:rPr>
          <w:rFonts w:cstheme="minorHAnsi"/>
        </w:rPr>
        <w:t xml:space="preserve">You may need to save the CIL without PII if you are transporting the CIL outside a secure environment. This scenario is detailed in </w:t>
      </w:r>
      <w:hyperlink r:id="rId12" w:history="1">
        <w:r w:rsidR="002D099D" w:rsidRPr="002A78F3">
          <w:rPr>
            <w:rStyle w:val="Hyperlink"/>
            <w:rFonts w:cstheme="minorBidi"/>
            <w:i/>
          </w:rPr>
          <w:t>Activation in Disconnected Environments Using VAMT 2.0</w:t>
        </w:r>
      </w:hyperlink>
      <w:r w:rsidR="002D099D">
        <w:t>.</w:t>
      </w:r>
    </w:p>
    <w:p w:rsidR="00D5090D" w:rsidRDefault="00D5090D" w:rsidP="00BE1135">
      <w:pPr>
        <w:spacing w:after="120"/>
        <w:rPr>
          <w:rFonts w:cstheme="minorHAnsi"/>
        </w:rPr>
      </w:pPr>
      <w:r>
        <w:rPr>
          <w:rFonts w:cstheme="minorHAnsi"/>
          <w:noProof/>
        </w:rPr>
        <w:lastRenderedPageBreak/>
        <w:drawing>
          <wp:inline distT="0" distB="0" distL="0" distR="0">
            <wp:extent cx="3819420" cy="2216346"/>
            <wp:effectExtent l="19050" t="0" r="0" b="0"/>
            <wp:docPr id="6" name="Picture 4" descr="C:\Users\v-leslge\Documents\Genuine Windows\VA Videos_Office_Windows\Screenshots\Leslie's VAMT 2.0 screenshots\Save 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leslge\Documents\Genuine Windows\VA Videos_Office_Windows\Screenshots\Leslie's VAMT 2.0 screenshots\Save CIL.png"/>
                    <pic:cNvPicPr>
                      <a:picLocks noChangeAspect="1" noChangeArrowheads="1"/>
                    </pic:cNvPicPr>
                  </pic:nvPicPr>
                  <pic:blipFill>
                    <a:blip r:embed="rId13" cstate="print"/>
                    <a:srcRect r="35696" b="40866"/>
                    <a:stretch>
                      <a:fillRect/>
                    </a:stretch>
                  </pic:blipFill>
                  <pic:spPr bwMode="auto">
                    <a:xfrm>
                      <a:off x="0" y="0"/>
                      <a:ext cx="3819420" cy="2216346"/>
                    </a:xfrm>
                    <a:prstGeom prst="rect">
                      <a:avLst/>
                    </a:prstGeom>
                    <a:noFill/>
                    <a:ln w="9525">
                      <a:noFill/>
                      <a:miter lim="800000"/>
                      <a:headEnd/>
                      <a:tailEnd/>
                    </a:ln>
                  </pic:spPr>
                </pic:pic>
              </a:graphicData>
            </a:graphic>
          </wp:inline>
        </w:drawing>
      </w:r>
    </w:p>
    <w:p w:rsidR="00D5090D" w:rsidRPr="00D5090D" w:rsidRDefault="00D5090D" w:rsidP="00BE1135">
      <w:pPr>
        <w:spacing w:after="120"/>
        <w:rPr>
          <w:rFonts w:cstheme="minorHAnsi"/>
          <w:b/>
        </w:rPr>
      </w:pPr>
      <w:r w:rsidRPr="00D5090D">
        <w:rPr>
          <w:rFonts w:cstheme="minorHAnsi"/>
          <w:b/>
        </w:rPr>
        <w:t xml:space="preserve">Figure </w:t>
      </w:r>
      <w:r w:rsidR="0097571F">
        <w:rPr>
          <w:rFonts w:cstheme="minorHAnsi"/>
          <w:b/>
        </w:rPr>
        <w:t>3</w:t>
      </w:r>
      <w:r w:rsidRPr="00D5090D">
        <w:rPr>
          <w:rFonts w:cstheme="minorHAnsi"/>
          <w:b/>
        </w:rPr>
        <w:t>. Save the CIL</w:t>
      </w:r>
    </w:p>
    <w:p w:rsidR="00A726F2" w:rsidRDefault="00A726F2" w:rsidP="00BE1135">
      <w:pPr>
        <w:spacing w:after="120"/>
      </w:pPr>
      <w:r>
        <w:rPr>
          <w:rFonts w:cstheme="minorHAnsi"/>
        </w:rPr>
        <w:t xml:space="preserve">The table at the end of this </w:t>
      </w:r>
      <w:r w:rsidR="004559A6">
        <w:rPr>
          <w:rFonts w:cstheme="minorHAnsi"/>
        </w:rPr>
        <w:t>documen</w:t>
      </w:r>
      <w:r>
        <w:rPr>
          <w:rFonts w:cstheme="minorHAnsi"/>
        </w:rPr>
        <w:t>t lists all the tags in a complete CIL.</w:t>
      </w:r>
      <w:r w:rsidR="003311FA">
        <w:rPr>
          <w:rFonts w:cstheme="minorHAnsi"/>
        </w:rPr>
        <w:t xml:space="preserve"> The VAMT Help File includes two sample CILs: a complete CIL and one with PII excluded.</w:t>
      </w:r>
    </w:p>
    <w:p w:rsidR="00A726F2" w:rsidRDefault="00A726F2" w:rsidP="00A726F2">
      <w:pPr>
        <w:pStyle w:val="Heading1"/>
      </w:pPr>
      <w:bookmarkStart w:id="7" w:name="_Toc256690982"/>
      <w:bookmarkStart w:id="8" w:name="_Toc257201373"/>
      <w:r>
        <w:t>CIL Table</w:t>
      </w:r>
      <w:bookmarkEnd w:id="7"/>
      <w:bookmarkEnd w:id="8"/>
    </w:p>
    <w:p w:rsidR="00BE1135" w:rsidRPr="00BE1135" w:rsidRDefault="00BE1135" w:rsidP="00BE1135">
      <w:pPr>
        <w:spacing w:after="120"/>
        <w:rPr>
          <w:rFonts w:cstheme="minorHAnsi"/>
        </w:rPr>
      </w:pPr>
      <w:r w:rsidRPr="00BE1135">
        <w:rPr>
          <w:rFonts w:cstheme="minorHAnsi"/>
        </w:rPr>
        <w:t xml:space="preserve">The following table lists all tags contained in a complete CIL file. Selecting the </w:t>
      </w:r>
      <w:r w:rsidRPr="00BE1135">
        <w:rPr>
          <w:rStyle w:val="Bold"/>
          <w:rFonts w:cstheme="minorHAnsi"/>
          <w:szCs w:val="22"/>
        </w:rPr>
        <w:t>Export only Installation ID and Product ID</w:t>
      </w:r>
      <w:r w:rsidRPr="00BE1135">
        <w:rPr>
          <w:rFonts w:cstheme="minorHAnsi"/>
        </w:rPr>
        <w:t xml:space="preserve"> option in the </w:t>
      </w:r>
      <w:r w:rsidRPr="00BE1135">
        <w:rPr>
          <w:rStyle w:val="Bold"/>
          <w:rFonts w:cstheme="minorHAnsi"/>
          <w:szCs w:val="22"/>
        </w:rPr>
        <w:t>Save List As</w:t>
      </w:r>
      <w:r w:rsidRPr="00BE1135">
        <w:rPr>
          <w:rFonts w:cstheme="minorHAnsi"/>
        </w:rPr>
        <w:t xml:space="preserve"> dialog box excludes all Personally Identifiable Information (PII) from the CIL. The </w:t>
      </w:r>
      <w:r w:rsidR="00307278" w:rsidRPr="00BE1135">
        <w:rPr>
          <w:rFonts w:cstheme="minorHAnsi"/>
        </w:rPr>
        <w:t xml:space="preserve">right </w:t>
      </w:r>
      <w:r w:rsidRPr="00BE1135">
        <w:rPr>
          <w:rFonts w:cstheme="minorHAnsi"/>
        </w:rPr>
        <w:t xml:space="preserve">column indicates the fields that are excluded from the CIL file only when the </w:t>
      </w:r>
      <w:r w:rsidRPr="00BE1135">
        <w:rPr>
          <w:rStyle w:val="Bold"/>
          <w:rFonts w:cstheme="minorHAnsi"/>
          <w:szCs w:val="22"/>
        </w:rPr>
        <w:t>Export only Installation ID and Product ID</w:t>
      </w:r>
      <w:r w:rsidRPr="00BE1135">
        <w:rPr>
          <w:rFonts w:cstheme="minorHAnsi"/>
        </w:rPr>
        <w:t xml:space="preserve"> option is selected from the </w:t>
      </w:r>
      <w:r w:rsidRPr="00BE1135">
        <w:rPr>
          <w:rStyle w:val="Bold"/>
          <w:rFonts w:cstheme="minorHAnsi"/>
          <w:szCs w:val="22"/>
        </w:rPr>
        <w:t>Save List As</w:t>
      </w:r>
      <w:r w:rsidRPr="00BE1135">
        <w:rPr>
          <w:rFonts w:cstheme="minorHAnsi"/>
        </w:rPr>
        <w:t xml:space="preserve"> dialog box from the context-sensitive </w:t>
      </w:r>
      <w:r w:rsidRPr="00BE1135">
        <w:rPr>
          <w:rStyle w:val="Bold"/>
          <w:rFonts w:cstheme="minorHAnsi"/>
          <w:szCs w:val="22"/>
        </w:rPr>
        <w:t>Actions</w:t>
      </w:r>
      <w:r w:rsidRPr="00BE1135">
        <w:rPr>
          <w:rFonts w:cstheme="minorHAnsi"/>
        </w:rPr>
        <w:t xml:space="preserve"> menu.</w:t>
      </w:r>
    </w:p>
    <w:p w:rsidR="00BE1135" w:rsidRPr="00BE1135" w:rsidRDefault="00BE1135" w:rsidP="00BE1135">
      <w:pPr>
        <w:pStyle w:val="TableSpacing"/>
        <w:rPr>
          <w:rFonts w:asciiTheme="minorHAnsi" w:hAnsiTheme="minorHAnsi" w:cstheme="minorHAnsi"/>
          <w:sz w:val="22"/>
          <w:szCs w:val="22"/>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576"/>
        <w:gridCol w:w="3530"/>
        <w:gridCol w:w="2426"/>
      </w:tblGrid>
      <w:tr w:rsidR="00BE1135" w:rsidRPr="00BE1135" w:rsidTr="00CA4DEE">
        <w:trPr>
          <w:tblHeader/>
        </w:trPr>
        <w:tc>
          <w:tcPr>
            <w:tcW w:w="3576"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E1135" w:rsidRPr="00BE1135" w:rsidRDefault="00BE1135" w:rsidP="00725BF7">
            <w:pPr>
              <w:keepNext/>
              <w:rPr>
                <w:rFonts w:cstheme="minorHAnsi"/>
                <w:b/>
              </w:rPr>
            </w:pPr>
            <w:r w:rsidRPr="00BE1135">
              <w:rPr>
                <w:rFonts w:cstheme="minorHAnsi"/>
                <w:b/>
              </w:rPr>
              <w:t>Name</w:t>
            </w:r>
          </w:p>
        </w:tc>
        <w:tc>
          <w:tcPr>
            <w:tcW w:w="3530"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E1135" w:rsidRPr="00BE1135" w:rsidRDefault="00BE1135" w:rsidP="00725BF7">
            <w:pPr>
              <w:keepNext/>
              <w:rPr>
                <w:rFonts w:cstheme="minorHAnsi"/>
                <w:b/>
              </w:rPr>
            </w:pPr>
            <w:r w:rsidRPr="00BE1135">
              <w:rPr>
                <w:rFonts w:cstheme="minorHAnsi"/>
                <w:b/>
              </w:rPr>
              <w:t>Definition</w:t>
            </w:r>
          </w:p>
        </w:tc>
        <w:tc>
          <w:tcPr>
            <w:tcW w:w="2426"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E1135" w:rsidRPr="00BE1135" w:rsidRDefault="00BE1135" w:rsidP="00725BF7">
            <w:pPr>
              <w:keepNext/>
              <w:rPr>
                <w:rFonts w:cstheme="minorHAnsi"/>
                <w:b/>
              </w:rPr>
            </w:pPr>
            <w:r w:rsidRPr="00BE1135">
              <w:rPr>
                <w:rFonts w:cstheme="minorHAnsi"/>
                <w:b/>
              </w:rPr>
              <w:t>Excluded During Secure Export</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SoftwareLicensingData</w:t>
            </w:r>
          </w:p>
        </w:tc>
        <w:tc>
          <w:tcPr>
            <w:tcW w:w="3530" w:type="dxa"/>
          </w:tcPr>
          <w:p w:rsidR="00BE1135" w:rsidRPr="00BE1135" w:rsidRDefault="00BE1135" w:rsidP="00725BF7">
            <w:pPr>
              <w:rPr>
                <w:rFonts w:cstheme="minorHAnsi"/>
              </w:rPr>
            </w:pPr>
            <w:r w:rsidRPr="00BE1135">
              <w:rPr>
                <w:rFonts w:cstheme="minorHAnsi"/>
              </w:rPr>
              <w:t>Parent XML tag that includes all data in the CIL file.</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SoftwareLicensingData: Version</w:t>
            </w:r>
          </w:p>
        </w:tc>
        <w:tc>
          <w:tcPr>
            <w:tcW w:w="3530" w:type="dxa"/>
          </w:tcPr>
          <w:p w:rsidR="00BE1135" w:rsidRPr="00BE1135" w:rsidRDefault="00BE1135" w:rsidP="00725BF7">
            <w:pPr>
              <w:rPr>
                <w:rFonts w:cstheme="minorHAnsi"/>
              </w:rPr>
            </w:pPr>
            <w:r w:rsidRPr="00BE1135">
              <w:rPr>
                <w:rFonts w:cstheme="minorHAnsi"/>
              </w:rPr>
              <w:t>The version number of the CIL format used.</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Computers</w:t>
            </w:r>
          </w:p>
        </w:tc>
        <w:tc>
          <w:tcPr>
            <w:tcW w:w="3530" w:type="dxa"/>
          </w:tcPr>
          <w:p w:rsidR="00BE1135" w:rsidRPr="00BE1135" w:rsidRDefault="00BE1135" w:rsidP="00725BF7">
            <w:pPr>
              <w:rPr>
                <w:rFonts w:cstheme="minorHAnsi"/>
              </w:rPr>
            </w:pPr>
            <w:r w:rsidRPr="00BE1135">
              <w:rPr>
                <w:rFonts w:cstheme="minorHAnsi"/>
              </w:rPr>
              <w:t>Parent XML tag that includes the list of all computers.</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Computer: Name</w:t>
            </w:r>
          </w:p>
        </w:tc>
        <w:tc>
          <w:tcPr>
            <w:tcW w:w="3530" w:type="dxa"/>
          </w:tcPr>
          <w:p w:rsidR="00BE1135" w:rsidRPr="00BE1135" w:rsidRDefault="00BE1135" w:rsidP="00725BF7">
            <w:pPr>
              <w:rPr>
                <w:rFonts w:cstheme="minorHAnsi"/>
              </w:rPr>
            </w:pPr>
            <w:r w:rsidRPr="00BE1135">
              <w:rPr>
                <w:rFonts w:cstheme="minorHAnsi"/>
              </w:rPr>
              <w:t>Name of computer.</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Computer: OSVersion</w:t>
            </w:r>
          </w:p>
        </w:tc>
        <w:tc>
          <w:tcPr>
            <w:tcW w:w="3530" w:type="dxa"/>
          </w:tcPr>
          <w:p w:rsidR="00BE1135" w:rsidRPr="00BE1135" w:rsidRDefault="00BE1135" w:rsidP="00725BF7">
            <w:pPr>
              <w:rPr>
                <w:rFonts w:cstheme="minorHAnsi"/>
              </w:rPr>
            </w:pPr>
            <w:r w:rsidRPr="00BE1135">
              <w:rPr>
                <w:rFonts w:cstheme="minorHAnsi"/>
              </w:rPr>
              <w:t>Operating System Version.</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Computer: OSEdition</w:t>
            </w:r>
          </w:p>
        </w:tc>
        <w:tc>
          <w:tcPr>
            <w:tcW w:w="3530" w:type="dxa"/>
          </w:tcPr>
          <w:p w:rsidR="00BE1135" w:rsidRPr="00BE1135" w:rsidRDefault="00BE1135" w:rsidP="00725BF7">
            <w:pPr>
              <w:rPr>
                <w:rFonts w:cstheme="minorHAnsi"/>
              </w:rPr>
            </w:pPr>
            <w:r w:rsidRPr="00BE1135">
              <w:rPr>
                <w:rFonts w:cstheme="minorHAnsi"/>
              </w:rPr>
              <w:t>Operating System Edition.</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Computer: NetworkType</w:t>
            </w:r>
          </w:p>
        </w:tc>
        <w:tc>
          <w:tcPr>
            <w:tcW w:w="3530" w:type="dxa"/>
          </w:tcPr>
          <w:p w:rsidR="00BE1135" w:rsidRPr="00BE1135" w:rsidRDefault="00BE1135" w:rsidP="00725BF7">
            <w:pPr>
              <w:rPr>
                <w:rFonts w:cstheme="minorHAnsi"/>
              </w:rPr>
            </w:pPr>
            <w:r w:rsidRPr="00BE1135">
              <w:rPr>
                <w:rFonts w:cstheme="minorHAnsi"/>
              </w:rPr>
              <w:t>The network type of the computer (either domain or workgroup)</w:t>
            </w:r>
          </w:p>
        </w:tc>
        <w:tc>
          <w:tcPr>
            <w:tcW w:w="2426" w:type="dxa"/>
          </w:tcPr>
          <w:p w:rsidR="00BE1135" w:rsidRPr="00BE1135" w:rsidRDefault="00BE1135" w:rsidP="00725BF7">
            <w:pPr>
              <w:rPr>
                <w:rFonts w:cstheme="minorHAnsi"/>
              </w:rPr>
            </w:pPr>
            <w:r w:rsidRPr="00BE1135">
              <w:rPr>
                <w:rFonts w:cstheme="minorHAnsi"/>
              </w:rPr>
              <w:t>X (Value will be “None”)</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Computer: NetworkName</w:t>
            </w:r>
          </w:p>
        </w:tc>
        <w:tc>
          <w:tcPr>
            <w:tcW w:w="3530" w:type="dxa"/>
          </w:tcPr>
          <w:p w:rsidR="00BE1135" w:rsidRPr="00BE1135" w:rsidRDefault="00BE1135" w:rsidP="00725BF7">
            <w:pPr>
              <w:rPr>
                <w:rFonts w:cstheme="minorHAnsi"/>
              </w:rPr>
            </w:pPr>
            <w:r w:rsidRPr="00BE1135">
              <w:rPr>
                <w:rFonts w:cstheme="minorHAnsi"/>
              </w:rPr>
              <w:t>Domain or workgroup name.</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Computer: Id</w:t>
            </w:r>
          </w:p>
        </w:tc>
        <w:tc>
          <w:tcPr>
            <w:tcW w:w="3530" w:type="dxa"/>
          </w:tcPr>
          <w:p w:rsidR="00BE1135" w:rsidRPr="00BE1135" w:rsidRDefault="00BE1135" w:rsidP="00725BF7">
            <w:pPr>
              <w:rPr>
                <w:rFonts w:cstheme="minorHAnsi"/>
              </w:rPr>
            </w:pPr>
            <w:r w:rsidRPr="00BE1135">
              <w:rPr>
                <w:rFonts w:cstheme="minorHAnsi"/>
              </w:rPr>
              <w:t>Unique ID that represents a computer assigned by the VAMT.</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MacAddresses</w:t>
            </w:r>
          </w:p>
        </w:tc>
        <w:tc>
          <w:tcPr>
            <w:tcW w:w="3530" w:type="dxa"/>
          </w:tcPr>
          <w:p w:rsidR="00BE1135" w:rsidRPr="00BE1135" w:rsidRDefault="00BE1135" w:rsidP="00725BF7">
            <w:pPr>
              <w:rPr>
                <w:rFonts w:cstheme="minorHAnsi"/>
              </w:rPr>
            </w:pPr>
            <w:r w:rsidRPr="00BE1135">
              <w:rPr>
                <w:rFonts w:cstheme="minorHAnsi"/>
              </w:rPr>
              <w:t>Parent XML tag that includes the list of MAC addresses.</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MacAddress</w:t>
            </w:r>
          </w:p>
        </w:tc>
        <w:tc>
          <w:tcPr>
            <w:tcW w:w="3530" w:type="dxa"/>
          </w:tcPr>
          <w:p w:rsidR="00BE1135" w:rsidRPr="00BE1135" w:rsidRDefault="00BE1135" w:rsidP="00725BF7">
            <w:pPr>
              <w:rPr>
                <w:rFonts w:cstheme="minorHAnsi"/>
              </w:rPr>
            </w:pPr>
            <w:r w:rsidRPr="00BE1135">
              <w:rPr>
                <w:rFonts w:cstheme="minorHAnsi"/>
              </w:rPr>
              <w:t>Computer Network MAC Address.</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Products</w:t>
            </w:r>
          </w:p>
        </w:tc>
        <w:tc>
          <w:tcPr>
            <w:tcW w:w="3530" w:type="dxa"/>
          </w:tcPr>
          <w:p w:rsidR="00BE1135" w:rsidRPr="00BE1135" w:rsidRDefault="00BE1135" w:rsidP="00725BF7">
            <w:pPr>
              <w:rPr>
                <w:rFonts w:cstheme="minorHAnsi"/>
              </w:rPr>
            </w:pPr>
            <w:r w:rsidRPr="00BE1135">
              <w:rPr>
                <w:rFonts w:cstheme="minorHAnsi"/>
              </w:rPr>
              <w:t xml:space="preserve">Parent XML tag that includes the list </w:t>
            </w:r>
            <w:r w:rsidRPr="00BE1135">
              <w:rPr>
                <w:rFonts w:cstheme="minorHAnsi"/>
              </w:rPr>
              <w:lastRenderedPageBreak/>
              <w:t>of products.</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lastRenderedPageBreak/>
              <w:t>Product</w:t>
            </w:r>
          </w:p>
        </w:tc>
        <w:tc>
          <w:tcPr>
            <w:tcW w:w="3530" w:type="dxa"/>
          </w:tcPr>
          <w:p w:rsidR="00BE1135" w:rsidRPr="00BE1135" w:rsidRDefault="00BE1135" w:rsidP="00725BF7">
            <w:pPr>
              <w:rPr>
                <w:rFonts w:cstheme="minorHAnsi"/>
              </w:rPr>
            </w:pPr>
            <w:r w:rsidRPr="00BE1135">
              <w:rPr>
                <w:rFonts w:cstheme="minorHAnsi"/>
              </w:rPr>
              <w:t>Parent XML tag that includes all information for an installed product.</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Sku: Id</w:t>
            </w:r>
          </w:p>
        </w:tc>
        <w:tc>
          <w:tcPr>
            <w:tcW w:w="3530" w:type="dxa"/>
          </w:tcPr>
          <w:p w:rsidR="00BE1135" w:rsidRPr="00BE1135" w:rsidRDefault="00BE1135" w:rsidP="00725BF7">
            <w:pPr>
              <w:rPr>
                <w:rFonts w:cstheme="minorHAnsi"/>
              </w:rPr>
            </w:pPr>
            <w:r w:rsidRPr="00BE1135">
              <w:rPr>
                <w:rFonts w:cstheme="minorHAnsi"/>
              </w:rPr>
              <w:t>GUID that identifies the channel and edition of the product.</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Sku: Name</w:t>
            </w:r>
          </w:p>
        </w:tc>
        <w:tc>
          <w:tcPr>
            <w:tcW w:w="3530" w:type="dxa"/>
          </w:tcPr>
          <w:p w:rsidR="00BE1135" w:rsidRPr="00BE1135" w:rsidRDefault="00BE1135" w:rsidP="00725BF7">
            <w:pPr>
              <w:rPr>
                <w:rFonts w:cstheme="minorHAnsi"/>
              </w:rPr>
            </w:pPr>
            <w:r w:rsidRPr="00BE1135">
              <w:rPr>
                <w:rFonts w:cstheme="minorHAnsi"/>
              </w:rPr>
              <w:t>Name of the product.</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Sku: ApplicationId</w:t>
            </w:r>
          </w:p>
        </w:tc>
        <w:tc>
          <w:tcPr>
            <w:tcW w:w="3530" w:type="dxa"/>
          </w:tcPr>
          <w:p w:rsidR="00BE1135" w:rsidRPr="00BE1135" w:rsidRDefault="00BE1135" w:rsidP="00725BF7">
            <w:pPr>
              <w:rPr>
                <w:rFonts w:cstheme="minorHAnsi"/>
              </w:rPr>
            </w:pPr>
            <w:r w:rsidRPr="00BE1135">
              <w:rPr>
                <w:rFonts w:cstheme="minorHAnsi"/>
              </w:rPr>
              <w:t>GUID that identifies the license application ID.</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Sku: Description</w:t>
            </w:r>
          </w:p>
        </w:tc>
        <w:tc>
          <w:tcPr>
            <w:tcW w:w="3530" w:type="dxa"/>
          </w:tcPr>
          <w:p w:rsidR="00BE1135" w:rsidRPr="00BE1135" w:rsidRDefault="00BE1135" w:rsidP="00725BF7">
            <w:pPr>
              <w:rPr>
                <w:rFonts w:cstheme="minorHAnsi"/>
              </w:rPr>
            </w:pPr>
            <w:r w:rsidRPr="00BE1135">
              <w:rPr>
                <w:rFonts w:cstheme="minorHAnsi"/>
              </w:rPr>
              <w:t>Channel and edition information of the product.</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LicenseInfo: LicenseStatus</w:t>
            </w:r>
          </w:p>
        </w:tc>
        <w:tc>
          <w:tcPr>
            <w:tcW w:w="3530" w:type="dxa"/>
          </w:tcPr>
          <w:p w:rsidR="00BE1135" w:rsidRPr="00BE1135" w:rsidRDefault="00BE1135" w:rsidP="00725BF7">
            <w:pPr>
              <w:rPr>
                <w:rFonts w:cstheme="minorHAnsi"/>
              </w:rPr>
            </w:pPr>
            <w:r w:rsidRPr="00BE1135">
              <w:rPr>
                <w:rFonts w:cstheme="minorHAnsi"/>
              </w:rPr>
              <w:t>The licensing status of the product.</w:t>
            </w:r>
          </w:p>
        </w:tc>
        <w:tc>
          <w:tcPr>
            <w:tcW w:w="2426" w:type="dxa"/>
          </w:tcPr>
          <w:p w:rsidR="00BE1135" w:rsidRPr="00BE1135" w:rsidRDefault="00BE1135" w:rsidP="00725BF7">
            <w:pPr>
              <w:rPr>
                <w:rFonts w:cstheme="minorHAnsi"/>
              </w:rPr>
            </w:pPr>
            <w:r w:rsidRPr="00BE1135">
              <w:rPr>
                <w:rFonts w:cstheme="minorHAnsi"/>
              </w:rPr>
              <w:t>X (Value will be “None”)</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LicenseInfo: LicenseStatusReason</w:t>
            </w:r>
          </w:p>
        </w:tc>
        <w:tc>
          <w:tcPr>
            <w:tcW w:w="3530" w:type="dxa"/>
          </w:tcPr>
          <w:p w:rsidR="00BE1135" w:rsidRPr="00BE1135" w:rsidRDefault="00BE1135" w:rsidP="00725BF7">
            <w:pPr>
              <w:rPr>
                <w:rFonts w:cstheme="minorHAnsi"/>
              </w:rPr>
            </w:pPr>
            <w:r w:rsidRPr="00BE1135">
              <w:rPr>
                <w:rFonts w:cstheme="minorHAnsi"/>
              </w:rPr>
              <w:t>Result code of that last action that the VAMT has performed for this product.</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LicenseInfo: GracePeriodRemaining</w:t>
            </w:r>
          </w:p>
        </w:tc>
        <w:tc>
          <w:tcPr>
            <w:tcW w:w="3530" w:type="dxa"/>
          </w:tcPr>
          <w:p w:rsidR="00BE1135" w:rsidRPr="00BE1135" w:rsidRDefault="00BE1135" w:rsidP="00725BF7">
            <w:pPr>
              <w:rPr>
                <w:rFonts w:cstheme="minorHAnsi"/>
              </w:rPr>
            </w:pPr>
            <w:r w:rsidRPr="00BE1135">
              <w:rPr>
                <w:rFonts w:cstheme="minorHAnsi"/>
              </w:rPr>
              <w:t>The remaining grace period, in minutes.</w:t>
            </w:r>
          </w:p>
        </w:tc>
        <w:tc>
          <w:tcPr>
            <w:tcW w:w="2426" w:type="dxa"/>
          </w:tcPr>
          <w:p w:rsidR="00BE1135" w:rsidRPr="00BE1135" w:rsidRDefault="00BE1135" w:rsidP="00725BF7">
            <w:pPr>
              <w:rPr>
                <w:rFonts w:cstheme="minorHAnsi"/>
              </w:rPr>
            </w:pPr>
            <w:r w:rsidRPr="00BE1135">
              <w:rPr>
                <w:rFonts w:cstheme="minorHAnsi"/>
              </w:rPr>
              <w:t>X (Value will be “None”)</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LicenseInfo: GenuineStatus</w:t>
            </w:r>
          </w:p>
        </w:tc>
        <w:tc>
          <w:tcPr>
            <w:tcW w:w="3530" w:type="dxa"/>
          </w:tcPr>
          <w:p w:rsidR="00BE1135" w:rsidRPr="00BE1135" w:rsidRDefault="00BE1135" w:rsidP="00725BF7">
            <w:pPr>
              <w:rPr>
                <w:rFonts w:cstheme="minorHAnsi"/>
              </w:rPr>
            </w:pPr>
            <w:r w:rsidRPr="00BE1135">
              <w:rPr>
                <w:rFonts w:cstheme="minorHAnsi"/>
              </w:rPr>
              <w:t>The status returned by Windows Genuine Advantage or Office Genuine Advantage server after validation.</w:t>
            </w:r>
          </w:p>
        </w:tc>
        <w:tc>
          <w:tcPr>
            <w:tcW w:w="2426" w:type="dxa"/>
          </w:tcPr>
          <w:p w:rsidR="00BE1135" w:rsidRPr="00BE1135" w:rsidRDefault="00BE1135" w:rsidP="00725BF7">
            <w:pPr>
              <w:rPr>
                <w:rFonts w:cstheme="minorHAnsi"/>
              </w:rPr>
            </w:pPr>
            <w:r w:rsidRPr="00BE1135">
              <w:rPr>
                <w:rFonts w:cstheme="minorHAnsi"/>
              </w:rPr>
              <w:t>X (Value will be “None”)</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LicenseInfo: TokenEnabled</w:t>
            </w:r>
          </w:p>
        </w:tc>
        <w:tc>
          <w:tcPr>
            <w:tcW w:w="3530" w:type="dxa"/>
          </w:tcPr>
          <w:p w:rsidR="00BE1135" w:rsidRPr="00BE1135" w:rsidRDefault="00BE1135" w:rsidP="00725BF7">
            <w:pPr>
              <w:rPr>
                <w:rFonts w:cstheme="minorHAnsi"/>
              </w:rPr>
            </w:pPr>
            <w:r w:rsidRPr="00BE1135">
              <w:rPr>
                <w:rFonts w:cstheme="minorHAnsi"/>
              </w:rPr>
              <w:t>Reserved;</w:t>
            </w:r>
            <w:r w:rsidR="00CA4DEE">
              <w:rPr>
                <w:rFonts w:cstheme="minorHAnsi"/>
              </w:rPr>
              <w:t xml:space="preserve"> </w:t>
            </w:r>
            <w:r w:rsidRPr="00BE1135">
              <w:rPr>
                <w:rFonts w:cstheme="minorHAnsi"/>
              </w:rPr>
              <w:t>set to 0</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LicenseInfo: LicenseIsAddon</w:t>
            </w:r>
          </w:p>
        </w:tc>
        <w:tc>
          <w:tcPr>
            <w:tcW w:w="3530" w:type="dxa"/>
          </w:tcPr>
          <w:p w:rsidR="00BE1135" w:rsidRPr="00BE1135" w:rsidRDefault="00BE1135" w:rsidP="00725BF7">
            <w:pPr>
              <w:rPr>
                <w:rFonts w:cstheme="minorHAnsi"/>
              </w:rPr>
            </w:pPr>
            <w:r w:rsidRPr="00BE1135">
              <w:rPr>
                <w:rFonts w:cstheme="minorHAnsi"/>
              </w:rPr>
              <w:t>Indicates if the product has an add-on license.</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Version</w:t>
            </w:r>
          </w:p>
        </w:tc>
        <w:tc>
          <w:tcPr>
            <w:tcW w:w="3530" w:type="dxa"/>
          </w:tcPr>
          <w:p w:rsidR="00BE1135" w:rsidRPr="00BE1135" w:rsidRDefault="00BE1135" w:rsidP="00725BF7">
            <w:pPr>
              <w:rPr>
                <w:rFonts w:cstheme="minorHAnsi"/>
              </w:rPr>
            </w:pPr>
            <w:r w:rsidRPr="00BE1135">
              <w:rPr>
                <w:rFonts w:cstheme="minorHAnsi"/>
              </w:rPr>
              <w:t>The version of the product.</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PartialProductKey</w:t>
            </w:r>
          </w:p>
        </w:tc>
        <w:tc>
          <w:tcPr>
            <w:tcW w:w="3530" w:type="dxa"/>
          </w:tcPr>
          <w:p w:rsidR="00BE1135" w:rsidRPr="00BE1135" w:rsidRDefault="00BE1135" w:rsidP="00725BF7">
            <w:pPr>
              <w:rPr>
                <w:rFonts w:cstheme="minorHAnsi"/>
              </w:rPr>
            </w:pPr>
            <w:r w:rsidRPr="00BE1135">
              <w:rPr>
                <w:rFonts w:cstheme="minorHAnsi"/>
              </w:rPr>
              <w:t>Last five characters of the installed product key. Returns null if a product key is not installed.</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ProductKeyId</w:t>
            </w:r>
          </w:p>
        </w:tc>
        <w:tc>
          <w:tcPr>
            <w:tcW w:w="3530" w:type="dxa"/>
          </w:tcPr>
          <w:p w:rsidR="00BE1135" w:rsidRPr="00BE1135" w:rsidRDefault="00BE1135" w:rsidP="00725BF7">
            <w:pPr>
              <w:rPr>
                <w:rFonts w:cstheme="minorHAnsi"/>
              </w:rPr>
            </w:pPr>
            <w:r w:rsidRPr="00BE1135">
              <w:rPr>
                <w:rFonts w:cstheme="minorHAnsi"/>
              </w:rPr>
              <w:t>Digital representation of the 25-character product key for the installed product.</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KeyType</w:t>
            </w:r>
          </w:p>
        </w:tc>
        <w:tc>
          <w:tcPr>
            <w:tcW w:w="3530" w:type="dxa"/>
          </w:tcPr>
          <w:p w:rsidR="00BE1135" w:rsidRPr="00BE1135" w:rsidRDefault="00BE1135" w:rsidP="00725BF7">
            <w:pPr>
              <w:rPr>
                <w:rFonts w:cstheme="minorHAnsi"/>
              </w:rPr>
            </w:pPr>
            <w:r w:rsidRPr="00BE1135">
              <w:rPr>
                <w:rFonts w:cstheme="minorHAnsi"/>
              </w:rPr>
              <w:t>The type of the product key.</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InstallationId</w:t>
            </w:r>
          </w:p>
        </w:tc>
        <w:tc>
          <w:tcPr>
            <w:tcW w:w="3530" w:type="dxa"/>
          </w:tcPr>
          <w:p w:rsidR="00BE1135" w:rsidRPr="00BE1135" w:rsidRDefault="00BE1135" w:rsidP="00725BF7">
            <w:pPr>
              <w:rPr>
                <w:rFonts w:cstheme="minorHAnsi"/>
              </w:rPr>
            </w:pPr>
            <w:r w:rsidRPr="00BE1135">
              <w:rPr>
                <w:rFonts w:cstheme="minorHAnsi"/>
              </w:rPr>
              <w:t>The Installation ID (IID) retrieved when a retail product key, a KMS host product key, a MAK, or a certain type of OEM product key is installed for a product.</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ConfirmationID</w:t>
            </w:r>
          </w:p>
        </w:tc>
        <w:tc>
          <w:tcPr>
            <w:tcW w:w="3530" w:type="dxa"/>
          </w:tcPr>
          <w:p w:rsidR="00BE1135" w:rsidRPr="00BE1135" w:rsidRDefault="00BE1135" w:rsidP="00725BF7">
            <w:pPr>
              <w:rPr>
                <w:rFonts w:cstheme="minorHAnsi"/>
              </w:rPr>
            </w:pPr>
            <w:r w:rsidRPr="00BE1135">
              <w:rPr>
                <w:rFonts w:cstheme="minorHAnsi"/>
              </w:rPr>
              <w:t>The Confirmation ID (CID) pending installation for a given product.</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LastErrorCode</w:t>
            </w:r>
          </w:p>
        </w:tc>
        <w:tc>
          <w:tcPr>
            <w:tcW w:w="3530" w:type="dxa"/>
          </w:tcPr>
          <w:p w:rsidR="00BE1135" w:rsidRPr="00BE1135" w:rsidRDefault="00BE1135" w:rsidP="00725BF7">
            <w:pPr>
              <w:rPr>
                <w:rFonts w:cstheme="minorHAnsi"/>
              </w:rPr>
            </w:pPr>
            <w:r w:rsidRPr="00BE1135">
              <w:rPr>
                <w:rFonts w:cstheme="minorHAnsi"/>
              </w:rPr>
              <w:t>The error code of the last action performed on a product.</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LastActionState</w:t>
            </w:r>
          </w:p>
        </w:tc>
        <w:tc>
          <w:tcPr>
            <w:tcW w:w="3530" w:type="dxa"/>
          </w:tcPr>
          <w:p w:rsidR="00BE1135" w:rsidRPr="00BE1135" w:rsidRDefault="00BE1135" w:rsidP="00725BF7">
            <w:pPr>
              <w:rPr>
                <w:rFonts w:cstheme="minorHAnsi"/>
              </w:rPr>
            </w:pPr>
            <w:r w:rsidRPr="00BE1135">
              <w:rPr>
                <w:rFonts w:cstheme="minorHAnsi"/>
              </w:rPr>
              <w:t>The status of the last action performed on a product</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LastUpdateTime</w:t>
            </w:r>
          </w:p>
        </w:tc>
        <w:tc>
          <w:tcPr>
            <w:tcW w:w="3530" w:type="dxa"/>
          </w:tcPr>
          <w:p w:rsidR="00BE1135" w:rsidRPr="00BE1135" w:rsidRDefault="00BE1135" w:rsidP="00725BF7">
            <w:pPr>
              <w:rPr>
                <w:rFonts w:cstheme="minorHAnsi"/>
              </w:rPr>
            </w:pPr>
            <w:r w:rsidRPr="00BE1135">
              <w:rPr>
                <w:rFonts w:cstheme="minorHAnsi"/>
              </w:rPr>
              <w:t>Time when the last action was performed for a product.</w:t>
            </w:r>
          </w:p>
        </w:tc>
        <w:tc>
          <w:tcPr>
            <w:tcW w:w="2426" w:type="dxa"/>
          </w:tcPr>
          <w:p w:rsidR="00BE1135" w:rsidRPr="00BE1135" w:rsidRDefault="00BE1135" w:rsidP="00725BF7">
            <w:pPr>
              <w:rPr>
                <w:rFonts w:cstheme="minorHAnsi"/>
              </w:rPr>
            </w:pPr>
          </w:p>
        </w:tc>
      </w:tr>
      <w:tr w:rsidR="00BE1135" w:rsidRPr="00BE1135" w:rsidTr="00CA4DEE">
        <w:tc>
          <w:tcPr>
            <w:tcW w:w="3576" w:type="dxa"/>
          </w:tcPr>
          <w:p w:rsidR="00BE1135" w:rsidRPr="00BE1135" w:rsidRDefault="00BE1135" w:rsidP="00725BF7">
            <w:pPr>
              <w:rPr>
                <w:rFonts w:cstheme="minorHAnsi"/>
              </w:rPr>
            </w:pPr>
            <w:r w:rsidRPr="00BE1135">
              <w:rPr>
                <w:rFonts w:cstheme="minorHAnsi"/>
              </w:rPr>
              <w:lastRenderedPageBreak/>
              <w:t>ProductKeys</w:t>
            </w:r>
          </w:p>
        </w:tc>
        <w:tc>
          <w:tcPr>
            <w:tcW w:w="3530" w:type="dxa"/>
          </w:tcPr>
          <w:p w:rsidR="00BE1135" w:rsidRPr="00BE1135" w:rsidRDefault="00BE1135" w:rsidP="00725BF7">
            <w:pPr>
              <w:rPr>
                <w:rFonts w:cstheme="minorHAnsi"/>
              </w:rPr>
            </w:pPr>
            <w:r w:rsidRPr="00BE1135">
              <w:rPr>
                <w:rFonts w:cstheme="minorHAnsi"/>
              </w:rPr>
              <w:t>Parent XML tag that includes the list of product keys.</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ProductKey: Value</w:t>
            </w:r>
          </w:p>
        </w:tc>
        <w:tc>
          <w:tcPr>
            <w:tcW w:w="3530" w:type="dxa"/>
          </w:tcPr>
          <w:p w:rsidR="00BE1135" w:rsidRPr="00BE1135" w:rsidRDefault="00BE1135" w:rsidP="00725BF7">
            <w:pPr>
              <w:rPr>
                <w:rFonts w:cstheme="minorHAnsi"/>
              </w:rPr>
            </w:pPr>
            <w:r w:rsidRPr="00BE1135">
              <w:rPr>
                <w:rFonts w:cstheme="minorHAnsi"/>
              </w:rPr>
              <w:t>The 25-character product key.</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ProductKey: Description</w:t>
            </w:r>
          </w:p>
        </w:tc>
        <w:tc>
          <w:tcPr>
            <w:tcW w:w="3530" w:type="dxa"/>
          </w:tcPr>
          <w:p w:rsidR="00BE1135" w:rsidRPr="00BE1135" w:rsidRDefault="00BE1135" w:rsidP="00725BF7">
            <w:pPr>
              <w:rPr>
                <w:rFonts w:cstheme="minorHAnsi"/>
              </w:rPr>
            </w:pPr>
            <w:r w:rsidRPr="00BE1135">
              <w:rPr>
                <w:rFonts w:cstheme="minorHAnsi"/>
              </w:rPr>
              <w:t>The description of the 25-character product key, as defined by Microsoft.</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ProductKey: RemainingActivationCount</w:t>
            </w:r>
          </w:p>
        </w:tc>
        <w:tc>
          <w:tcPr>
            <w:tcW w:w="3530" w:type="dxa"/>
          </w:tcPr>
          <w:p w:rsidR="00BE1135" w:rsidRPr="00BE1135" w:rsidRDefault="00BE1135" w:rsidP="00725BF7">
            <w:pPr>
              <w:rPr>
                <w:rFonts w:cstheme="minorHAnsi"/>
              </w:rPr>
            </w:pPr>
            <w:r w:rsidRPr="00BE1135">
              <w:rPr>
                <w:rFonts w:cstheme="minorHAnsi"/>
              </w:rPr>
              <w:t>The remaining activation count for the 25-character product key returned by the Microsoft online activation server.</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ProductKey: SupportedEditions</w:t>
            </w:r>
          </w:p>
        </w:tc>
        <w:tc>
          <w:tcPr>
            <w:tcW w:w="3530" w:type="dxa"/>
          </w:tcPr>
          <w:p w:rsidR="00BE1135" w:rsidRPr="00BE1135" w:rsidRDefault="00BE1135" w:rsidP="00725BF7">
            <w:pPr>
              <w:rPr>
                <w:rFonts w:cstheme="minorHAnsi"/>
              </w:rPr>
            </w:pPr>
            <w:r w:rsidRPr="00BE1135">
              <w:rPr>
                <w:rFonts w:cstheme="minorHAnsi"/>
              </w:rPr>
              <w:t>The supported editions for this 25-character product key.</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ProductKey: Type</w:t>
            </w:r>
          </w:p>
        </w:tc>
        <w:tc>
          <w:tcPr>
            <w:tcW w:w="3530" w:type="dxa"/>
          </w:tcPr>
          <w:p w:rsidR="00BE1135" w:rsidRPr="00BE1135" w:rsidRDefault="00BE1135" w:rsidP="00725BF7">
            <w:pPr>
              <w:rPr>
                <w:rFonts w:cstheme="minorHAnsi"/>
              </w:rPr>
            </w:pPr>
            <w:r w:rsidRPr="00BE1135">
              <w:rPr>
                <w:rFonts w:cstheme="minorHAnsi"/>
              </w:rPr>
              <w:t>The type of 25-character product key.</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ProductKey: Id</w:t>
            </w:r>
          </w:p>
        </w:tc>
        <w:tc>
          <w:tcPr>
            <w:tcW w:w="3530" w:type="dxa"/>
          </w:tcPr>
          <w:p w:rsidR="00BE1135" w:rsidRPr="00BE1135" w:rsidRDefault="00BE1135" w:rsidP="00725BF7">
            <w:pPr>
              <w:rPr>
                <w:rFonts w:cstheme="minorHAnsi"/>
              </w:rPr>
            </w:pPr>
            <w:r w:rsidRPr="00BE1135">
              <w:rPr>
                <w:rFonts w:cstheme="minorHAnsi"/>
              </w:rPr>
              <w:t>Digital representation of the 25-character product key.</w:t>
            </w:r>
          </w:p>
        </w:tc>
        <w:tc>
          <w:tcPr>
            <w:tcW w:w="2426" w:type="dxa"/>
          </w:tcPr>
          <w:p w:rsidR="00BE1135" w:rsidRPr="00BE1135" w:rsidRDefault="00BE1135" w:rsidP="00725BF7">
            <w:pPr>
              <w:rPr>
                <w:rFonts w:cstheme="minorHAnsi"/>
              </w:rPr>
            </w:pPr>
            <w:r w:rsidRPr="00BE1135">
              <w:rPr>
                <w:rFonts w:cstheme="minorHAnsi"/>
              </w:rPr>
              <w:t>X</w:t>
            </w:r>
          </w:p>
        </w:tc>
      </w:tr>
      <w:tr w:rsidR="00BE1135" w:rsidRPr="00BE1135" w:rsidTr="00CA4DEE">
        <w:tc>
          <w:tcPr>
            <w:tcW w:w="3576" w:type="dxa"/>
          </w:tcPr>
          <w:p w:rsidR="00BE1135" w:rsidRPr="00BE1135" w:rsidRDefault="00BE1135" w:rsidP="00725BF7">
            <w:pPr>
              <w:rPr>
                <w:rFonts w:cstheme="minorHAnsi"/>
              </w:rPr>
            </w:pPr>
            <w:r w:rsidRPr="00BE1135">
              <w:rPr>
                <w:rFonts w:cstheme="minorHAnsi"/>
              </w:rPr>
              <w:t>ProductKey: Remarks</w:t>
            </w:r>
          </w:p>
        </w:tc>
        <w:tc>
          <w:tcPr>
            <w:tcW w:w="3530" w:type="dxa"/>
          </w:tcPr>
          <w:p w:rsidR="00BE1135" w:rsidRPr="00BE1135" w:rsidRDefault="00BE1135" w:rsidP="00725BF7">
            <w:pPr>
              <w:rPr>
                <w:rFonts w:cstheme="minorHAnsi"/>
              </w:rPr>
            </w:pPr>
            <w:r w:rsidRPr="00BE1135">
              <w:rPr>
                <w:rFonts w:cstheme="minorHAnsi"/>
              </w:rPr>
              <w:t>The remarks on this 25-character product key entered by the user.</w:t>
            </w:r>
          </w:p>
        </w:tc>
        <w:tc>
          <w:tcPr>
            <w:tcW w:w="2426" w:type="dxa"/>
          </w:tcPr>
          <w:p w:rsidR="00BE1135" w:rsidRPr="00BE1135" w:rsidRDefault="00BE1135" w:rsidP="00725BF7">
            <w:pPr>
              <w:rPr>
                <w:rFonts w:cstheme="minorHAnsi"/>
              </w:rPr>
            </w:pPr>
            <w:r w:rsidRPr="00BE1135">
              <w:rPr>
                <w:rFonts w:cstheme="minorHAnsi"/>
              </w:rPr>
              <w:t>X</w:t>
            </w:r>
          </w:p>
        </w:tc>
      </w:tr>
    </w:tbl>
    <w:p w:rsidR="00BE1135" w:rsidRPr="00BE1135" w:rsidRDefault="00BE1135" w:rsidP="0051390F">
      <w:pPr>
        <w:spacing w:after="120"/>
        <w:rPr>
          <w:rFonts w:cstheme="minorHAnsi"/>
        </w:rPr>
      </w:pPr>
    </w:p>
    <w:p w:rsidR="00C40BFF" w:rsidRDefault="00C40BFF" w:rsidP="00C40BFF">
      <w:pPr>
        <w:pStyle w:val="Heading1"/>
      </w:pPr>
      <w:bookmarkStart w:id="9" w:name="_Toc254254051"/>
      <w:bookmarkStart w:id="10" w:name="_Toc256690983"/>
      <w:bookmarkStart w:id="11" w:name="_Toc257201374"/>
      <w:r>
        <w:t xml:space="preserve">More </w:t>
      </w:r>
      <w:r w:rsidRPr="0050173A">
        <w:rPr>
          <w:i/>
        </w:rPr>
        <w:t>Using VAMT 2.0</w:t>
      </w:r>
      <w:r>
        <w:t xml:space="preserve"> </w:t>
      </w:r>
      <w:bookmarkEnd w:id="9"/>
      <w:r w:rsidR="00F31669">
        <w:t>Guidance</w:t>
      </w:r>
      <w:bookmarkEnd w:id="10"/>
      <w:bookmarkEnd w:id="11"/>
    </w:p>
    <w:p w:rsidR="00C40BFF" w:rsidRDefault="00C40BFF" w:rsidP="00C40BFF">
      <w:r>
        <w:t xml:space="preserve">Check out the other </w:t>
      </w:r>
      <w:hyperlink r:id="rId14" w:history="1">
        <w:r w:rsidRPr="00F31669">
          <w:rPr>
            <w:rStyle w:val="Hyperlink"/>
            <w:rFonts w:cstheme="minorBidi"/>
            <w:i/>
          </w:rPr>
          <w:t>Using VAMT 2.0</w:t>
        </w:r>
      </w:hyperlink>
      <w:r w:rsidR="00F31669">
        <w:t xml:space="preserve"> documents</w:t>
      </w:r>
      <w:r>
        <w:t>:</w:t>
      </w:r>
    </w:p>
    <w:p w:rsidR="00C40BFF" w:rsidRDefault="00C40BFF" w:rsidP="00C40BFF">
      <w:pPr>
        <w:pStyle w:val="ListParagraph"/>
        <w:numPr>
          <w:ilvl w:val="0"/>
          <w:numId w:val="2"/>
        </w:numPr>
      </w:pPr>
      <w:r>
        <w:t>Manage Product Keys Using VAMT 2.0</w:t>
      </w:r>
    </w:p>
    <w:p w:rsidR="00C40BFF" w:rsidRDefault="00C40BFF" w:rsidP="00C40BFF">
      <w:pPr>
        <w:pStyle w:val="ListParagraph"/>
        <w:numPr>
          <w:ilvl w:val="0"/>
          <w:numId w:val="2"/>
        </w:numPr>
      </w:pPr>
      <w:r>
        <w:t>Product Activation Using VAMT 2.0</w:t>
      </w:r>
    </w:p>
    <w:p w:rsidR="00505BC5" w:rsidRPr="00C40BFF" w:rsidRDefault="00C40BFF" w:rsidP="00C40BFF">
      <w:pPr>
        <w:pStyle w:val="ListParagraph"/>
        <w:numPr>
          <w:ilvl w:val="0"/>
          <w:numId w:val="2"/>
        </w:numPr>
        <w:spacing w:after="120"/>
        <w:rPr>
          <w:rFonts w:asciiTheme="minorHAnsi" w:hAnsiTheme="minorHAnsi" w:cstheme="minorHAnsi"/>
        </w:rPr>
      </w:pPr>
      <w:r w:rsidRPr="003D511F">
        <w:t>Activation in Disconnected Environments Using VAMT 2.0</w:t>
      </w:r>
    </w:p>
    <w:p w:rsidR="00505BC5" w:rsidRPr="00BE1135" w:rsidRDefault="00F31669" w:rsidP="0051390F">
      <w:pPr>
        <w:spacing w:after="120"/>
        <w:rPr>
          <w:rFonts w:cstheme="minorHAnsi"/>
        </w:rPr>
      </w:pPr>
      <w:r>
        <w:t xml:space="preserve">You can watch video demos of several VAMT tasks at </w:t>
      </w:r>
      <w:hyperlink r:id="rId15" w:history="1">
        <w:r w:rsidRPr="00E932A0">
          <w:rPr>
            <w:rStyle w:val="Hyperlink"/>
          </w:rPr>
          <w:t>www.technet.com/volumeactivation</w:t>
        </w:r>
      </w:hyperlink>
      <w:r>
        <w:t>.</w:t>
      </w:r>
      <w:r>
        <w:rPr>
          <w:rStyle w:val="FootnoteReference"/>
        </w:rPr>
        <w:footnoteReference w:id="1"/>
      </w:r>
      <w:r>
        <w:t xml:space="preserve"> The Helpfile in the </w:t>
      </w:r>
      <w:hyperlink r:id="rId16" w:history="1">
        <w:r w:rsidRPr="00975FD7">
          <w:rPr>
            <w:rStyle w:val="Hyperlink"/>
          </w:rPr>
          <w:t>VAMT 2.0 download</w:t>
        </w:r>
      </w:hyperlink>
      <w:r>
        <w:t xml:space="preserve"> has detailed information on how to perform many tasks using the tool. </w:t>
      </w:r>
    </w:p>
    <w:sectPr w:rsidR="00505BC5" w:rsidRPr="00BE1135" w:rsidSect="00D95281">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CCE" w:rsidRDefault="005C1CCE" w:rsidP="00D74CAF">
      <w:r>
        <w:separator/>
      </w:r>
    </w:p>
  </w:endnote>
  <w:endnote w:type="continuationSeparator" w:id="0">
    <w:p w:rsidR="005C1CCE" w:rsidRDefault="005C1CCE" w:rsidP="00D74C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AF" w:rsidRPr="002564F3" w:rsidRDefault="0070781F" w:rsidP="00D95281">
    <w:pPr>
      <w:pStyle w:val="Footer"/>
      <w:rPr>
        <w:rFonts w:ascii="Calibri" w:hAnsi="Calibri" w:cs="Calibri"/>
        <w:noProof/>
        <w:sz w:val="20"/>
      </w:rPr>
    </w:pPr>
    <w:r w:rsidRPr="002564F3">
      <w:rPr>
        <w:rFonts w:ascii="Calibri" w:hAnsi="Calibri" w:cs="Calibri"/>
        <w:sz w:val="20"/>
      </w:rPr>
      <w:t>Reporting Activation Information</w:t>
    </w:r>
    <w:r w:rsidR="00812593" w:rsidRPr="002564F3">
      <w:rPr>
        <w:rFonts w:ascii="Calibri" w:hAnsi="Calibri" w:cs="Calibri"/>
        <w:sz w:val="20"/>
      </w:rPr>
      <w:t xml:space="preserve"> Using VAMT 2.0 </w:t>
    </w:r>
    <w:r w:rsidR="00D74CAF" w:rsidRPr="002564F3">
      <w:rPr>
        <w:rFonts w:ascii="Calibri" w:hAnsi="Calibri" w:cs="Calibri"/>
        <w:sz w:val="20"/>
      </w:rPr>
      <w:ptab w:relativeTo="margin" w:alignment="right" w:leader="none"/>
    </w:r>
    <w:r w:rsidR="00D74CAF" w:rsidRPr="002564F3">
      <w:rPr>
        <w:rFonts w:ascii="Calibri" w:hAnsi="Calibri" w:cs="Calibri"/>
        <w:sz w:val="20"/>
      </w:rPr>
      <w:t xml:space="preserve">Page </w:t>
    </w:r>
    <w:r w:rsidR="00AE3E29" w:rsidRPr="002564F3">
      <w:rPr>
        <w:rFonts w:ascii="Calibri" w:hAnsi="Calibri" w:cs="Calibri"/>
        <w:sz w:val="20"/>
      </w:rPr>
      <w:fldChar w:fldCharType="begin"/>
    </w:r>
    <w:r w:rsidR="008F20CD" w:rsidRPr="002564F3">
      <w:rPr>
        <w:rFonts w:ascii="Calibri" w:hAnsi="Calibri" w:cs="Calibri"/>
        <w:sz w:val="20"/>
      </w:rPr>
      <w:instrText xml:space="preserve"> PAGE   \* MERGEFORMAT </w:instrText>
    </w:r>
    <w:r w:rsidR="00AE3E29" w:rsidRPr="002564F3">
      <w:rPr>
        <w:rFonts w:ascii="Calibri" w:hAnsi="Calibri" w:cs="Calibri"/>
        <w:sz w:val="20"/>
      </w:rPr>
      <w:fldChar w:fldCharType="separate"/>
    </w:r>
    <w:r w:rsidR="009A75C9">
      <w:rPr>
        <w:rFonts w:ascii="Calibri" w:hAnsi="Calibri" w:cs="Calibri"/>
        <w:noProof/>
        <w:sz w:val="20"/>
      </w:rPr>
      <w:t>1</w:t>
    </w:r>
    <w:r w:rsidR="00AE3E29" w:rsidRPr="002564F3">
      <w:rPr>
        <w:rFonts w:ascii="Calibri" w:hAnsi="Calibri" w:cs="Calibri"/>
        <w:noProof/>
        <w:sz w:val="20"/>
      </w:rPr>
      <w:fldChar w:fldCharType="end"/>
    </w:r>
  </w:p>
  <w:p w:rsidR="00812593" w:rsidRPr="002564F3" w:rsidRDefault="00812593" w:rsidP="00D95281">
    <w:pPr>
      <w:pStyle w:val="Footer"/>
      <w:rPr>
        <w:rFonts w:ascii="Calibri" w:hAnsi="Calibri" w:cs="Calibri"/>
        <w:sz w:val="20"/>
      </w:rPr>
    </w:pPr>
    <w:r w:rsidRPr="002564F3">
      <w:rPr>
        <w:rFonts w:ascii="Calibri" w:hAnsi="Calibri" w:cs="Calibri"/>
        <w:sz w:val="20"/>
      </w:rPr>
      <w:t>© 2010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CCE" w:rsidRDefault="005C1CCE" w:rsidP="00D74CAF">
      <w:r>
        <w:separator/>
      </w:r>
    </w:p>
  </w:footnote>
  <w:footnote w:type="continuationSeparator" w:id="0">
    <w:p w:rsidR="005C1CCE" w:rsidRDefault="005C1CCE" w:rsidP="00D74CAF">
      <w:r>
        <w:continuationSeparator/>
      </w:r>
    </w:p>
  </w:footnote>
  <w:footnote w:id="1">
    <w:p w:rsidR="00F31669" w:rsidRPr="000C7558" w:rsidRDefault="00F31669" w:rsidP="00F31669">
      <w:pPr>
        <w:pStyle w:val="FootnoteText"/>
        <w:rPr>
          <w:rFonts w:asciiTheme="minorHAnsi" w:hAnsiTheme="minorHAnsi" w:cstheme="minorHAnsi"/>
        </w:rPr>
      </w:pPr>
      <w:r w:rsidRPr="000C7558">
        <w:rPr>
          <w:rStyle w:val="FootnoteReference"/>
          <w:rFonts w:asciiTheme="minorHAnsi" w:hAnsiTheme="minorHAnsi" w:cstheme="minorHAnsi"/>
        </w:rPr>
        <w:footnoteRef/>
      </w:r>
      <w:r w:rsidRPr="000C7558">
        <w:rPr>
          <w:rFonts w:asciiTheme="minorHAnsi" w:hAnsiTheme="minorHAnsi" w:cstheme="minorHAnsi"/>
        </w:rPr>
        <w:t xml:space="preserve"> Several of these demos use VAMT 1.2 but the process is the same using VAMT 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6D29"/>
    <w:multiLevelType w:val="hybridMultilevel"/>
    <w:tmpl w:val="2244F57C"/>
    <w:lvl w:ilvl="0" w:tplc="25D85146">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3D70D5"/>
    <w:multiLevelType w:val="singleLevel"/>
    <w:tmpl w:val="C18CBD38"/>
    <w:lvl w:ilvl="0">
      <w:start w:val="1"/>
      <w:numFmt w:val="bullet"/>
      <w:lvlText w:val=""/>
      <w:lvlJc w:val="left"/>
      <w:pPr>
        <w:tabs>
          <w:tab w:val="num" w:pos="360"/>
        </w:tabs>
        <w:ind w:left="360" w:hanging="360"/>
      </w:pPr>
      <w:rPr>
        <w:rFonts w:ascii="Symbol" w:hAnsi="Symbol" w:hint="default"/>
      </w:rPr>
    </w:lvl>
  </w:abstractNum>
  <w:abstractNum w:abstractNumId="2">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00C01C9"/>
    <w:multiLevelType w:val="hybridMultilevel"/>
    <w:tmpl w:val="CFC8C23C"/>
    <w:lvl w:ilvl="0" w:tplc="25D85146">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5">
    <w:nsid w:val="71BB74F4"/>
    <w:multiLevelType w:val="singleLevel"/>
    <w:tmpl w:val="72C0C128"/>
    <w:lvl w:ilvl="0">
      <w:start w:val="1"/>
      <w:numFmt w:val="decimal"/>
      <w:lvlText w:val="%1."/>
      <w:lvlJc w:val="left"/>
      <w:pPr>
        <w:tabs>
          <w:tab w:val="num" w:pos="360"/>
        </w:tabs>
        <w:ind w:left="360" w:hanging="360"/>
      </w:pPr>
      <w:rPr>
        <w:rFonts w:hint="default"/>
      </w:rPr>
    </w:lvl>
  </w:abstractNum>
  <w:abstractNum w:abstractNumId="6">
    <w:nsid w:val="78C74F52"/>
    <w:multiLevelType w:val="hybridMultilevel"/>
    <w:tmpl w:val="827A0C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6"/>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4CAF"/>
    <w:rsid w:val="00020209"/>
    <w:rsid w:val="00027408"/>
    <w:rsid w:val="000A3596"/>
    <w:rsid w:val="000A6CB8"/>
    <w:rsid w:val="000D63E4"/>
    <w:rsid w:val="000E673F"/>
    <w:rsid w:val="000F0119"/>
    <w:rsid w:val="00114411"/>
    <w:rsid w:val="00127503"/>
    <w:rsid w:val="00132941"/>
    <w:rsid w:val="0019111C"/>
    <w:rsid w:val="00195987"/>
    <w:rsid w:val="001F7268"/>
    <w:rsid w:val="00231283"/>
    <w:rsid w:val="0023357B"/>
    <w:rsid w:val="00234000"/>
    <w:rsid w:val="002564F3"/>
    <w:rsid w:val="00270AAB"/>
    <w:rsid w:val="002873A6"/>
    <w:rsid w:val="002A7415"/>
    <w:rsid w:val="002A78F3"/>
    <w:rsid w:val="002B04FE"/>
    <w:rsid w:val="002D099D"/>
    <w:rsid w:val="002E7484"/>
    <w:rsid w:val="00305386"/>
    <w:rsid w:val="00307278"/>
    <w:rsid w:val="003311FA"/>
    <w:rsid w:val="003338DA"/>
    <w:rsid w:val="00334591"/>
    <w:rsid w:val="0037572E"/>
    <w:rsid w:val="00387AE7"/>
    <w:rsid w:val="003A2904"/>
    <w:rsid w:val="003A4BF9"/>
    <w:rsid w:val="003C48B0"/>
    <w:rsid w:val="00443F0A"/>
    <w:rsid w:val="004464E5"/>
    <w:rsid w:val="004559A6"/>
    <w:rsid w:val="00457078"/>
    <w:rsid w:val="004634EE"/>
    <w:rsid w:val="004A1EEA"/>
    <w:rsid w:val="004B00BD"/>
    <w:rsid w:val="004C42CA"/>
    <w:rsid w:val="00505BC5"/>
    <w:rsid w:val="0051390F"/>
    <w:rsid w:val="005228C5"/>
    <w:rsid w:val="00523760"/>
    <w:rsid w:val="00536D4C"/>
    <w:rsid w:val="0056309B"/>
    <w:rsid w:val="005630A8"/>
    <w:rsid w:val="005B3EDE"/>
    <w:rsid w:val="005C1CCE"/>
    <w:rsid w:val="005C7488"/>
    <w:rsid w:val="005D3CE7"/>
    <w:rsid w:val="005D496C"/>
    <w:rsid w:val="005E50D1"/>
    <w:rsid w:val="0061734B"/>
    <w:rsid w:val="00636EDA"/>
    <w:rsid w:val="006374E4"/>
    <w:rsid w:val="006423ED"/>
    <w:rsid w:val="00642C05"/>
    <w:rsid w:val="00645C80"/>
    <w:rsid w:val="00660458"/>
    <w:rsid w:val="006636A2"/>
    <w:rsid w:val="00671B5C"/>
    <w:rsid w:val="00683BA0"/>
    <w:rsid w:val="006860CB"/>
    <w:rsid w:val="006B73D0"/>
    <w:rsid w:val="006C7EBE"/>
    <w:rsid w:val="00705D87"/>
    <w:rsid w:val="0070781F"/>
    <w:rsid w:val="007256DC"/>
    <w:rsid w:val="0073078C"/>
    <w:rsid w:val="00730A82"/>
    <w:rsid w:val="00781381"/>
    <w:rsid w:val="007828B3"/>
    <w:rsid w:val="0078357C"/>
    <w:rsid w:val="007F25AD"/>
    <w:rsid w:val="0081098B"/>
    <w:rsid w:val="00812593"/>
    <w:rsid w:val="008219E5"/>
    <w:rsid w:val="00826072"/>
    <w:rsid w:val="00851C78"/>
    <w:rsid w:val="008539EE"/>
    <w:rsid w:val="00885595"/>
    <w:rsid w:val="0088782F"/>
    <w:rsid w:val="008C3EB5"/>
    <w:rsid w:val="008E3205"/>
    <w:rsid w:val="008F20CD"/>
    <w:rsid w:val="00922595"/>
    <w:rsid w:val="00924BBA"/>
    <w:rsid w:val="0092587E"/>
    <w:rsid w:val="009277EF"/>
    <w:rsid w:val="00937CFE"/>
    <w:rsid w:val="00962BFB"/>
    <w:rsid w:val="00963520"/>
    <w:rsid w:val="0097571F"/>
    <w:rsid w:val="009821C8"/>
    <w:rsid w:val="00984612"/>
    <w:rsid w:val="009869F9"/>
    <w:rsid w:val="009A75C9"/>
    <w:rsid w:val="009C0FA3"/>
    <w:rsid w:val="009C6323"/>
    <w:rsid w:val="009C6BED"/>
    <w:rsid w:val="00A21B3E"/>
    <w:rsid w:val="00A41D94"/>
    <w:rsid w:val="00A47EC6"/>
    <w:rsid w:val="00A50429"/>
    <w:rsid w:val="00A726F2"/>
    <w:rsid w:val="00AA1FE0"/>
    <w:rsid w:val="00AB5A5E"/>
    <w:rsid w:val="00AC3B62"/>
    <w:rsid w:val="00AE02FE"/>
    <w:rsid w:val="00AE31F7"/>
    <w:rsid w:val="00AE3E29"/>
    <w:rsid w:val="00B214E0"/>
    <w:rsid w:val="00B335DD"/>
    <w:rsid w:val="00B354EB"/>
    <w:rsid w:val="00B35615"/>
    <w:rsid w:val="00B76671"/>
    <w:rsid w:val="00B931E9"/>
    <w:rsid w:val="00BC6BF0"/>
    <w:rsid w:val="00BD6471"/>
    <w:rsid w:val="00BE1135"/>
    <w:rsid w:val="00BF3D0D"/>
    <w:rsid w:val="00C10297"/>
    <w:rsid w:val="00C37481"/>
    <w:rsid w:val="00C40BFF"/>
    <w:rsid w:val="00C92F2B"/>
    <w:rsid w:val="00CA4DEE"/>
    <w:rsid w:val="00CA6307"/>
    <w:rsid w:val="00CC1BE6"/>
    <w:rsid w:val="00CC3DBC"/>
    <w:rsid w:val="00CD0DB3"/>
    <w:rsid w:val="00D11CAD"/>
    <w:rsid w:val="00D228B4"/>
    <w:rsid w:val="00D5090D"/>
    <w:rsid w:val="00D53420"/>
    <w:rsid w:val="00D54912"/>
    <w:rsid w:val="00D74CAF"/>
    <w:rsid w:val="00D86618"/>
    <w:rsid w:val="00D93379"/>
    <w:rsid w:val="00D95281"/>
    <w:rsid w:val="00DB573A"/>
    <w:rsid w:val="00DC29A1"/>
    <w:rsid w:val="00DE6537"/>
    <w:rsid w:val="00E00070"/>
    <w:rsid w:val="00E06679"/>
    <w:rsid w:val="00E10769"/>
    <w:rsid w:val="00E17650"/>
    <w:rsid w:val="00E35E5D"/>
    <w:rsid w:val="00E35F3B"/>
    <w:rsid w:val="00E52B11"/>
    <w:rsid w:val="00E54C87"/>
    <w:rsid w:val="00E6609C"/>
    <w:rsid w:val="00E67768"/>
    <w:rsid w:val="00E96390"/>
    <w:rsid w:val="00EF7558"/>
    <w:rsid w:val="00F0300E"/>
    <w:rsid w:val="00F2352E"/>
    <w:rsid w:val="00F258A0"/>
    <w:rsid w:val="00F30FCF"/>
    <w:rsid w:val="00F31669"/>
    <w:rsid w:val="00F8458B"/>
    <w:rsid w:val="00FA458F"/>
    <w:rsid w:val="00FD0C51"/>
    <w:rsid w:val="00FD3E85"/>
    <w:rsid w:val="00FD3E92"/>
    <w:rsid w:val="00FD525C"/>
    <w:rsid w:val="00FE0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D0"/>
  </w:style>
  <w:style w:type="paragraph" w:styleId="Heading1">
    <w:name w:val="heading 1"/>
    <w:basedOn w:val="Normal"/>
    <w:next w:val="Normal"/>
    <w:link w:val="Heading1Char"/>
    <w:uiPriority w:val="9"/>
    <w:qFormat/>
    <w:rsid w:val="00AC3B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60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CAF"/>
    <w:pPr>
      <w:tabs>
        <w:tab w:val="center" w:pos="4680"/>
        <w:tab w:val="right" w:pos="9360"/>
      </w:tabs>
    </w:pPr>
  </w:style>
  <w:style w:type="character" w:customStyle="1" w:styleId="HeaderChar">
    <w:name w:val="Header Char"/>
    <w:basedOn w:val="DefaultParagraphFont"/>
    <w:link w:val="Header"/>
    <w:uiPriority w:val="99"/>
    <w:semiHidden/>
    <w:rsid w:val="00D74CAF"/>
  </w:style>
  <w:style w:type="paragraph" w:styleId="Footer">
    <w:name w:val="footer"/>
    <w:basedOn w:val="Normal"/>
    <w:link w:val="FooterChar"/>
    <w:uiPriority w:val="99"/>
    <w:unhideWhenUsed/>
    <w:rsid w:val="00D95281"/>
    <w:pPr>
      <w:pBdr>
        <w:top w:val="thinThickSmallGap" w:sz="24" w:space="1" w:color="622423" w:themeColor="accent2" w:themeShade="7F"/>
      </w:pBdr>
      <w:tabs>
        <w:tab w:val="center" w:pos="4680"/>
        <w:tab w:val="right" w:pos="9360"/>
      </w:tabs>
    </w:pPr>
    <w:rPr>
      <w:rFonts w:asciiTheme="majorHAnsi" w:hAnsiTheme="majorHAnsi"/>
    </w:rPr>
  </w:style>
  <w:style w:type="character" w:customStyle="1" w:styleId="FooterChar">
    <w:name w:val="Footer Char"/>
    <w:basedOn w:val="DefaultParagraphFont"/>
    <w:link w:val="Footer"/>
    <w:uiPriority w:val="99"/>
    <w:rsid w:val="00D95281"/>
    <w:rPr>
      <w:rFonts w:asciiTheme="majorHAnsi" w:hAnsiTheme="majorHAnsi"/>
    </w:rPr>
  </w:style>
  <w:style w:type="paragraph" w:styleId="BalloonText">
    <w:name w:val="Balloon Text"/>
    <w:basedOn w:val="Normal"/>
    <w:link w:val="BalloonTextChar"/>
    <w:uiPriority w:val="99"/>
    <w:semiHidden/>
    <w:unhideWhenUsed/>
    <w:rsid w:val="00D74CAF"/>
    <w:rPr>
      <w:rFonts w:ascii="Tahoma" w:hAnsi="Tahoma" w:cs="Tahoma"/>
      <w:sz w:val="16"/>
      <w:szCs w:val="16"/>
    </w:rPr>
  </w:style>
  <w:style w:type="character" w:customStyle="1" w:styleId="BalloonTextChar">
    <w:name w:val="Balloon Text Char"/>
    <w:basedOn w:val="DefaultParagraphFont"/>
    <w:link w:val="BalloonText"/>
    <w:uiPriority w:val="99"/>
    <w:semiHidden/>
    <w:rsid w:val="00D74CAF"/>
    <w:rPr>
      <w:rFonts w:ascii="Tahoma" w:hAnsi="Tahoma" w:cs="Tahoma"/>
      <w:sz w:val="16"/>
      <w:szCs w:val="16"/>
    </w:rPr>
  </w:style>
  <w:style w:type="character" w:customStyle="1" w:styleId="Heading1Char">
    <w:name w:val="Heading 1 Char"/>
    <w:basedOn w:val="DefaultParagraphFont"/>
    <w:link w:val="Heading1"/>
    <w:uiPriority w:val="9"/>
    <w:rsid w:val="00AC3B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607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235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52E"/>
    <w:rPr>
      <w:rFonts w:asciiTheme="majorHAnsi" w:eastAsiaTheme="majorEastAsia" w:hAnsiTheme="majorHAnsi" w:cstheme="majorBidi"/>
      <w:color w:val="17365D" w:themeColor="text2" w:themeShade="BF"/>
      <w:spacing w:val="5"/>
      <w:kern w:val="28"/>
      <w:sz w:val="52"/>
      <w:szCs w:val="52"/>
    </w:rPr>
  </w:style>
  <w:style w:type="paragraph" w:customStyle="1" w:styleId="TableSpacing">
    <w:name w:val="Table Spacing"/>
    <w:aliases w:val="ts"/>
    <w:basedOn w:val="Normal"/>
    <w:next w:val="Normal"/>
    <w:rsid w:val="00BE1135"/>
    <w:pPr>
      <w:spacing w:before="80" w:after="80"/>
    </w:pPr>
    <w:rPr>
      <w:rFonts w:ascii="Arial" w:eastAsia="SimSun" w:hAnsi="Arial" w:cs="Times New Roman"/>
      <w:kern w:val="24"/>
      <w:sz w:val="8"/>
      <w:szCs w:val="8"/>
    </w:rPr>
  </w:style>
  <w:style w:type="character" w:customStyle="1" w:styleId="Bold">
    <w:name w:val="Bold"/>
    <w:aliases w:val="b"/>
    <w:basedOn w:val="DefaultParagraphFont"/>
    <w:rsid w:val="00BE1135"/>
    <w:rPr>
      <w:b/>
      <w:szCs w:val="18"/>
    </w:rPr>
  </w:style>
  <w:style w:type="character" w:styleId="Hyperlink">
    <w:name w:val="Hyperlink"/>
    <w:basedOn w:val="DefaultParagraphFont"/>
    <w:uiPriority w:val="99"/>
    <w:rsid w:val="00C92F2B"/>
    <w:rPr>
      <w:rFonts w:cs="Times New Roman"/>
      <w:color w:val="0000FF"/>
      <w:u w:val="single"/>
    </w:rPr>
  </w:style>
  <w:style w:type="paragraph" w:customStyle="1" w:styleId="BulletedList1">
    <w:name w:val="Bulleted List 1"/>
    <w:aliases w:val="bl1"/>
    <w:basedOn w:val="ListBullet"/>
    <w:rsid w:val="00AA1FE0"/>
    <w:pPr>
      <w:spacing w:before="60" w:after="60" w:line="280" w:lineRule="exact"/>
      <w:contextualSpacing w:val="0"/>
    </w:pPr>
    <w:rPr>
      <w:rFonts w:ascii="Arial" w:eastAsia="SimSun" w:hAnsi="Arial" w:cs="Times New Roman"/>
      <w:kern w:val="24"/>
      <w:sz w:val="20"/>
      <w:szCs w:val="20"/>
    </w:rPr>
  </w:style>
  <w:style w:type="character" w:styleId="CommentReference">
    <w:name w:val="annotation reference"/>
    <w:aliases w:val="cr,Used by Word to flag author queries"/>
    <w:basedOn w:val="DefaultParagraphFont"/>
    <w:rsid w:val="00AA1FE0"/>
    <w:rPr>
      <w:szCs w:val="16"/>
    </w:rPr>
  </w:style>
  <w:style w:type="paragraph" w:styleId="CommentText">
    <w:name w:val="annotation text"/>
    <w:aliases w:val="ct,Used by Word for text of author queries"/>
    <w:basedOn w:val="Normal"/>
    <w:link w:val="CommentTextChar"/>
    <w:rsid w:val="00AA1FE0"/>
    <w:pPr>
      <w:spacing w:before="60" w:after="60" w:line="280" w:lineRule="exact"/>
    </w:pPr>
    <w:rPr>
      <w:rFonts w:ascii="Arial" w:eastAsia="SimSun" w:hAnsi="Arial" w:cs="Times New Roman"/>
      <w:kern w:val="24"/>
      <w:sz w:val="20"/>
      <w:szCs w:val="20"/>
    </w:rPr>
  </w:style>
  <w:style w:type="character" w:customStyle="1" w:styleId="CommentTextChar">
    <w:name w:val="Comment Text Char"/>
    <w:aliases w:val="ct Char,Used by Word for text of author queries Char"/>
    <w:basedOn w:val="DefaultParagraphFont"/>
    <w:link w:val="CommentText"/>
    <w:rsid w:val="00AA1FE0"/>
    <w:rPr>
      <w:rFonts w:ascii="Arial" w:eastAsia="SimSun" w:hAnsi="Arial" w:cs="Times New Roman"/>
      <w:kern w:val="24"/>
      <w:sz w:val="20"/>
      <w:szCs w:val="20"/>
    </w:rPr>
  </w:style>
  <w:style w:type="character" w:customStyle="1" w:styleId="UI">
    <w:name w:val="UI"/>
    <w:aliases w:val="ui"/>
    <w:basedOn w:val="DefaultParagraphFont"/>
    <w:rsid w:val="00AA1FE0"/>
    <w:rPr>
      <w:b/>
      <w:color w:val="auto"/>
      <w:szCs w:val="18"/>
      <w:u w:val="none"/>
    </w:rPr>
  </w:style>
  <w:style w:type="paragraph" w:styleId="ListBullet">
    <w:name w:val="List Bullet"/>
    <w:basedOn w:val="Normal"/>
    <w:uiPriority w:val="99"/>
    <w:semiHidden/>
    <w:unhideWhenUsed/>
    <w:rsid w:val="00AA1FE0"/>
    <w:pPr>
      <w:tabs>
        <w:tab w:val="num" w:pos="360"/>
      </w:tabs>
      <w:ind w:left="360" w:hanging="360"/>
      <w:contextualSpacing/>
    </w:pPr>
  </w:style>
  <w:style w:type="paragraph" w:styleId="TOC1">
    <w:name w:val="toc 1"/>
    <w:basedOn w:val="Normal"/>
    <w:next w:val="Normal"/>
    <w:autoRedefine/>
    <w:uiPriority w:val="39"/>
    <w:unhideWhenUsed/>
    <w:rsid w:val="00A726F2"/>
    <w:pPr>
      <w:spacing w:after="100"/>
    </w:pPr>
  </w:style>
  <w:style w:type="paragraph" w:styleId="ListParagraph">
    <w:name w:val="List Paragraph"/>
    <w:basedOn w:val="Normal"/>
    <w:uiPriority w:val="34"/>
    <w:qFormat/>
    <w:rsid w:val="00C40BFF"/>
    <w:pPr>
      <w:ind w:left="720"/>
    </w:pPr>
    <w:rPr>
      <w:rFonts w:ascii="Calibri" w:hAnsi="Calibri" w:cs="Calibri"/>
    </w:rPr>
  </w:style>
  <w:style w:type="paragraph" w:customStyle="1" w:styleId="NumberedList1">
    <w:name w:val="Numbered List 1"/>
    <w:aliases w:val="nl1"/>
    <w:basedOn w:val="ListNumber"/>
    <w:rsid w:val="008E3205"/>
    <w:pPr>
      <w:spacing w:before="60" w:after="60" w:line="280" w:lineRule="exact"/>
      <w:contextualSpacing w:val="0"/>
    </w:pPr>
    <w:rPr>
      <w:rFonts w:ascii="Arial" w:eastAsia="SimSun" w:hAnsi="Arial" w:cs="Times New Roman"/>
      <w:kern w:val="24"/>
      <w:sz w:val="20"/>
      <w:szCs w:val="20"/>
    </w:rPr>
  </w:style>
  <w:style w:type="paragraph" w:styleId="ListNumber">
    <w:name w:val="List Number"/>
    <w:basedOn w:val="Normal"/>
    <w:uiPriority w:val="99"/>
    <w:semiHidden/>
    <w:unhideWhenUsed/>
    <w:rsid w:val="008E3205"/>
    <w:pPr>
      <w:tabs>
        <w:tab w:val="num" w:pos="360"/>
      </w:tabs>
      <w:ind w:left="360" w:hanging="360"/>
      <w:contextualSpacing/>
    </w:pPr>
  </w:style>
  <w:style w:type="paragraph" w:customStyle="1" w:styleId="BulletedList2">
    <w:name w:val="Bulleted List 2"/>
    <w:aliases w:val="bl2"/>
    <w:basedOn w:val="ListBullet"/>
    <w:link w:val="BulletedList2Char"/>
    <w:rsid w:val="00AE31F7"/>
    <w:pPr>
      <w:numPr>
        <w:numId w:val="5"/>
      </w:numPr>
      <w:spacing w:before="60" w:after="60" w:line="280" w:lineRule="exact"/>
      <w:contextualSpacing w:val="0"/>
    </w:pPr>
    <w:rPr>
      <w:rFonts w:ascii="Arial" w:eastAsia="SimSun" w:hAnsi="Arial" w:cs="Times New Roman"/>
      <w:kern w:val="24"/>
      <w:sz w:val="20"/>
      <w:szCs w:val="20"/>
    </w:rPr>
  </w:style>
  <w:style w:type="character" w:customStyle="1" w:styleId="BulletedList2Char">
    <w:name w:val="Bulleted List 2 Char"/>
    <w:aliases w:val="bl2 Char Char"/>
    <w:basedOn w:val="DefaultParagraphFont"/>
    <w:link w:val="BulletedList2"/>
    <w:rsid w:val="00AE31F7"/>
    <w:rPr>
      <w:rFonts w:ascii="Arial" w:eastAsia="SimSun" w:hAnsi="Arial" w:cs="Times New Roman"/>
      <w:kern w:val="24"/>
      <w:sz w:val="20"/>
      <w:szCs w:val="20"/>
    </w:rPr>
  </w:style>
  <w:style w:type="paragraph" w:customStyle="1" w:styleId="BulletedList3">
    <w:name w:val="Bulleted List 3"/>
    <w:aliases w:val="bl3"/>
    <w:basedOn w:val="ListBullet"/>
    <w:rsid w:val="00AE31F7"/>
    <w:pPr>
      <w:numPr>
        <w:numId w:val="6"/>
      </w:numPr>
      <w:spacing w:before="60" w:after="60" w:line="260" w:lineRule="exact"/>
      <w:ind w:left="1080"/>
      <w:contextualSpacing w:val="0"/>
    </w:pPr>
    <w:rPr>
      <w:rFonts w:ascii="Arial" w:eastAsia="SimSun" w:hAnsi="Arial" w:cs="Times New Roman"/>
      <w:kern w:val="24"/>
      <w:sz w:val="20"/>
      <w:szCs w:val="20"/>
    </w:rPr>
  </w:style>
  <w:style w:type="paragraph" w:styleId="CommentSubject">
    <w:name w:val="annotation subject"/>
    <w:basedOn w:val="CommentText"/>
    <w:next w:val="CommentText"/>
    <w:link w:val="CommentSubjectChar"/>
    <w:uiPriority w:val="99"/>
    <w:semiHidden/>
    <w:unhideWhenUsed/>
    <w:rsid w:val="006C7EBE"/>
    <w:pPr>
      <w:spacing w:before="0" w:after="0" w:line="240" w:lineRule="auto"/>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6C7EBE"/>
    <w:rPr>
      <w:rFonts w:ascii="Arial" w:eastAsia="SimSun" w:hAnsi="Arial" w:cs="Times New Roman"/>
      <w:b/>
      <w:bCs/>
      <w:kern w:val="24"/>
      <w:sz w:val="20"/>
      <w:szCs w:val="20"/>
    </w:rPr>
  </w:style>
  <w:style w:type="paragraph" w:styleId="FootnoteText">
    <w:name w:val="footnote text"/>
    <w:basedOn w:val="Normal"/>
    <w:link w:val="FootnoteTextChar"/>
    <w:semiHidden/>
    <w:rsid w:val="00F31669"/>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semiHidden/>
    <w:rsid w:val="00F31669"/>
    <w:rPr>
      <w:rFonts w:ascii="Times New Roman" w:eastAsia="MS Mincho" w:hAnsi="Times New Roman" w:cs="Times New Roman"/>
      <w:sz w:val="20"/>
      <w:szCs w:val="20"/>
      <w:lang w:eastAsia="ja-JP"/>
    </w:rPr>
  </w:style>
  <w:style w:type="character" w:styleId="FootnoteReference">
    <w:name w:val="footnote reference"/>
    <w:basedOn w:val="DefaultParagraphFont"/>
    <w:semiHidden/>
    <w:rsid w:val="00F31669"/>
    <w:rPr>
      <w:rFonts w:ascii="Times New Roman" w:hAnsi="Times New Roman" w:cs="Times New Roman"/>
      <w:vertAlign w:val="superscript"/>
    </w:rPr>
  </w:style>
  <w:style w:type="paragraph" w:styleId="TOCHeading">
    <w:name w:val="TOC Heading"/>
    <w:basedOn w:val="Heading1"/>
    <w:next w:val="Normal"/>
    <w:uiPriority w:val="39"/>
    <w:semiHidden/>
    <w:unhideWhenUsed/>
    <w:qFormat/>
    <w:rsid w:val="00963520"/>
    <w:pPr>
      <w:spacing w:line="276" w:lineRule="auto"/>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D0"/>
  </w:style>
  <w:style w:type="paragraph" w:styleId="Heading1">
    <w:name w:val="heading 1"/>
    <w:basedOn w:val="Normal"/>
    <w:next w:val="Normal"/>
    <w:link w:val="Heading1Char"/>
    <w:uiPriority w:val="9"/>
    <w:qFormat/>
    <w:rsid w:val="00AC3B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60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CAF"/>
    <w:pPr>
      <w:tabs>
        <w:tab w:val="center" w:pos="4680"/>
        <w:tab w:val="right" w:pos="9360"/>
      </w:tabs>
    </w:pPr>
  </w:style>
  <w:style w:type="character" w:customStyle="1" w:styleId="HeaderChar">
    <w:name w:val="Header Char"/>
    <w:basedOn w:val="DefaultParagraphFont"/>
    <w:link w:val="Header"/>
    <w:uiPriority w:val="99"/>
    <w:semiHidden/>
    <w:rsid w:val="00D74CAF"/>
  </w:style>
  <w:style w:type="paragraph" w:styleId="Footer">
    <w:name w:val="footer"/>
    <w:basedOn w:val="Normal"/>
    <w:link w:val="FooterChar"/>
    <w:uiPriority w:val="99"/>
    <w:unhideWhenUsed/>
    <w:rsid w:val="00D74CAF"/>
    <w:pPr>
      <w:tabs>
        <w:tab w:val="center" w:pos="4680"/>
        <w:tab w:val="right" w:pos="9360"/>
      </w:tabs>
    </w:pPr>
  </w:style>
  <w:style w:type="character" w:customStyle="1" w:styleId="FooterChar">
    <w:name w:val="Footer Char"/>
    <w:basedOn w:val="DefaultParagraphFont"/>
    <w:link w:val="Footer"/>
    <w:uiPriority w:val="99"/>
    <w:rsid w:val="00D74CAF"/>
  </w:style>
  <w:style w:type="paragraph" w:styleId="BalloonText">
    <w:name w:val="Balloon Text"/>
    <w:basedOn w:val="Normal"/>
    <w:link w:val="BalloonTextChar"/>
    <w:uiPriority w:val="99"/>
    <w:semiHidden/>
    <w:unhideWhenUsed/>
    <w:rsid w:val="00D74CAF"/>
    <w:rPr>
      <w:rFonts w:ascii="Tahoma" w:hAnsi="Tahoma" w:cs="Tahoma"/>
      <w:sz w:val="16"/>
      <w:szCs w:val="16"/>
    </w:rPr>
  </w:style>
  <w:style w:type="character" w:customStyle="1" w:styleId="BalloonTextChar">
    <w:name w:val="Balloon Text Char"/>
    <w:basedOn w:val="DefaultParagraphFont"/>
    <w:link w:val="BalloonText"/>
    <w:uiPriority w:val="99"/>
    <w:semiHidden/>
    <w:rsid w:val="00D74CAF"/>
    <w:rPr>
      <w:rFonts w:ascii="Tahoma" w:hAnsi="Tahoma" w:cs="Tahoma"/>
      <w:sz w:val="16"/>
      <w:szCs w:val="16"/>
    </w:rPr>
  </w:style>
  <w:style w:type="character" w:customStyle="1" w:styleId="Heading1Char">
    <w:name w:val="Heading 1 Char"/>
    <w:basedOn w:val="DefaultParagraphFont"/>
    <w:link w:val="Heading1"/>
    <w:uiPriority w:val="9"/>
    <w:rsid w:val="00AC3B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607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235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52E"/>
    <w:rPr>
      <w:rFonts w:asciiTheme="majorHAnsi" w:eastAsiaTheme="majorEastAsia" w:hAnsiTheme="majorHAnsi" w:cstheme="majorBidi"/>
      <w:color w:val="17365D" w:themeColor="text2" w:themeShade="BF"/>
      <w:spacing w:val="5"/>
      <w:kern w:val="28"/>
      <w:sz w:val="52"/>
      <w:szCs w:val="52"/>
    </w:rPr>
  </w:style>
  <w:style w:type="paragraph" w:customStyle="1" w:styleId="TableSpacing">
    <w:name w:val="Table Spacing"/>
    <w:aliases w:val="ts"/>
    <w:basedOn w:val="Normal"/>
    <w:next w:val="Normal"/>
    <w:rsid w:val="00BE1135"/>
    <w:pPr>
      <w:spacing w:before="80" w:after="80"/>
    </w:pPr>
    <w:rPr>
      <w:rFonts w:ascii="Arial" w:eastAsia="SimSun" w:hAnsi="Arial" w:cs="Times New Roman"/>
      <w:kern w:val="24"/>
      <w:sz w:val="8"/>
      <w:szCs w:val="8"/>
    </w:rPr>
  </w:style>
  <w:style w:type="character" w:customStyle="1" w:styleId="Bold">
    <w:name w:val="Bold"/>
    <w:aliases w:val="b"/>
    <w:basedOn w:val="DefaultParagraphFont"/>
    <w:rsid w:val="00BE1135"/>
    <w:rPr>
      <w:b/>
      <w:szCs w:val="18"/>
    </w:rPr>
  </w:style>
  <w:style w:type="character" w:styleId="Hyperlink">
    <w:name w:val="Hyperlink"/>
    <w:basedOn w:val="DefaultParagraphFont"/>
    <w:uiPriority w:val="99"/>
    <w:rsid w:val="00C92F2B"/>
    <w:rPr>
      <w:rFonts w:cs="Times New Roman"/>
      <w:color w:val="0000FF"/>
      <w:u w:val="single"/>
    </w:rPr>
  </w:style>
  <w:style w:type="paragraph" w:customStyle="1" w:styleId="BulletedList1">
    <w:name w:val="Bulleted List 1"/>
    <w:aliases w:val="bl1"/>
    <w:basedOn w:val="ListBullet"/>
    <w:rsid w:val="00AA1FE0"/>
    <w:pPr>
      <w:spacing w:before="60" w:after="60" w:line="280" w:lineRule="exact"/>
      <w:contextualSpacing w:val="0"/>
    </w:pPr>
    <w:rPr>
      <w:rFonts w:ascii="Arial" w:eastAsia="SimSun" w:hAnsi="Arial" w:cs="Times New Roman"/>
      <w:kern w:val="24"/>
      <w:sz w:val="20"/>
      <w:szCs w:val="20"/>
    </w:rPr>
  </w:style>
  <w:style w:type="character" w:styleId="CommentReference">
    <w:name w:val="annotation reference"/>
    <w:aliases w:val="cr,Used by Word to flag author queries"/>
    <w:basedOn w:val="DefaultParagraphFont"/>
    <w:rsid w:val="00AA1FE0"/>
    <w:rPr>
      <w:szCs w:val="16"/>
    </w:rPr>
  </w:style>
  <w:style w:type="paragraph" w:styleId="CommentText">
    <w:name w:val="annotation text"/>
    <w:aliases w:val="ct,Used by Word for text of author queries"/>
    <w:basedOn w:val="Normal"/>
    <w:link w:val="CommentTextChar"/>
    <w:rsid w:val="00AA1FE0"/>
    <w:pPr>
      <w:spacing w:before="60" w:after="60" w:line="280" w:lineRule="exact"/>
    </w:pPr>
    <w:rPr>
      <w:rFonts w:ascii="Arial" w:eastAsia="SimSun" w:hAnsi="Arial" w:cs="Times New Roman"/>
      <w:kern w:val="24"/>
      <w:sz w:val="20"/>
      <w:szCs w:val="20"/>
    </w:rPr>
  </w:style>
  <w:style w:type="character" w:customStyle="1" w:styleId="CommentTextChar">
    <w:name w:val="Comment Text Char"/>
    <w:aliases w:val="ct Char,Used by Word for text of author queries Char"/>
    <w:basedOn w:val="DefaultParagraphFont"/>
    <w:link w:val="CommentText"/>
    <w:rsid w:val="00AA1FE0"/>
    <w:rPr>
      <w:rFonts w:ascii="Arial" w:eastAsia="SimSun" w:hAnsi="Arial" w:cs="Times New Roman"/>
      <w:kern w:val="24"/>
      <w:sz w:val="20"/>
      <w:szCs w:val="20"/>
    </w:rPr>
  </w:style>
  <w:style w:type="character" w:customStyle="1" w:styleId="UI">
    <w:name w:val="UI"/>
    <w:aliases w:val="ui"/>
    <w:basedOn w:val="DefaultParagraphFont"/>
    <w:rsid w:val="00AA1FE0"/>
    <w:rPr>
      <w:b/>
      <w:color w:val="auto"/>
      <w:szCs w:val="18"/>
      <w:u w:val="none"/>
    </w:rPr>
  </w:style>
  <w:style w:type="paragraph" w:styleId="ListBullet">
    <w:name w:val="List Bullet"/>
    <w:basedOn w:val="Normal"/>
    <w:uiPriority w:val="99"/>
    <w:semiHidden/>
    <w:unhideWhenUsed/>
    <w:rsid w:val="00AA1FE0"/>
    <w:pPr>
      <w:tabs>
        <w:tab w:val="num" w:pos="360"/>
      </w:tabs>
      <w:ind w:left="360" w:hanging="360"/>
      <w:contextualSpacing/>
    </w:pPr>
  </w:style>
  <w:style w:type="paragraph" w:styleId="TOC1">
    <w:name w:val="toc 1"/>
    <w:basedOn w:val="Normal"/>
    <w:next w:val="Normal"/>
    <w:autoRedefine/>
    <w:uiPriority w:val="39"/>
    <w:unhideWhenUsed/>
    <w:rsid w:val="00A726F2"/>
    <w:pPr>
      <w:spacing w:after="100"/>
    </w:pPr>
  </w:style>
  <w:style w:type="paragraph" w:styleId="ListParagraph">
    <w:name w:val="List Paragraph"/>
    <w:basedOn w:val="Normal"/>
    <w:uiPriority w:val="34"/>
    <w:qFormat/>
    <w:rsid w:val="00C40BFF"/>
    <w:pPr>
      <w:ind w:left="720"/>
    </w:pPr>
    <w:rPr>
      <w:rFonts w:ascii="Calibri" w:hAnsi="Calibri" w:cs="Calibri"/>
    </w:rPr>
  </w:style>
  <w:style w:type="paragraph" w:customStyle="1" w:styleId="NumberedList1">
    <w:name w:val="Numbered List 1"/>
    <w:aliases w:val="nl1"/>
    <w:basedOn w:val="ListNumber"/>
    <w:rsid w:val="008E3205"/>
    <w:pPr>
      <w:spacing w:before="60" w:after="60" w:line="280" w:lineRule="exact"/>
      <w:contextualSpacing w:val="0"/>
    </w:pPr>
    <w:rPr>
      <w:rFonts w:ascii="Arial" w:eastAsia="SimSun" w:hAnsi="Arial" w:cs="Times New Roman"/>
      <w:kern w:val="24"/>
      <w:sz w:val="20"/>
      <w:szCs w:val="20"/>
    </w:rPr>
  </w:style>
  <w:style w:type="paragraph" w:styleId="ListNumber">
    <w:name w:val="List Number"/>
    <w:basedOn w:val="Normal"/>
    <w:uiPriority w:val="99"/>
    <w:semiHidden/>
    <w:unhideWhenUsed/>
    <w:rsid w:val="008E3205"/>
    <w:pPr>
      <w:tabs>
        <w:tab w:val="num" w:pos="360"/>
      </w:tabs>
      <w:ind w:left="360" w:hanging="360"/>
      <w:contextualSpacing/>
    </w:pPr>
  </w:style>
  <w:style w:type="paragraph" w:customStyle="1" w:styleId="BulletedList2">
    <w:name w:val="Bulleted List 2"/>
    <w:aliases w:val="bl2"/>
    <w:basedOn w:val="ListBullet"/>
    <w:link w:val="BulletedList2Char"/>
    <w:rsid w:val="00AE31F7"/>
    <w:pPr>
      <w:numPr>
        <w:numId w:val="5"/>
      </w:numPr>
      <w:spacing w:before="60" w:after="60" w:line="280" w:lineRule="exact"/>
      <w:contextualSpacing w:val="0"/>
    </w:pPr>
    <w:rPr>
      <w:rFonts w:ascii="Arial" w:eastAsia="SimSun" w:hAnsi="Arial" w:cs="Times New Roman"/>
      <w:kern w:val="24"/>
      <w:sz w:val="20"/>
      <w:szCs w:val="20"/>
    </w:rPr>
  </w:style>
  <w:style w:type="character" w:customStyle="1" w:styleId="BulletedList2Char">
    <w:name w:val="Bulleted List 2 Char"/>
    <w:aliases w:val="bl2 Char Char"/>
    <w:basedOn w:val="DefaultParagraphFont"/>
    <w:link w:val="BulletedList2"/>
    <w:rsid w:val="00AE31F7"/>
    <w:rPr>
      <w:rFonts w:ascii="Arial" w:eastAsia="SimSun" w:hAnsi="Arial" w:cs="Times New Roman"/>
      <w:kern w:val="24"/>
      <w:sz w:val="20"/>
      <w:szCs w:val="20"/>
    </w:rPr>
  </w:style>
  <w:style w:type="paragraph" w:customStyle="1" w:styleId="BulletedList3">
    <w:name w:val="Bulleted List 3"/>
    <w:aliases w:val="bl3"/>
    <w:basedOn w:val="ListBullet"/>
    <w:rsid w:val="00AE31F7"/>
    <w:pPr>
      <w:numPr>
        <w:numId w:val="6"/>
      </w:numPr>
      <w:spacing w:before="60" w:after="60" w:line="260" w:lineRule="exact"/>
      <w:ind w:left="1080"/>
      <w:contextualSpacing w:val="0"/>
    </w:pPr>
    <w:rPr>
      <w:rFonts w:ascii="Arial" w:eastAsia="SimSun" w:hAnsi="Arial" w:cs="Times New Roman"/>
      <w:kern w:val="24"/>
      <w:sz w:val="20"/>
      <w:szCs w:val="20"/>
    </w:rPr>
  </w:style>
  <w:style w:type="paragraph" w:styleId="CommentSubject">
    <w:name w:val="annotation subject"/>
    <w:basedOn w:val="CommentText"/>
    <w:next w:val="CommentText"/>
    <w:link w:val="CommentSubjectChar"/>
    <w:uiPriority w:val="99"/>
    <w:semiHidden/>
    <w:unhideWhenUsed/>
    <w:rsid w:val="006C7EBE"/>
    <w:pPr>
      <w:spacing w:before="0" w:after="0" w:line="240" w:lineRule="auto"/>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6C7EBE"/>
    <w:rPr>
      <w:rFonts w:ascii="Arial" w:eastAsia="SimSun" w:hAnsi="Arial" w:cs="Times New Roman"/>
      <w:b/>
      <w:bCs/>
      <w:kern w:val="24"/>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83042"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microsoft.com/fwlink/?LinkId=1846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o.microsoft.com/fwlink/?LinkId=183042"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technet.com/volumeactivation" TargetMode="External"/><Relationship Id="rId10" Type="http://schemas.openxmlformats.org/officeDocument/2006/relationships/hyperlink" Target="http://go.microsoft.com/fwlink/?LinkId=1846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go.microsoft.com/fwlink/?LinkId=184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D071D-0D6B-4424-A8C3-9D00D3CC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Geller</dc:creator>
  <cp:lastModifiedBy>Leslie Geller</cp:lastModifiedBy>
  <cp:revision>11</cp:revision>
  <cp:lastPrinted>2010-03-18T22:11:00Z</cp:lastPrinted>
  <dcterms:created xsi:type="dcterms:W3CDTF">2010-03-18T22:34:00Z</dcterms:created>
  <dcterms:modified xsi:type="dcterms:W3CDTF">2010-04-02T16:41:00Z</dcterms:modified>
</cp:coreProperties>
</file>