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customXml/itemProps1.xml" ContentType="application/vnd.openxmlformats-officedocument.customXmlProperties+xml"/>
  <Override PartName="/word/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10548" w:type="dxa"/>
        <w:tblLayout w:type="fixed"/>
        <w:tblCellMar>
          <w:left w:w="0" w:type="dxa"/>
          <w:right w:w="0" w:type="dxa"/>
        </w:tblCellMar>
        <w:tblLook w:val="0000"/>
      </w:tblPr>
      <w:tblGrid>
        <w:gridCol w:w="3119"/>
        <w:gridCol w:w="284"/>
        <w:gridCol w:w="284"/>
        <w:gridCol w:w="6861"/>
      </w:tblGrid>
      <w:tr w:rsidR="004B5D8B">
        <w:trPr>
          <w:cantSplit/>
          <w:trHeight w:hRule="exact" w:val="2239"/>
        </w:trPr>
        <w:tc>
          <w:tcPr>
            <w:tcW w:w="3119" w:type="dxa"/>
            <w:vMerge w:val="restart"/>
          </w:tcPr>
          <w:p w:rsidR="0038082E" w:rsidRPr="005E1ACE" w:rsidRDefault="0038082E" w:rsidP="0038082E">
            <w:pPr>
              <w:pStyle w:val="SectionHeading"/>
              <w:spacing w:before="100"/>
              <w:rPr>
                <w:lang w:val="es-ES"/>
              </w:rPr>
            </w:pPr>
            <w:bookmarkStart w:id="0" w:name="TableColumn" w:colFirst="1" w:colLast="1"/>
            <w:r w:rsidRPr="005E1ACE">
              <w:rPr>
                <w:lang w:val="es-ES"/>
              </w:rPr>
              <w:t>Resumen</w:t>
            </w:r>
          </w:p>
          <w:p w:rsidR="0038082E" w:rsidRPr="005E1ACE" w:rsidRDefault="0038082E" w:rsidP="0038082E">
            <w:pPr>
              <w:pStyle w:val="Bodycopy"/>
              <w:rPr>
                <w:lang w:val="es-ES"/>
              </w:rPr>
            </w:pPr>
            <w:r w:rsidRPr="00A53249">
              <w:rPr>
                <w:rFonts w:ascii="Franklin Gothic Heavy" w:hAnsi="Franklin Gothic Heavy"/>
                <w:b/>
                <w:lang w:val="es-ES"/>
              </w:rPr>
              <w:t>País:</w:t>
            </w:r>
            <w:r w:rsidRPr="005E1ACE">
              <w:rPr>
                <w:lang w:val="es-ES"/>
              </w:rPr>
              <w:t xml:space="preserve"> </w:t>
            </w:r>
            <w:bookmarkStart w:id="1" w:name="OverviewCountry"/>
            <w:r w:rsidRPr="005E1ACE">
              <w:rPr>
                <w:lang w:val="es-ES"/>
              </w:rPr>
              <w:t>España.</w:t>
            </w:r>
            <w:bookmarkEnd w:id="1"/>
          </w:p>
          <w:p w:rsidR="0038082E" w:rsidRPr="005E1ACE" w:rsidRDefault="0038082E" w:rsidP="0038082E">
            <w:pPr>
              <w:pStyle w:val="Bodycopy"/>
              <w:rPr>
                <w:lang w:val="es-ES"/>
              </w:rPr>
            </w:pPr>
            <w:r w:rsidRPr="00A53249">
              <w:rPr>
                <w:rFonts w:ascii="Franklin Gothic Heavy" w:hAnsi="Franklin Gothic Heavy"/>
                <w:b/>
                <w:lang w:val="es-ES"/>
              </w:rPr>
              <w:t>Sector:</w:t>
            </w:r>
            <w:r w:rsidRPr="005E1ACE">
              <w:rPr>
                <w:lang w:val="es-ES"/>
              </w:rPr>
              <w:t xml:space="preserve"> </w:t>
            </w:r>
            <w:r w:rsidR="00A53249">
              <w:rPr>
                <w:lang w:val="es-ES"/>
              </w:rPr>
              <w:t>Telecomunicaciones</w:t>
            </w:r>
          </w:p>
          <w:p w:rsidR="0038082E" w:rsidRPr="005E1ACE" w:rsidRDefault="0038082E" w:rsidP="0038082E">
            <w:pPr>
              <w:pStyle w:val="Bodycopy"/>
              <w:rPr>
                <w:lang w:val="es-ES"/>
              </w:rPr>
            </w:pPr>
          </w:p>
          <w:p w:rsidR="0038082E" w:rsidRPr="00A53249" w:rsidRDefault="0038082E" w:rsidP="0038082E">
            <w:pPr>
              <w:pStyle w:val="Bodycopyheading"/>
              <w:rPr>
                <w:b/>
                <w:lang w:val="es-ES"/>
              </w:rPr>
            </w:pPr>
            <w:r w:rsidRPr="00A53249">
              <w:rPr>
                <w:b/>
                <w:lang w:val="es-ES"/>
              </w:rPr>
              <w:t>Perfil del cliente</w:t>
            </w:r>
          </w:p>
          <w:p w:rsidR="008E26E7" w:rsidRDefault="00A53249" w:rsidP="0038082E">
            <w:pPr>
              <w:pStyle w:val="Bodycopy"/>
              <w:rPr>
                <w:rFonts w:cs="BerkeleyOldITC-Book"/>
                <w:color w:val="000000"/>
                <w:spacing w:val="3"/>
                <w:szCs w:val="17"/>
              </w:rPr>
            </w:pPr>
            <w:r w:rsidRPr="00A8571B">
              <w:rPr>
                <w:rFonts w:cs="BerkeleyOldITC-Book"/>
                <w:color w:val="000000"/>
                <w:spacing w:val="3"/>
                <w:szCs w:val="17"/>
              </w:rPr>
              <w:t xml:space="preserve">BT España, que forma parte de BT Global Services, cuenta con una amplia experiencia de servicio de mercado empresarial en nuestro país. </w:t>
            </w:r>
          </w:p>
          <w:p w:rsidR="0038082E" w:rsidRPr="005E1ACE" w:rsidRDefault="0038082E" w:rsidP="0038082E">
            <w:pPr>
              <w:pStyle w:val="Bodycopy"/>
              <w:rPr>
                <w:lang w:val="es-ES"/>
              </w:rPr>
            </w:pPr>
          </w:p>
          <w:p w:rsidR="0038082E" w:rsidRPr="005D7C81" w:rsidRDefault="0038082E" w:rsidP="0038082E">
            <w:pPr>
              <w:pStyle w:val="Bodycopyheading"/>
              <w:rPr>
                <w:b/>
                <w:lang w:val="es-ES"/>
              </w:rPr>
            </w:pPr>
            <w:r w:rsidRPr="005D7C81">
              <w:rPr>
                <w:b/>
                <w:lang w:val="es-ES"/>
              </w:rPr>
              <w:t>Situación</w:t>
            </w:r>
          </w:p>
          <w:p w:rsidR="0020420B" w:rsidRDefault="005449BD" w:rsidP="0038082E">
            <w:pPr>
              <w:pStyle w:val="Bodycopy"/>
              <w:rPr>
                <w:spacing w:val="-5"/>
              </w:rPr>
            </w:pPr>
            <w:r>
              <w:rPr>
                <w:spacing w:val="-5"/>
              </w:rPr>
              <w:t>En 2008 BT lanza los primeros servicios móviles en la que es una decidida apuesta por la</w:t>
            </w:r>
            <w:r w:rsidR="00C263D6">
              <w:rPr>
                <w:spacing w:val="-5"/>
              </w:rPr>
              <w:t xml:space="preserve"> convergencia entre las</w:t>
            </w:r>
            <w:r>
              <w:rPr>
                <w:spacing w:val="-5"/>
              </w:rPr>
              <w:t xml:space="preserve"> comunicaciones</w:t>
            </w:r>
            <w:r w:rsidR="00C263D6">
              <w:rPr>
                <w:spacing w:val="-5"/>
              </w:rPr>
              <w:t xml:space="preserve"> fijas y</w:t>
            </w:r>
            <w:r>
              <w:rPr>
                <w:spacing w:val="-5"/>
              </w:rPr>
              <w:t xml:space="preserve"> móviles.</w:t>
            </w:r>
          </w:p>
          <w:p w:rsidR="0038082E" w:rsidRPr="005E1ACE" w:rsidRDefault="0038082E" w:rsidP="0038082E">
            <w:pPr>
              <w:pStyle w:val="Bodycopy"/>
              <w:rPr>
                <w:lang w:val="es-ES"/>
              </w:rPr>
            </w:pPr>
          </w:p>
          <w:p w:rsidR="0038082E" w:rsidRPr="00A45143" w:rsidRDefault="0038082E" w:rsidP="0038082E">
            <w:pPr>
              <w:pStyle w:val="Bodycopyheading"/>
              <w:rPr>
                <w:b/>
              </w:rPr>
            </w:pPr>
            <w:r w:rsidRPr="00A45143">
              <w:rPr>
                <w:b/>
              </w:rPr>
              <w:t>Solución</w:t>
            </w:r>
          </w:p>
          <w:p w:rsidR="00072EC4" w:rsidRPr="00A45143" w:rsidRDefault="00072EC4" w:rsidP="00072EC4">
            <w:pPr>
              <w:widowControl w:val="0"/>
              <w:autoSpaceDE w:val="0"/>
              <w:autoSpaceDN w:val="0"/>
              <w:adjustRightInd w:val="0"/>
              <w:spacing w:line="230" w:lineRule="atLeast"/>
              <w:jc w:val="both"/>
              <w:textAlignment w:val="center"/>
              <w:rPr>
                <w:rFonts w:cs="BerkeleyOldITC-Book"/>
                <w:color w:val="000000"/>
                <w:sz w:val="16"/>
                <w:szCs w:val="17"/>
              </w:rPr>
            </w:pPr>
            <w:bookmarkStart w:id="2" w:name="OverviewSolution"/>
            <w:r>
              <w:rPr>
                <w:lang w:val="es-ES"/>
              </w:rPr>
              <w:t xml:space="preserve">BT </w:t>
            </w:r>
            <w:r w:rsidR="00D74AD4">
              <w:rPr>
                <w:lang w:val="es-ES"/>
              </w:rPr>
              <w:t>opta</w:t>
            </w:r>
            <w:r>
              <w:rPr>
                <w:lang w:val="es-ES"/>
              </w:rPr>
              <w:t xml:space="preserve"> por el correo electrónico en movilidad</w:t>
            </w:r>
            <w:r w:rsidRPr="00A53249">
              <w:rPr>
                <w:rFonts w:cs="BerkeleyOldITC-Book"/>
                <w:color w:val="000000"/>
                <w:spacing w:val="1"/>
                <w:sz w:val="16"/>
                <w:szCs w:val="17"/>
              </w:rPr>
              <w:t xml:space="preserve"> </w:t>
            </w:r>
            <w:r w:rsidRPr="00A45143">
              <w:rPr>
                <w:rFonts w:cs="BerkeleyOldITC-Book"/>
                <w:color w:val="000000"/>
                <w:spacing w:val="1"/>
                <w:sz w:val="18"/>
                <w:szCs w:val="17"/>
              </w:rPr>
              <w:t xml:space="preserve">y </w:t>
            </w:r>
            <w:r w:rsidRPr="00A45143">
              <w:rPr>
                <w:rFonts w:cs="BerkeleyOldITC-Book"/>
                <w:color w:val="000000"/>
                <w:spacing w:val="1"/>
                <w:sz w:val="16"/>
                <w:szCs w:val="17"/>
              </w:rPr>
              <w:t xml:space="preserve">por Microsoft Windows Mobile y Microsoft Exchange Server como las tecnologías </w:t>
            </w:r>
            <w:r w:rsidR="00D74AD4">
              <w:rPr>
                <w:rFonts w:cs="BerkeleyOldITC-Book"/>
                <w:color w:val="000000"/>
                <w:spacing w:val="1"/>
                <w:sz w:val="16"/>
                <w:szCs w:val="17"/>
              </w:rPr>
              <w:t>para</w:t>
            </w:r>
            <w:r w:rsidRPr="00A45143">
              <w:rPr>
                <w:rFonts w:cs="BerkeleyOldITC-Book"/>
                <w:color w:val="000000"/>
                <w:spacing w:val="1"/>
                <w:sz w:val="16"/>
                <w:szCs w:val="17"/>
              </w:rPr>
              <w:t xml:space="preserve"> ofrecerlo. </w:t>
            </w:r>
          </w:p>
          <w:bookmarkEnd w:id="2"/>
          <w:p w:rsidR="0038082E" w:rsidRPr="00A45143" w:rsidRDefault="0038082E" w:rsidP="0038082E">
            <w:pPr>
              <w:pStyle w:val="Bodycopy"/>
              <w:rPr>
                <w:sz w:val="16"/>
                <w:lang w:val="es-ES"/>
              </w:rPr>
            </w:pPr>
          </w:p>
          <w:p w:rsidR="0038082E" w:rsidRPr="005E1ACE" w:rsidRDefault="0038082E" w:rsidP="0038082E">
            <w:pPr>
              <w:pStyle w:val="Bodycopy"/>
              <w:rPr>
                <w:lang w:val="es-ES"/>
              </w:rPr>
            </w:pPr>
          </w:p>
          <w:p w:rsidR="0038082E" w:rsidRPr="00626595" w:rsidRDefault="0038082E" w:rsidP="0038082E">
            <w:pPr>
              <w:pStyle w:val="Bodycopyheading"/>
              <w:rPr>
                <w:b/>
              </w:rPr>
            </w:pPr>
            <w:r w:rsidRPr="00626595">
              <w:rPr>
                <w:b/>
              </w:rPr>
              <w:t>Beneficios</w:t>
            </w:r>
          </w:p>
          <w:p w:rsidR="0038082E" w:rsidRDefault="00A45143" w:rsidP="0038082E">
            <w:pPr>
              <w:pStyle w:val="Bullet"/>
              <w:tabs>
                <w:tab w:val="clear" w:pos="360"/>
                <w:tab w:val="num" w:pos="170"/>
              </w:tabs>
              <w:ind w:left="170" w:hanging="170"/>
            </w:pPr>
            <w:bookmarkStart w:id="3" w:name="OverviewBenefits"/>
            <w:r>
              <w:t>Incremento de la productividad</w:t>
            </w:r>
            <w:r w:rsidR="0038082E">
              <w:t xml:space="preserve">. </w:t>
            </w:r>
          </w:p>
          <w:p w:rsidR="0038082E" w:rsidRPr="005E1ACE" w:rsidRDefault="007A0A0A" w:rsidP="0038082E">
            <w:pPr>
              <w:pStyle w:val="Bullet"/>
              <w:tabs>
                <w:tab w:val="clear" w:pos="360"/>
                <w:tab w:val="num" w:pos="170"/>
              </w:tabs>
              <w:ind w:left="170" w:hanging="170"/>
              <w:rPr>
                <w:lang w:val="es-ES"/>
              </w:rPr>
            </w:pPr>
            <w:r>
              <w:rPr>
                <w:lang w:val="es-ES"/>
              </w:rPr>
              <w:t xml:space="preserve">Facilidad de </w:t>
            </w:r>
            <w:r w:rsidR="00513664">
              <w:rPr>
                <w:lang w:val="es-ES"/>
              </w:rPr>
              <w:t>uso</w:t>
            </w:r>
            <w:r w:rsidR="0038082E" w:rsidRPr="005E1ACE">
              <w:rPr>
                <w:lang w:val="es-ES"/>
              </w:rPr>
              <w:t>.</w:t>
            </w:r>
          </w:p>
          <w:p w:rsidR="0038082E" w:rsidRDefault="007A0A0A" w:rsidP="0038082E">
            <w:pPr>
              <w:pStyle w:val="Bullet"/>
              <w:tabs>
                <w:tab w:val="clear" w:pos="360"/>
                <w:tab w:val="num" w:pos="170"/>
              </w:tabs>
              <w:ind w:left="170" w:hanging="170"/>
            </w:pPr>
            <w:r>
              <w:rPr>
                <w:lang w:val="es-ES"/>
              </w:rPr>
              <w:t>Máxima seguridad</w:t>
            </w:r>
            <w:r w:rsidR="0038082E">
              <w:t xml:space="preserve">. </w:t>
            </w:r>
          </w:p>
          <w:bookmarkEnd w:id="3"/>
          <w:p w:rsidR="004B5D8B" w:rsidRDefault="004B5D8B" w:rsidP="007C23C5">
            <w:pPr>
              <w:pStyle w:val="Bullet"/>
              <w:numPr>
                <w:ilvl w:val="0"/>
                <w:numId w:val="0"/>
              </w:numPr>
              <w:ind w:left="170"/>
            </w:pPr>
          </w:p>
        </w:tc>
        <w:tc>
          <w:tcPr>
            <w:tcW w:w="284" w:type="dxa"/>
            <w:tcBorders>
              <w:left w:val="nil"/>
              <w:right w:val="single" w:sz="8" w:space="0" w:color="66CC33"/>
            </w:tcBorders>
          </w:tcPr>
          <w:p w:rsidR="004B5D8B" w:rsidRDefault="004B5D8B"/>
        </w:tc>
        <w:tc>
          <w:tcPr>
            <w:tcW w:w="284" w:type="dxa"/>
            <w:tcBorders>
              <w:left w:val="single" w:sz="8" w:space="0" w:color="66CC33"/>
            </w:tcBorders>
          </w:tcPr>
          <w:p w:rsidR="004B5D8B" w:rsidRDefault="004B5D8B" w:rsidP="005D7C81"/>
        </w:tc>
        <w:tc>
          <w:tcPr>
            <w:tcW w:w="6861" w:type="dxa"/>
          </w:tcPr>
          <w:p w:rsidR="004B5D8B" w:rsidRDefault="00BA0691">
            <w:pPr>
              <w:pStyle w:val="Pullquote"/>
            </w:pPr>
            <w:r>
              <w:t>Los empleados de BT han sido los p</w:t>
            </w:r>
            <w:r w:rsidR="00F04ACE">
              <w:t>ri</w:t>
            </w:r>
            <w:r>
              <w:t>meros en comprobar</w:t>
            </w:r>
            <w:r w:rsidR="00F04ACE">
              <w:t xml:space="preserve"> los beneficios de los servicios de telefonía móvil que la operadora oferta a sus clientes.</w:t>
            </w:r>
          </w:p>
          <w:p w:rsidR="004B5D8B" w:rsidRDefault="004B5D8B">
            <w:pPr>
              <w:spacing w:after="80"/>
              <w:jc w:val="right"/>
              <w:rPr>
                <w:color w:val="FF9900"/>
              </w:rPr>
            </w:pPr>
          </w:p>
        </w:tc>
      </w:tr>
      <w:tr w:rsidR="004B5D8B">
        <w:trPr>
          <w:cantSplit/>
          <w:trHeight w:hRule="exact" w:val="6300"/>
        </w:trPr>
        <w:tc>
          <w:tcPr>
            <w:tcW w:w="3119" w:type="dxa"/>
            <w:vMerge/>
          </w:tcPr>
          <w:p w:rsidR="004B5D8B" w:rsidRDefault="004B5D8B">
            <w:pPr>
              <w:pStyle w:val="Bodycopy"/>
            </w:pPr>
          </w:p>
        </w:tc>
        <w:tc>
          <w:tcPr>
            <w:tcW w:w="284" w:type="dxa"/>
            <w:tcBorders>
              <w:left w:val="nil"/>
              <w:right w:val="single" w:sz="8" w:space="0" w:color="66CC33"/>
            </w:tcBorders>
          </w:tcPr>
          <w:p w:rsidR="004B5D8B" w:rsidRDefault="004B5D8B">
            <w:pPr>
              <w:pStyle w:val="Bodycopy"/>
            </w:pPr>
          </w:p>
        </w:tc>
        <w:tc>
          <w:tcPr>
            <w:tcW w:w="284" w:type="dxa"/>
            <w:tcBorders>
              <w:left w:val="single" w:sz="8" w:space="0" w:color="66CC33"/>
            </w:tcBorders>
          </w:tcPr>
          <w:p w:rsidR="004B5D8B" w:rsidRDefault="004B5D8B">
            <w:pPr>
              <w:pStyle w:val="Bodycopy"/>
            </w:pPr>
          </w:p>
        </w:tc>
        <w:tc>
          <w:tcPr>
            <w:tcW w:w="6861" w:type="dxa"/>
          </w:tcPr>
          <w:p w:rsidR="004B5D8B" w:rsidRDefault="0061221B">
            <w:pPr>
              <w:pStyle w:val="StandFirstIntroduction"/>
            </w:pPr>
            <w:bookmarkStart w:id="4" w:name="DocumentFirstPageBody"/>
            <w:r>
              <w:t>Ante el crecimiento de la deman</w:t>
            </w:r>
            <w:r w:rsidR="00626595">
              <w:t xml:space="preserve">da BT </w:t>
            </w:r>
            <w:r w:rsidR="002E6B1A">
              <w:t>ha puesto</w:t>
            </w:r>
            <w:r w:rsidR="00626595">
              <w:t xml:space="preserve"> en marcha un proyecto para convertirse en una empresa convergente capaz de ofrecer servicios de comunicaciones fijas y móviles gestionadas extremo</w:t>
            </w:r>
            <w:r>
              <w:t xml:space="preserve"> </w:t>
            </w:r>
            <w:r w:rsidR="00626595">
              <w:t>a extremo como servic</w:t>
            </w:r>
            <w:r>
              <w:t>i</w:t>
            </w:r>
            <w:r w:rsidR="00626595">
              <w:t>os IT.</w:t>
            </w:r>
            <w:r w:rsidR="002F7870">
              <w:t xml:space="preserve"> Para ello</w:t>
            </w:r>
            <w:r w:rsidR="00BA0691">
              <w:t xml:space="preserve"> </w:t>
            </w:r>
            <w:r w:rsidR="002E6B1A">
              <w:t>ha apostado</w:t>
            </w:r>
            <w:r w:rsidR="002F7870">
              <w:t xml:space="preserve"> por el correo electr</w:t>
            </w:r>
            <w:r w:rsidR="00BA0691">
              <w:t>ó</w:t>
            </w:r>
            <w:r w:rsidR="002F7870">
              <w:t>nic</w:t>
            </w:r>
            <w:r w:rsidR="00BA0691">
              <w:t>o</w:t>
            </w:r>
            <w:r w:rsidR="002F7870">
              <w:t xml:space="preserve"> en movilidad como</w:t>
            </w:r>
            <w:r w:rsidR="00BA0691">
              <w:t xml:space="preserve"> </w:t>
            </w:r>
            <w:r w:rsidR="002F7870">
              <w:t>servicio estrella de su oferta y por Microsoft Windows Mobile y Microsoft Exchange Server como las mejores tecnologías ca</w:t>
            </w:r>
            <w:r w:rsidR="00BA0691">
              <w:t>p</w:t>
            </w:r>
            <w:r w:rsidR="002F7870">
              <w:t>aces de ofrecerlo.</w:t>
            </w:r>
          </w:p>
          <w:bookmarkEnd w:id="4"/>
          <w:p w:rsidR="004B5D8B" w:rsidRDefault="004B5D8B" w:rsidP="006B6EFE">
            <w:pPr>
              <w:pStyle w:val="StandFirstIntroduction"/>
            </w:pPr>
          </w:p>
        </w:tc>
      </w:tr>
      <w:tr w:rsidR="004B5D8B">
        <w:trPr>
          <w:cantSplit/>
          <w:trHeight w:hRule="exact" w:val="180"/>
        </w:trPr>
        <w:tc>
          <w:tcPr>
            <w:tcW w:w="3119" w:type="dxa"/>
          </w:tcPr>
          <w:p w:rsidR="004B5D8B" w:rsidRDefault="004B5D8B"/>
        </w:tc>
        <w:tc>
          <w:tcPr>
            <w:tcW w:w="284" w:type="dxa"/>
            <w:tcBorders>
              <w:left w:val="nil"/>
              <w:right w:val="single" w:sz="8" w:space="0" w:color="66CC33"/>
            </w:tcBorders>
          </w:tcPr>
          <w:p w:rsidR="004B5D8B" w:rsidRDefault="004B5D8B"/>
        </w:tc>
        <w:tc>
          <w:tcPr>
            <w:tcW w:w="284" w:type="dxa"/>
            <w:tcBorders>
              <w:left w:val="single" w:sz="8" w:space="0" w:color="66CC33"/>
            </w:tcBorders>
          </w:tcPr>
          <w:p w:rsidR="004B5D8B" w:rsidRDefault="004B5D8B"/>
        </w:tc>
        <w:tc>
          <w:tcPr>
            <w:tcW w:w="6861" w:type="dxa"/>
          </w:tcPr>
          <w:p w:rsidR="004B5D8B" w:rsidRDefault="004B5D8B">
            <w:pPr>
              <w:spacing w:after="80"/>
              <w:jc w:val="right"/>
              <w:rPr>
                <w:color w:val="FF9900"/>
              </w:rPr>
            </w:pPr>
          </w:p>
        </w:tc>
      </w:tr>
      <w:tr w:rsidR="004B5D8B">
        <w:trPr>
          <w:cantSplit/>
          <w:trHeight w:val="1740"/>
        </w:trPr>
        <w:tc>
          <w:tcPr>
            <w:tcW w:w="3119" w:type="dxa"/>
            <w:vMerge w:val="restart"/>
            <w:vAlign w:val="bottom"/>
          </w:tcPr>
          <w:p w:rsidR="004B5D8B" w:rsidRDefault="004B5D8B"/>
        </w:tc>
        <w:tc>
          <w:tcPr>
            <w:tcW w:w="284" w:type="dxa"/>
            <w:tcBorders>
              <w:left w:val="nil"/>
              <w:right w:val="single" w:sz="8" w:space="0" w:color="66CC33"/>
            </w:tcBorders>
          </w:tcPr>
          <w:p w:rsidR="004B5D8B" w:rsidRDefault="004B5D8B"/>
        </w:tc>
        <w:tc>
          <w:tcPr>
            <w:tcW w:w="284" w:type="dxa"/>
            <w:vMerge w:val="restart"/>
            <w:tcBorders>
              <w:left w:val="single" w:sz="8" w:space="0" w:color="66CC33"/>
            </w:tcBorders>
          </w:tcPr>
          <w:p w:rsidR="004B5D8B" w:rsidRDefault="004B5D8B"/>
        </w:tc>
        <w:tc>
          <w:tcPr>
            <w:tcW w:w="6861" w:type="dxa"/>
            <w:vMerge w:val="restart"/>
            <w:vAlign w:val="bottom"/>
          </w:tcPr>
          <w:p w:rsidR="004B5D8B" w:rsidRDefault="004B5D8B">
            <w:pPr>
              <w:jc w:val="right"/>
              <w:rPr>
                <w:color w:val="FF9900"/>
              </w:rPr>
            </w:pPr>
          </w:p>
        </w:tc>
      </w:tr>
      <w:bookmarkEnd w:id="0"/>
      <w:tr w:rsidR="004B5D8B">
        <w:trPr>
          <w:cantSplit/>
          <w:trHeight w:val="80"/>
        </w:trPr>
        <w:tc>
          <w:tcPr>
            <w:tcW w:w="3119" w:type="dxa"/>
            <w:vMerge/>
            <w:vAlign w:val="bottom"/>
          </w:tcPr>
          <w:p w:rsidR="004B5D8B" w:rsidRDefault="004B5D8B"/>
        </w:tc>
        <w:tc>
          <w:tcPr>
            <w:tcW w:w="284" w:type="dxa"/>
            <w:tcBorders>
              <w:left w:val="nil"/>
            </w:tcBorders>
          </w:tcPr>
          <w:p w:rsidR="004B5D8B" w:rsidRDefault="004B5D8B">
            <w:pPr>
              <w:rPr>
                <w:sz w:val="12"/>
              </w:rPr>
            </w:pPr>
          </w:p>
        </w:tc>
        <w:tc>
          <w:tcPr>
            <w:tcW w:w="284" w:type="dxa"/>
            <w:vMerge/>
            <w:tcBorders>
              <w:left w:val="nil"/>
            </w:tcBorders>
          </w:tcPr>
          <w:p w:rsidR="004B5D8B" w:rsidRDefault="004B5D8B"/>
        </w:tc>
        <w:tc>
          <w:tcPr>
            <w:tcW w:w="6861" w:type="dxa"/>
            <w:vMerge/>
            <w:vAlign w:val="bottom"/>
          </w:tcPr>
          <w:p w:rsidR="004B5D8B" w:rsidRDefault="004B5D8B">
            <w:pPr>
              <w:jc w:val="right"/>
              <w:rPr>
                <w:color w:val="FF9900"/>
              </w:rPr>
            </w:pPr>
          </w:p>
        </w:tc>
      </w:tr>
    </w:tbl>
    <w:p w:rsidR="004B5D8B" w:rsidRDefault="004B5D8B">
      <w:pPr>
        <w:rPr>
          <w:sz w:val="2"/>
        </w:rPr>
      </w:pPr>
    </w:p>
    <w:p w:rsidR="004B5D8B" w:rsidRDefault="004B5D8B">
      <w:pPr>
        <w:rPr>
          <w:sz w:val="2"/>
        </w:rPr>
        <w:sectPr w:rsidR="004B5D8B">
          <w:headerReference w:type="default" r:id="rId8"/>
          <w:pgSz w:w="11899" w:h="16838" w:code="1"/>
          <w:pgMar w:top="3600" w:right="851" w:bottom="200" w:left="851" w:header="0" w:footer="300" w:gutter="0"/>
          <w:cols w:space="227"/>
          <w:docGrid w:linePitch="360"/>
          <w:printerSettings r:id="rId9"/>
        </w:sectPr>
      </w:pPr>
    </w:p>
    <w:p w:rsidR="004B5D8B" w:rsidRDefault="00E223B6">
      <w:pPr>
        <w:pStyle w:val="SectionHeading"/>
      </w:pPr>
      <w:r>
        <w:t>Situa</w:t>
      </w:r>
      <w:r w:rsidR="00D929AE">
        <w:t>ción</w:t>
      </w:r>
    </w:p>
    <w:p w:rsidR="00A8571B" w:rsidRDefault="00531746" w:rsidP="00A8571B">
      <w:pPr>
        <w:widowControl w:val="0"/>
        <w:autoSpaceDE w:val="0"/>
        <w:autoSpaceDN w:val="0"/>
        <w:adjustRightInd w:val="0"/>
        <w:spacing w:line="230" w:lineRule="atLeast"/>
        <w:jc w:val="both"/>
        <w:textAlignment w:val="center"/>
        <w:rPr>
          <w:rFonts w:cs="BerkeleyOldITC-Book"/>
          <w:color w:val="000000"/>
          <w:spacing w:val="3"/>
          <w:szCs w:val="17"/>
        </w:rPr>
      </w:pPr>
      <w:r>
        <w:rPr>
          <w:rFonts w:cs="BerkeleyOldITC-Book"/>
          <w:noProof/>
          <w:color w:val="000000"/>
          <w:spacing w:val="3"/>
          <w:szCs w:val="17"/>
          <w:lang w:val="es-ES_tradnl" w:eastAsia="es-ES_tradnl"/>
        </w:rPr>
        <w:pict>
          <v:shapetype id="_x0000_t202" coordsize="21600,21600" o:spt="202" path="m0,0l0,21600,21600,21600,21600,0xe">
            <v:stroke joinstyle="miter"/>
            <v:path gradientshapeok="t" o:connecttype="rect"/>
          </v:shapetype>
          <v:shape id="_x0000_s1130" type="#_x0000_t202" style="position:absolute;left:0;text-align:left;margin-left:36pt;margin-top:156pt;width:155.9pt;height:246pt;z-index:251660800;mso-wrap-edited:f;mso-position-horizontal:absolute;mso-position-horizontal-relative:page;mso-position-vertical:absolute;mso-position-vertical-relative:page" wrapcoords="-103 0 -103 21452 21600 21452 21600 0 -103 0" stroked="f">
            <v:textbox style="mso-next-textbox:#_x0000_s113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1960FE" w:rsidRPr="00B17889">
                    <w:tc>
                      <w:tcPr>
                        <w:tcW w:w="3133" w:type="dxa"/>
                        <w:tcBorders>
                          <w:top w:val="nil"/>
                          <w:left w:val="nil"/>
                          <w:bottom w:val="nil"/>
                          <w:right w:val="nil"/>
                        </w:tcBorders>
                      </w:tcPr>
                      <w:p w:rsidR="001960FE" w:rsidRPr="00B17889" w:rsidRDefault="001960FE">
                        <w:pPr>
                          <w:pStyle w:val="Pullquote"/>
                          <w:rPr>
                            <w:lang w:val="es-ES"/>
                          </w:rPr>
                        </w:pPr>
                        <w:r w:rsidRPr="00B17889">
                          <w:rPr>
                            <w:lang w:val="es-ES"/>
                          </w:rPr>
                          <w:t>“</w:t>
                        </w:r>
                        <w:r>
                          <w:rPr>
                            <w:spacing w:val="-5"/>
                          </w:rPr>
                          <w:t>El correo electr</w:t>
                        </w:r>
                        <w:r w:rsidR="00122F6B">
                          <w:rPr>
                            <w:spacing w:val="-5"/>
                          </w:rPr>
                          <w:t>ó</w:t>
                        </w:r>
                        <w:r>
                          <w:rPr>
                            <w:spacing w:val="-5"/>
                          </w:rPr>
                          <w:t>nico es el mejor paradigma de la convergencia entre el mundo IT y el universo telco, y las soluciones de Microsoft son las que más fácilmente</w:t>
                        </w:r>
                        <w:r w:rsidR="00122F6B">
                          <w:rPr>
                            <w:spacing w:val="-5"/>
                          </w:rPr>
                          <w:t xml:space="preserve"> permiten tener Outlook en el móvil</w:t>
                        </w:r>
                        <w:r w:rsidRPr="00B17889">
                          <w:rPr>
                            <w:lang w:val="es-ES"/>
                          </w:rPr>
                          <w:t>”.</w:t>
                        </w:r>
                      </w:p>
                      <w:p w:rsidR="001960FE" w:rsidRPr="00B17889" w:rsidRDefault="00122F6B" w:rsidP="003779FE">
                        <w:pPr>
                          <w:pStyle w:val="PullQuotecredit"/>
                          <w:rPr>
                            <w:lang w:val="es-ES"/>
                          </w:rPr>
                        </w:pPr>
                        <w:r>
                          <w:rPr>
                            <w:lang w:val="es-ES"/>
                          </w:rPr>
                          <w:t>Víctor Bravo, director de Operaciones de BT Global Services en España y Portugal.</w:t>
                        </w:r>
                      </w:p>
                    </w:tc>
                  </w:tr>
                </w:tbl>
                <w:p w:rsidR="001960FE" w:rsidRPr="00B17889" w:rsidRDefault="001960FE" w:rsidP="008E26E7">
                  <w:pPr>
                    <w:pStyle w:val="PullQuotecredit"/>
                    <w:rPr>
                      <w:lang w:val="es-ES"/>
                    </w:rPr>
                  </w:pPr>
                </w:p>
              </w:txbxContent>
            </v:textbox>
            <w10:wrap type="tight" anchorx="page" anchory="page"/>
            <w10:anchorlock/>
          </v:shape>
        </w:pict>
      </w:r>
      <w:r w:rsidR="00A8571B" w:rsidRPr="00A8571B">
        <w:rPr>
          <w:rFonts w:cs="BerkeleyOldITC-Book"/>
          <w:color w:val="000000"/>
          <w:spacing w:val="3"/>
          <w:szCs w:val="17"/>
        </w:rPr>
        <w:t xml:space="preserve">BT España, que forma parte de BT Global Services y que cumplirá 20 años en España en 2009, cuenta con una amplia experiencia de servicio de mercado empresarial en nuestro país. En la actualidad, dispone de oficinas en las principales ciudades españolas, y tiene como clientes a empresas pertenecientes a los más diversos sectores, 28 de las cuales cotizan en el Ibex 35. Además, tiene una fuerte presencia en todo tipo de administraciones públicas. </w:t>
      </w:r>
    </w:p>
    <w:p w:rsidR="00A8571B" w:rsidRPr="00A8571B" w:rsidRDefault="00A8571B" w:rsidP="00A8571B">
      <w:pPr>
        <w:widowControl w:val="0"/>
        <w:autoSpaceDE w:val="0"/>
        <w:autoSpaceDN w:val="0"/>
        <w:adjustRightInd w:val="0"/>
        <w:spacing w:line="230" w:lineRule="atLeast"/>
        <w:jc w:val="both"/>
        <w:textAlignment w:val="center"/>
        <w:rPr>
          <w:rFonts w:cs="BerkeleyOldITC-Book"/>
          <w:color w:val="000000"/>
          <w:szCs w:val="17"/>
        </w:rPr>
      </w:pPr>
      <w:r w:rsidRPr="00A8571B">
        <w:rPr>
          <w:rFonts w:cs="BerkeleyOldITC-Book"/>
          <w:color w:val="000000"/>
          <w:szCs w:val="17"/>
        </w:rPr>
        <w:t xml:space="preserve">En 2002, BT fue la primera entidad en solicitar la licencia de operador móvil virtual y, en marzo de 2008, lanzó los primeros servicios móviles, convirtiéndose así en una empresa convergente capaz de ofrecer tanto servicios de comunicaciones fijas y móviles gestionadas extremo a extremo como servicios IT, incluyendo proyectos a medida y movilización de aplicaciones verticales. </w:t>
      </w:r>
      <w:r w:rsidRPr="00A8571B">
        <w:rPr>
          <w:rFonts w:cs="BerkeleyOldITC-Book"/>
          <w:color w:val="000000"/>
          <w:spacing w:val="-2"/>
          <w:szCs w:val="17"/>
        </w:rPr>
        <w:t>“Nuestro objetivo era complementar los servicios que ya ofrecíamos a nuestros clientes en las comunicaciones fijas con otros móviles de valor añadido, que comenzaban a demandarnos para poder disponer de un único proveedor de telecomunicaciones”, explica Víctor Bravo, director de Operaciones de BT Global Services en España y Portugal. “Queremos conseguir en el móvil lo que ya se ha logrado en el fijo: que deje de ser considerado como un coste de servicios generales y se vea como una inversión para mejorar la eficiencia de la empresa”, apostilla.</w:t>
      </w:r>
      <w:r w:rsidRPr="00A8571B">
        <w:rPr>
          <w:rFonts w:cs="BerkeleyOldITC-Book"/>
          <w:color w:val="000000"/>
          <w:szCs w:val="17"/>
        </w:rPr>
        <w:t xml:space="preserve"> </w:t>
      </w:r>
    </w:p>
    <w:p w:rsidR="00A8571B" w:rsidRPr="00A8571B" w:rsidRDefault="00A8571B" w:rsidP="00A8571B">
      <w:pPr>
        <w:widowControl w:val="0"/>
        <w:autoSpaceDE w:val="0"/>
        <w:autoSpaceDN w:val="0"/>
        <w:adjustRightInd w:val="0"/>
        <w:spacing w:line="230" w:lineRule="atLeast"/>
        <w:jc w:val="both"/>
        <w:textAlignment w:val="center"/>
        <w:rPr>
          <w:rFonts w:cs="BerkeleyOldITC-Book"/>
          <w:color w:val="000000"/>
          <w:spacing w:val="3"/>
          <w:szCs w:val="17"/>
        </w:rPr>
      </w:pPr>
    </w:p>
    <w:p w:rsidR="004B5D8B" w:rsidRDefault="00E223B6">
      <w:pPr>
        <w:pStyle w:val="SectionHeading"/>
      </w:pPr>
      <w:r>
        <w:t>Solu</w:t>
      </w:r>
      <w:r w:rsidR="00D929AE">
        <w:t>c</w:t>
      </w:r>
      <w:r>
        <w:t>i</w:t>
      </w:r>
      <w:r w:rsidR="00D929AE">
        <w:t>ó</w:t>
      </w:r>
      <w:r>
        <w:t>n</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z w:val="16"/>
          <w:szCs w:val="17"/>
        </w:rPr>
      </w:pPr>
      <w:r w:rsidRPr="00A53249">
        <w:rPr>
          <w:rFonts w:cs="BerkeleyOldITC-Book"/>
          <w:color w:val="000000"/>
          <w:spacing w:val="1"/>
          <w:sz w:val="16"/>
          <w:szCs w:val="17"/>
        </w:rPr>
        <w:t xml:space="preserve">Para emprender este proyecto, BT apostó por el correo electrónico en movilidad como servicio estrella de su oferta, y por Microsoft Windows Mobile y Microsoft Exchange Server como las mejores tecnologías capaces de ofrecerlo. </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z w:val="16"/>
          <w:szCs w:val="17"/>
        </w:rPr>
      </w:pPr>
      <w:r w:rsidRPr="00A53249">
        <w:rPr>
          <w:rFonts w:cs="BerkeleyOldITC-Book"/>
          <w:color w:val="000000"/>
          <w:spacing w:val="-5"/>
          <w:sz w:val="16"/>
          <w:szCs w:val="17"/>
        </w:rPr>
        <w:t>“El correo electrónico es el mejor paradigma de la convergencia entre el mundo IT y el universo telco, y las soluciones de Microsoft son las que más fácilmente permiten tener Outlook en el móvil”, indica Bravo. De hecho, aunque se analizaron otras tecnologías como BlackBerry, “tuvimos muy claro desde el principio que Windows Mobile como sistema operativo y Exchange como herramienta de correo eran las soluciones ideales”, añade.</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z w:val="16"/>
          <w:szCs w:val="17"/>
        </w:rPr>
      </w:pPr>
      <w:r w:rsidRPr="00A53249">
        <w:rPr>
          <w:rFonts w:cs="BerkeleyOldITC-Book"/>
          <w:color w:val="000000"/>
          <w:sz w:val="16"/>
          <w:szCs w:val="17"/>
        </w:rPr>
        <w:t xml:space="preserve">Para los responsables de BT, existían varios motivos que justificaban esta apuesta. Entre otros: </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z w:val="16"/>
          <w:szCs w:val="17"/>
        </w:rPr>
      </w:pPr>
      <w:r w:rsidRPr="00DB529B">
        <w:rPr>
          <w:rFonts w:cs="BerkeleyOldITC-Book"/>
          <w:spacing w:val="-3"/>
          <w:sz w:val="16"/>
          <w:szCs w:val="19"/>
        </w:rPr>
        <w:t>•</w:t>
      </w:r>
      <w:r w:rsidRPr="00A53249">
        <w:rPr>
          <w:rFonts w:cs="BerkeleyOldITC-Book"/>
          <w:color w:val="E48E1A"/>
          <w:spacing w:val="3"/>
          <w:sz w:val="16"/>
          <w:szCs w:val="17"/>
        </w:rPr>
        <w:t xml:space="preserve"> </w:t>
      </w:r>
      <w:r w:rsidRPr="00A53249">
        <w:rPr>
          <w:rFonts w:cs="BerkeleyOldITC-Book"/>
          <w:color w:val="000000"/>
          <w:spacing w:val="3"/>
          <w:sz w:val="16"/>
          <w:szCs w:val="17"/>
        </w:rPr>
        <w:t xml:space="preserve">Su operativa, idéntica a la de un PC, y su apariencia, totalmente Windows, con la consiguiente facilidad de asimilación para los usuarios. </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pacing w:val="-3"/>
          <w:sz w:val="16"/>
          <w:szCs w:val="17"/>
        </w:rPr>
      </w:pPr>
      <w:r w:rsidRPr="00DB529B">
        <w:rPr>
          <w:rFonts w:cs="BerkeleyOldITC-Book"/>
          <w:spacing w:val="4"/>
          <w:sz w:val="16"/>
          <w:szCs w:val="19"/>
        </w:rPr>
        <w:t>•</w:t>
      </w:r>
      <w:r w:rsidRPr="00A53249">
        <w:rPr>
          <w:rFonts w:cs="BerkeleyOldITC-Book"/>
          <w:color w:val="E48E1A"/>
          <w:spacing w:val="3"/>
          <w:sz w:val="16"/>
          <w:szCs w:val="17"/>
        </w:rPr>
        <w:t xml:space="preserve"> </w:t>
      </w:r>
      <w:r w:rsidRPr="00A53249">
        <w:rPr>
          <w:rFonts w:cs="BerkeleyOldITC-Book"/>
          <w:color w:val="000000"/>
          <w:spacing w:val="3"/>
          <w:sz w:val="16"/>
          <w:szCs w:val="17"/>
        </w:rPr>
        <w:t>Su fácil usabilidad, ya que, gracias a Windows Mobile, provee la misma experiencia de usuario que un PC.</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pacing w:val="-3"/>
          <w:sz w:val="16"/>
          <w:szCs w:val="17"/>
        </w:rPr>
      </w:pPr>
      <w:r w:rsidRPr="00DB529B">
        <w:rPr>
          <w:rFonts w:cs="BerkeleyOldITC-Book"/>
          <w:sz w:val="16"/>
          <w:szCs w:val="19"/>
        </w:rPr>
        <w:t>•</w:t>
      </w:r>
      <w:r w:rsidRPr="00A53249">
        <w:rPr>
          <w:rFonts w:cs="BerkeleyOldITC-Book"/>
          <w:color w:val="000000"/>
          <w:sz w:val="16"/>
          <w:szCs w:val="17"/>
        </w:rPr>
        <w:t xml:space="preserve">La total sincronización del correo y la agenda con los servidores ya existentes. </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pacing w:val="-3"/>
          <w:sz w:val="16"/>
          <w:szCs w:val="17"/>
        </w:rPr>
      </w:pPr>
      <w:r w:rsidRPr="00DB529B">
        <w:rPr>
          <w:rFonts w:cs="BerkeleyOldITC-Book"/>
          <w:sz w:val="16"/>
          <w:szCs w:val="19"/>
        </w:rPr>
        <w:t>•</w:t>
      </w:r>
      <w:r w:rsidRPr="00A53249">
        <w:rPr>
          <w:rFonts w:cs="BerkeleyOldITC-Book"/>
          <w:color w:val="E48E1A"/>
          <w:sz w:val="16"/>
          <w:szCs w:val="17"/>
        </w:rPr>
        <w:t xml:space="preserve"> </w:t>
      </w:r>
      <w:r w:rsidRPr="00A53249">
        <w:rPr>
          <w:rFonts w:cs="BerkeleyOldITC-Book"/>
          <w:color w:val="000000"/>
          <w:sz w:val="16"/>
          <w:szCs w:val="17"/>
        </w:rPr>
        <w:t xml:space="preserve">La sencilla configuración de las cuentas de correo, gracias a aplicaciones como ActiveSync y la facilidad en la implantación (a nivel técnico y funcional). </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pacing w:val="-3"/>
          <w:sz w:val="16"/>
          <w:szCs w:val="17"/>
        </w:rPr>
      </w:pPr>
      <w:r w:rsidRPr="00DB529B">
        <w:rPr>
          <w:rFonts w:cs="BerkeleyOldITC-Book"/>
          <w:spacing w:val="-2"/>
          <w:sz w:val="16"/>
          <w:szCs w:val="19"/>
        </w:rPr>
        <w:t>•</w:t>
      </w:r>
      <w:r w:rsidRPr="00A53249">
        <w:rPr>
          <w:rFonts w:cs="BerkeleyOldITC-Book"/>
          <w:color w:val="E48E1A"/>
          <w:spacing w:val="-2"/>
          <w:sz w:val="16"/>
          <w:szCs w:val="17"/>
        </w:rPr>
        <w:t xml:space="preserve"> </w:t>
      </w:r>
      <w:r w:rsidRPr="00A53249">
        <w:rPr>
          <w:rFonts w:cs="BerkeleyOldITC-Book"/>
          <w:color w:val="000000"/>
          <w:spacing w:val="-2"/>
          <w:sz w:val="16"/>
          <w:szCs w:val="17"/>
        </w:rPr>
        <w:t xml:space="preserve">Su alta seguridad, al no necesitar un servidor externo, dado que todos los correos pasan sólo por los servidores Microsoft Exchange. </w:t>
      </w:r>
    </w:p>
    <w:p w:rsidR="00CB7B15" w:rsidRPr="00A53249" w:rsidRDefault="00CB7B15" w:rsidP="00CB7B15">
      <w:pPr>
        <w:widowControl w:val="0"/>
        <w:autoSpaceDE w:val="0"/>
        <w:autoSpaceDN w:val="0"/>
        <w:adjustRightInd w:val="0"/>
        <w:spacing w:line="230" w:lineRule="atLeast"/>
        <w:jc w:val="both"/>
        <w:textAlignment w:val="center"/>
        <w:rPr>
          <w:rFonts w:cs="BerkeleyOldITC-Book"/>
          <w:color w:val="000000"/>
          <w:sz w:val="16"/>
          <w:szCs w:val="17"/>
        </w:rPr>
      </w:pPr>
      <w:r w:rsidRPr="00DB529B">
        <w:rPr>
          <w:rFonts w:cs="BerkeleyOldITC-Book"/>
          <w:spacing w:val="-2"/>
          <w:sz w:val="16"/>
          <w:szCs w:val="19"/>
        </w:rPr>
        <w:t>•</w:t>
      </w:r>
      <w:r w:rsidRPr="00A53249">
        <w:rPr>
          <w:rFonts w:cs="BerkeleyOldITC-Book"/>
          <w:color w:val="E48E1A"/>
          <w:spacing w:val="-2"/>
          <w:sz w:val="16"/>
          <w:szCs w:val="17"/>
        </w:rPr>
        <w:t xml:space="preserve"> </w:t>
      </w:r>
      <w:r w:rsidRPr="00A53249">
        <w:rPr>
          <w:rFonts w:cs="BerkeleyOldITC-Book"/>
          <w:color w:val="000000"/>
          <w:spacing w:val="-2"/>
          <w:sz w:val="16"/>
          <w:szCs w:val="17"/>
        </w:rPr>
        <w:t xml:space="preserve">La integración en los terminales de todas las aplicaciones de Windows Mobile, así como la presencia en el mercado de un amplio abanico de dispositivos provistos de este sistema operativo. </w:t>
      </w:r>
    </w:p>
    <w:p w:rsidR="00A53249" w:rsidRPr="00A53249" w:rsidRDefault="00A53249" w:rsidP="00A53249">
      <w:pPr>
        <w:widowControl w:val="0"/>
        <w:autoSpaceDE w:val="0"/>
        <w:autoSpaceDN w:val="0"/>
        <w:adjustRightInd w:val="0"/>
        <w:spacing w:line="230" w:lineRule="atLeast"/>
        <w:jc w:val="both"/>
        <w:textAlignment w:val="center"/>
        <w:rPr>
          <w:rFonts w:cs="BerkeleyOldITC-Book"/>
          <w:color w:val="000000"/>
          <w:szCs w:val="17"/>
        </w:rPr>
      </w:pPr>
      <w:r w:rsidRPr="00A53249">
        <w:rPr>
          <w:rFonts w:cs="BerkeleyOldITC-Book"/>
          <w:color w:val="000000"/>
          <w:szCs w:val="17"/>
        </w:rPr>
        <w:t xml:space="preserve">La primera experiencia de BT en el lanzamiento de estos servicios móviles en España se llevó a cabo dentro de la propia organización. Se dotó a todos los empleados de la compañía (alrededor de 1.000) de teléfonos móviles con voz y datos (Internet y correo electrónico). Se migraron, por tanto, todas las líneas de voz a los nuevos terminales Windows Mobile y se facilitó a todos los trabajadores correo electrónico en movilidad. “Queríamos hacer realidad la máxima </w:t>
      </w:r>
      <w:r w:rsidRPr="00A53249">
        <w:rPr>
          <w:rFonts w:cs="BerkeleyOldITC-BookItalic"/>
          <w:i/>
          <w:iCs/>
          <w:color w:val="000000"/>
          <w:szCs w:val="17"/>
        </w:rPr>
        <w:t>Use what you sell and sell what you use.</w:t>
      </w:r>
      <w:r w:rsidRPr="00A53249">
        <w:rPr>
          <w:rFonts w:cs="BerkeleyOldITC-Book"/>
          <w:color w:val="000000"/>
          <w:szCs w:val="17"/>
        </w:rPr>
        <w:t xml:space="preserve"> Teníamos claro que los primeros que teníamos que corroborar los beneficios y afrontar los retos de asimilar una implantación como esta éramos nosotros mismos, para luego poder transmitírselos a nuestros clientes”, señala Víctor Bravo. </w:t>
      </w:r>
    </w:p>
    <w:p w:rsidR="00A53249" w:rsidRPr="00A53249" w:rsidRDefault="00A53249" w:rsidP="00A53249">
      <w:pPr>
        <w:widowControl w:val="0"/>
        <w:autoSpaceDE w:val="0"/>
        <w:autoSpaceDN w:val="0"/>
        <w:adjustRightInd w:val="0"/>
        <w:spacing w:line="230" w:lineRule="atLeast"/>
        <w:jc w:val="both"/>
        <w:textAlignment w:val="center"/>
        <w:rPr>
          <w:rFonts w:cs="BerkeleyOldITC-Book"/>
          <w:color w:val="000000"/>
          <w:spacing w:val="-2"/>
          <w:szCs w:val="17"/>
        </w:rPr>
      </w:pPr>
      <w:r w:rsidRPr="00A53249">
        <w:rPr>
          <w:rFonts w:cs="BerkeleyOldITC-Book"/>
          <w:color w:val="000000"/>
          <w:szCs w:val="17"/>
        </w:rPr>
        <w:t xml:space="preserve">Posteriormente, comenzaron a ofrecer los servicios móviles a los clientes, pero siempre de forma paulatina, para dotarles de una verdadera oferta de calidad y valor añadido. “Hemos decidido hacer un seguimiento muy cercano al cliente para garantizar la mejor experiencia y dotar de valor las soluciones en función de las demandas de la empresa. De una primera fase en la que el correo móvil era la solución estrella, hemos pasado a otro estadio en el que ofrecemos aplicaciones más diversas”, continúa. </w:t>
      </w:r>
      <w:r w:rsidRPr="00A53249">
        <w:rPr>
          <w:rFonts w:cs="BerkeleyOldITC-Book"/>
          <w:color w:val="000000"/>
          <w:spacing w:val="-2"/>
          <w:szCs w:val="17"/>
        </w:rPr>
        <w:t xml:space="preserve">En la actualidad, el número de líneas de telefonía móvil ofertadas por BT a sus clientes ronda las 7.000. “Se trata de líneas con servicios móviles tremendamente robustos y fiables: no hay que olvidar que estamos dando servicios móviles a compañías que ya eran nuestros clientes de voz y datos fijos”, aclara Bravo. </w:t>
      </w:r>
    </w:p>
    <w:p w:rsidR="007A372D" w:rsidRPr="007A372D" w:rsidRDefault="007A372D" w:rsidP="00F96931">
      <w:pPr>
        <w:pStyle w:val="Textogeneral"/>
        <w:rPr>
          <w:rFonts w:ascii="Franklin Gothic Book" w:hAnsi="Franklin Gothic Book"/>
          <w:spacing w:val="-5"/>
        </w:rPr>
      </w:pPr>
    </w:p>
    <w:p w:rsidR="004B5D8B" w:rsidRDefault="004B5D8B" w:rsidP="00F96931">
      <w:pPr>
        <w:pStyle w:val="Bodycopy"/>
        <w:jc w:val="both"/>
      </w:pPr>
    </w:p>
    <w:p w:rsidR="004B5D8B" w:rsidRDefault="00E223B6" w:rsidP="00F96931">
      <w:pPr>
        <w:pStyle w:val="SectionHeading"/>
        <w:jc w:val="both"/>
      </w:pPr>
      <w:r>
        <w:t>Benefi</w:t>
      </w:r>
      <w:r w:rsidR="00D929AE">
        <w:t>cios</w:t>
      </w:r>
    </w:p>
    <w:p w:rsidR="000B05D6" w:rsidRPr="000B05D6" w:rsidRDefault="00F96931" w:rsidP="000B05D6">
      <w:pPr>
        <w:widowControl w:val="0"/>
        <w:autoSpaceDE w:val="0"/>
        <w:autoSpaceDN w:val="0"/>
        <w:adjustRightInd w:val="0"/>
        <w:spacing w:line="230" w:lineRule="atLeast"/>
        <w:jc w:val="both"/>
        <w:textAlignment w:val="center"/>
        <w:rPr>
          <w:rFonts w:cs="BerkeleyOldITC-Book"/>
          <w:color w:val="000000"/>
          <w:szCs w:val="17"/>
        </w:rPr>
      </w:pPr>
      <w:r>
        <w:sym w:font="Symbol" w:char="F0B7"/>
      </w:r>
      <w:r>
        <w:t xml:space="preserve"> </w:t>
      </w:r>
      <w:r w:rsidR="00A53249">
        <w:t xml:space="preserve">Incremento </w:t>
      </w:r>
      <w:r w:rsidR="000B05D6">
        <w:t xml:space="preserve">de la productividad.  </w:t>
      </w:r>
      <w:r w:rsidR="000B05D6" w:rsidRPr="000B05D6">
        <w:rPr>
          <w:rFonts w:cs="Segoe-Semibold"/>
          <w:spacing w:val="-1"/>
          <w:szCs w:val="17"/>
        </w:rPr>
        <w:t xml:space="preserve">Al acceder a la información en cualquier lugar y momento, los empleados aumentan su eficiencia y productividad y mejoran su toma de decisiones y el servicio que prestan a los </w:t>
      </w:r>
      <w:r w:rsidR="000B05D6">
        <w:rPr>
          <w:rFonts w:cs="Segoe-Semibold"/>
          <w:spacing w:val="-1"/>
          <w:szCs w:val="17"/>
        </w:rPr>
        <w:t>client</w:t>
      </w:r>
      <w:r w:rsidR="000B05D6" w:rsidRPr="000B05D6">
        <w:rPr>
          <w:rFonts w:cs="Segoe-Semibold"/>
          <w:spacing w:val="-1"/>
          <w:szCs w:val="17"/>
        </w:rPr>
        <w:t xml:space="preserve">es, pues pueden solucionar cualquier incidencia rápidamente, incluso si se encuentran fuera de la oficina. </w:t>
      </w:r>
      <w:r w:rsidR="000B05D6" w:rsidRPr="000B05D6">
        <w:rPr>
          <w:rFonts w:cs="BerkeleyOldITC-Book"/>
          <w:color w:val="000000"/>
          <w:spacing w:val="-2"/>
          <w:szCs w:val="17"/>
        </w:rPr>
        <w:t xml:space="preserve">“Desde el primer momento supimos que dotar a nuestros empleados de correo móvil era una gran oportunidad para incrementar su productividad y eficiencia, ayudarles en la toma de decisiones y mejorar el servicio que ofrecen a los clientes, al poder solucionar cualquier incidencia de forma rápida aunque no se encuentren en la oficina. De la misma manera que en la sociedad industrial el flujo sanguíneo eran la logística y los transportes, en la sociedad del conocimiento esta posición la ocupa el correo electrónico”, afirma Víctor Bravo. </w:t>
      </w:r>
    </w:p>
    <w:p w:rsidR="000B05D6" w:rsidRPr="000B05D6" w:rsidRDefault="000B05D6" w:rsidP="000B05D6">
      <w:pPr>
        <w:pStyle w:val="Bodycopy"/>
        <w:jc w:val="both"/>
        <w:rPr>
          <w:spacing w:val="-5"/>
        </w:rPr>
      </w:pPr>
    </w:p>
    <w:p w:rsidR="00577581" w:rsidRDefault="00577581" w:rsidP="00F96931">
      <w:pPr>
        <w:pStyle w:val="Bodycopy"/>
        <w:jc w:val="both"/>
        <w:rPr>
          <w:spacing w:val="-5"/>
        </w:rPr>
      </w:pPr>
    </w:p>
    <w:p w:rsidR="00A53249" w:rsidRPr="00A53249" w:rsidRDefault="00F96931" w:rsidP="00A53249">
      <w:pPr>
        <w:pStyle w:val="Bodycopy"/>
        <w:jc w:val="both"/>
      </w:pPr>
      <w:r>
        <w:sym w:font="Symbol" w:char="F0B7"/>
      </w:r>
      <w:r>
        <w:t xml:space="preserve"> </w:t>
      </w:r>
      <w:r w:rsidR="00A53249">
        <w:rPr>
          <w:spacing w:val="-5"/>
        </w:rPr>
        <w:t xml:space="preserve">Facilidad de uso. </w:t>
      </w:r>
      <w:r w:rsidR="00A53249" w:rsidRPr="00A53249">
        <w:t>Microsoft Windows Mobile garantiza la misma experiencia de usuario que un PC. Además, las cuentas de correo se configuran de forma sencilla gracias a aplicaciones como ActiveSync.</w:t>
      </w:r>
    </w:p>
    <w:p w:rsidR="00577581" w:rsidRDefault="00577581" w:rsidP="00F96931">
      <w:pPr>
        <w:pStyle w:val="Bodycopy"/>
        <w:jc w:val="both"/>
        <w:rPr>
          <w:spacing w:val="-5"/>
        </w:rPr>
      </w:pPr>
    </w:p>
    <w:p w:rsidR="00A53249" w:rsidRPr="00A53249" w:rsidRDefault="00F96931" w:rsidP="00A53249">
      <w:pPr>
        <w:pStyle w:val="Bodycopy"/>
        <w:jc w:val="both"/>
        <w:rPr>
          <w:spacing w:val="-5"/>
        </w:rPr>
      </w:pPr>
      <w:r>
        <w:sym w:font="Symbol" w:char="F0B7"/>
      </w:r>
      <w:r>
        <w:t xml:space="preserve"> </w:t>
      </w:r>
      <w:r w:rsidR="00A53249">
        <w:rPr>
          <w:spacing w:val="-5"/>
        </w:rPr>
        <w:t xml:space="preserve">Máxima seguridad. </w:t>
      </w:r>
      <w:r w:rsidR="00A53249" w:rsidRPr="00A53249">
        <w:rPr>
          <w:rFonts w:cs="Segoe-Semibold"/>
          <w:spacing w:val="-4"/>
          <w:szCs w:val="17"/>
        </w:rPr>
        <w:t>La seguridad se potencia al pasar los correos exclusivamente por los servidores Microsoft Exchange, y no precisarse un servidor externo.</w:t>
      </w:r>
    </w:p>
    <w:p w:rsidR="00A53249" w:rsidRDefault="00A53249" w:rsidP="00A53249">
      <w:pPr>
        <w:pStyle w:val="Bodycopy"/>
        <w:jc w:val="both"/>
        <w:rPr>
          <w:spacing w:val="-5"/>
        </w:rPr>
      </w:pPr>
    </w:p>
    <w:p w:rsidR="00A53249" w:rsidRDefault="00A53249" w:rsidP="00A53249">
      <w:pPr>
        <w:pStyle w:val="Bodycopy"/>
        <w:jc w:val="both"/>
        <w:rPr>
          <w:spacing w:val="-5"/>
        </w:rPr>
      </w:pPr>
    </w:p>
    <w:p w:rsidR="004B5D8B" w:rsidRDefault="004B5D8B" w:rsidP="00A53249">
      <w:pPr>
        <w:pStyle w:val="Bodycopy"/>
        <w:jc w:val="both"/>
      </w:pPr>
    </w:p>
    <w:p w:rsidR="004B5D8B" w:rsidRDefault="00E223B6" w:rsidP="00A85BF6">
      <w:pPr>
        <w:pStyle w:val="SectionHeading"/>
        <w:jc w:val="both"/>
      </w:pPr>
      <w:r>
        <w:br w:type="column"/>
      </w:r>
      <w:bookmarkStart w:id="7" w:name="ProductBoilerplateTitle"/>
      <w:r w:rsidR="00531746" w:rsidRPr="00531746">
        <w:rPr>
          <w:noProof/>
          <w:sz w:val="20"/>
        </w:rPr>
        <w:pict>
          <v:shape id="_x0000_s1126" type="#_x0000_t202" style="position:absolute;left:0;text-align:left;margin-left:225pt;margin-top:534pt;width:348.3pt;height:108pt;z-index:251659776;mso-position-horizontal:absolute;mso-position-horizontal-relative:page;mso-position-vertical:absolut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1960FE">
                    <w:trPr>
                      <w:cantSplit/>
                      <w:trHeight w:hRule="exact" w:val="170"/>
                    </w:trPr>
                    <w:tc>
                      <w:tcPr>
                        <w:tcW w:w="6692" w:type="dxa"/>
                        <w:gridSpan w:val="2"/>
                      </w:tcPr>
                      <w:p w:rsidR="001960FE" w:rsidRDefault="001960FE">
                        <w:pPr>
                          <w:pStyle w:val="SectionHeadingGrey"/>
                        </w:pPr>
                        <w:bookmarkStart w:id="8" w:name="Softwareandservicestable"/>
                        <w:bookmarkEnd w:id="8"/>
                      </w:p>
                    </w:tc>
                  </w:tr>
                  <w:tr w:rsidR="001960FE">
                    <w:trPr>
                      <w:trHeight w:val="3846"/>
                    </w:trPr>
                    <w:tc>
                      <w:tcPr>
                        <w:tcW w:w="3302" w:type="dxa"/>
                      </w:tcPr>
                      <w:p w:rsidR="001960FE" w:rsidRDefault="001960FE">
                        <w:pPr>
                          <w:pStyle w:val="SectionHeadingGrey"/>
                        </w:pPr>
                        <w:bookmarkStart w:id="9" w:name="SoftwareandServices1"/>
                        <w:bookmarkEnd w:id="9"/>
                        <w:r>
                          <w:t xml:space="preserve">Software </w:t>
                        </w:r>
                        <w:r w:rsidR="00A61A69">
                          <w:t>y</w:t>
                        </w:r>
                        <w:r>
                          <w:t xml:space="preserve"> Servic</w:t>
                        </w:r>
                        <w:r w:rsidR="00A61A69">
                          <w:t>ios</w:t>
                        </w:r>
                      </w:p>
                      <w:p w:rsidR="001960FE" w:rsidRDefault="001960FE">
                        <w:pPr>
                          <w:pStyle w:val="BulletGrey"/>
                        </w:pPr>
                        <w:r>
                          <w:t>Productos</w:t>
                        </w:r>
                      </w:p>
                      <w:p w:rsidR="001960FE" w:rsidRDefault="001960FE">
                        <w:pPr>
                          <w:pStyle w:val="BulletLevel2"/>
                          <w:numPr>
                            <w:ilvl w:val="0"/>
                            <w:numId w:val="5"/>
                          </w:numPr>
                        </w:pPr>
                        <w:r>
                          <w:t xml:space="preserve">Microsoft </w:t>
                        </w:r>
                        <w:r w:rsidR="00513664">
                          <w:t>Outlook</w:t>
                        </w:r>
                      </w:p>
                      <w:p w:rsidR="001960FE" w:rsidRDefault="001960FE" w:rsidP="00B0130D">
                        <w:pPr>
                          <w:pStyle w:val="BulletLevel2"/>
                          <w:numPr>
                            <w:ilvl w:val="0"/>
                            <w:numId w:val="5"/>
                          </w:numPr>
                        </w:pPr>
                        <w:r>
                          <w:t>Microsoft Windows Mobile</w:t>
                        </w:r>
                      </w:p>
                      <w:p w:rsidR="001960FE" w:rsidRDefault="001960FE" w:rsidP="00B0130D">
                        <w:pPr>
                          <w:pStyle w:val="BulletLevel2"/>
                          <w:numPr>
                            <w:ilvl w:val="0"/>
                            <w:numId w:val="5"/>
                          </w:numPr>
                        </w:pPr>
                        <w:r>
                          <w:t>Micros</w:t>
                        </w:r>
                        <w:r w:rsidR="00CE4474">
                          <w:t>o</w:t>
                        </w:r>
                        <w:r>
                          <w:t>ft Exchange</w:t>
                        </w:r>
                        <w:r w:rsidR="00513664">
                          <w:t xml:space="preserve"> Server</w:t>
                        </w:r>
                      </w:p>
                      <w:p w:rsidR="001960FE" w:rsidRDefault="001960FE" w:rsidP="00B0130D">
                        <w:pPr>
                          <w:pStyle w:val="BulletGrey"/>
                          <w:numPr>
                            <w:ilvl w:val="0"/>
                            <w:numId w:val="0"/>
                          </w:numPr>
                          <w:ind w:left="360"/>
                        </w:pPr>
                      </w:p>
                      <w:p w:rsidR="001960FE" w:rsidRDefault="001960FE" w:rsidP="00B0130D">
                        <w:pPr>
                          <w:pStyle w:val="BulletLevel2"/>
                          <w:numPr>
                            <w:ilvl w:val="0"/>
                            <w:numId w:val="0"/>
                          </w:numPr>
                          <w:ind w:left="360" w:hanging="180"/>
                        </w:pPr>
                      </w:p>
                      <w:p w:rsidR="001960FE" w:rsidRDefault="001960FE" w:rsidP="00B0130D">
                        <w:pPr>
                          <w:pStyle w:val="BulletLevel2"/>
                          <w:numPr>
                            <w:ilvl w:val="0"/>
                            <w:numId w:val="0"/>
                          </w:numPr>
                          <w:ind w:left="360"/>
                        </w:pPr>
                      </w:p>
                    </w:tc>
                    <w:tc>
                      <w:tcPr>
                        <w:tcW w:w="3390" w:type="dxa"/>
                      </w:tcPr>
                      <w:p w:rsidR="001960FE" w:rsidRDefault="001960FE">
                        <w:pPr>
                          <w:pStyle w:val="Bodycopy"/>
                        </w:pPr>
                        <w:bookmarkStart w:id="10" w:name="SoftwareandServices2"/>
                        <w:bookmarkEnd w:id="10"/>
                      </w:p>
                      <w:p w:rsidR="001960FE" w:rsidRDefault="001960FE">
                        <w:pPr>
                          <w:pStyle w:val="Bodycopy"/>
                        </w:pPr>
                      </w:p>
                      <w:p w:rsidR="001960FE" w:rsidRDefault="001960FE" w:rsidP="003779FE">
                        <w:pPr>
                          <w:pStyle w:val="BulletGrey"/>
                          <w:numPr>
                            <w:ilvl w:val="0"/>
                            <w:numId w:val="0"/>
                          </w:numPr>
                          <w:ind w:left="360"/>
                          <w:rPr>
                            <w:lang w:val="sv-SE"/>
                          </w:rPr>
                        </w:pPr>
                      </w:p>
                    </w:tc>
                  </w:tr>
                </w:tbl>
                <w:p w:rsidR="001960FE" w:rsidRDefault="001960FE">
                  <w:pPr>
                    <w:pStyle w:val="Bodycopy"/>
                    <w:rPr>
                      <w:lang w:val="sv-SE"/>
                    </w:rPr>
                  </w:pPr>
                </w:p>
              </w:txbxContent>
            </v:textbox>
            <w10:wrap type="square" anchorx="page" anchory="page"/>
            <w10:anchorlock/>
          </v:shape>
        </w:pict>
      </w:r>
      <w:r w:rsidR="00531746" w:rsidRPr="00531746">
        <w:rPr>
          <w:noProof/>
          <w:sz w:val="20"/>
        </w:rPr>
        <w:pict>
          <v:shape id="DisclaimerBox" o:spid="_x0000_s1112" type="#_x0000_t202" style="position:absolute;left:0;text-align:left;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1960FE">
                    <w:trPr>
                      <w:trHeight w:val="2114"/>
                    </w:trPr>
                    <w:tc>
                      <w:tcPr>
                        <w:tcW w:w="3200" w:type="dxa"/>
                        <w:tcBorders>
                          <w:top w:val="nil"/>
                          <w:left w:val="nil"/>
                          <w:bottom w:val="nil"/>
                          <w:right w:val="nil"/>
                        </w:tcBorders>
                        <w:vAlign w:val="bottom"/>
                      </w:tcPr>
                      <w:p w:rsidR="001960FE" w:rsidRDefault="001960FE">
                        <w:pPr>
                          <w:pStyle w:val="Disclaimer"/>
                        </w:pPr>
                        <w:bookmarkStart w:id="11" w:name="Disclaimer"/>
                        <w:r>
                          <w:rPr>
                            <w:szCs w:val="11"/>
                          </w:rPr>
                          <w:t xml:space="preserve">  </w:t>
                        </w:r>
                        <w:r>
                          <w:t>.</w:t>
                        </w:r>
                        <w:bookmarkEnd w:id="11"/>
                      </w:p>
                      <w:p w:rsidR="001960FE" w:rsidRDefault="001960FE">
                        <w:pPr>
                          <w:pStyle w:val="Disclaimer"/>
                          <w:rPr>
                            <w:szCs w:val="11"/>
                          </w:rPr>
                        </w:pPr>
                      </w:p>
                      <w:p w:rsidR="001960FE" w:rsidRDefault="001960FE">
                        <w:pPr>
                          <w:pStyle w:val="Disclaimer"/>
                        </w:pPr>
                        <w:r>
                          <w:rPr>
                            <w:szCs w:val="11"/>
                          </w:rPr>
                          <w:t xml:space="preserve">Document published </w:t>
                        </w:r>
                        <w:bookmarkStart w:id="12" w:name="DocumentPublished"/>
                        <w:r>
                          <w:rPr>
                            <w:szCs w:val="11"/>
                          </w:rPr>
                          <w:t>06/08/03</w:t>
                        </w:r>
                        <w:bookmarkEnd w:id="12"/>
                      </w:p>
                    </w:tc>
                    <w:tc>
                      <w:tcPr>
                        <w:tcW w:w="280" w:type="dxa"/>
                        <w:tcBorders>
                          <w:top w:val="nil"/>
                          <w:left w:val="nil"/>
                          <w:bottom w:val="nil"/>
                          <w:right w:val="single" w:sz="8" w:space="0" w:color="66CC33"/>
                        </w:tcBorders>
                        <w:vAlign w:val="bottom"/>
                      </w:tcPr>
                      <w:p w:rsidR="001960FE" w:rsidRDefault="001960FE">
                        <w:pPr>
                          <w:pStyle w:val="Disclaimer"/>
                        </w:pPr>
                      </w:p>
                    </w:tc>
                  </w:tr>
                </w:tbl>
                <w:p w:rsidR="001960FE" w:rsidRDefault="001960FE">
                  <w:pPr>
                    <w:pStyle w:val="Disclaimer"/>
                  </w:pPr>
                </w:p>
              </w:txbxContent>
            </v:textbox>
            <w10:wrap anchorx="page" anchory="page"/>
            <w10:anchorlock/>
          </v:shape>
        </w:pict>
      </w:r>
      <w:r w:rsidR="00531746" w:rsidRPr="00531746">
        <w:rPr>
          <w:noProof/>
          <w:sz w:val="20"/>
        </w:rPr>
        <w:pict>
          <v:shape id="_x0000_s1111" type="#_x0000_t202" style="position:absolute;left:0;text-align:left;margin-left:54pt;margin-top:162pt;width:155.9pt;height:484.4pt;z-index:251657728;mso-position-horizontal:absolute;mso-position-horizontal-relative:page;mso-position-vertical:absolute;mso-position-vertical-relative:page" stroked="f">
            <v:textbox style="mso-next-textbox:#_x0000_s1111" inset="0,0,0,0">
              <w:txbxContent>
                <w:p w:rsidR="001960FE" w:rsidRDefault="001960FE">
                  <w:pPr>
                    <w:pStyle w:val="SectionHeading"/>
                  </w:pPr>
                  <w:r>
                    <w:t>Para más información</w:t>
                  </w:r>
                </w:p>
                <w:p w:rsidR="001960FE" w:rsidRPr="004527A2" w:rsidRDefault="001960FE" w:rsidP="00D929AE">
                  <w:pPr>
                    <w:pStyle w:val="Bodycopy"/>
                    <w:rPr>
                      <w:lang w:val="es-ES"/>
                    </w:rPr>
                  </w:pPr>
                  <w:r w:rsidRPr="004527A2">
                    <w:rPr>
                      <w:lang w:val="es-ES"/>
                    </w:rPr>
                    <w:t>Para más información sobre los productos y servicios de Microsoft</w:t>
                  </w:r>
                  <w:r>
                    <w:rPr>
                      <w:lang w:val="es-ES"/>
                    </w:rPr>
                    <w:t xml:space="preserve"> llame al teléfono de Atención al Cliente: 902 197 198. </w:t>
                  </w:r>
                  <w:r w:rsidRPr="004527A2">
                    <w:rPr>
                      <w:lang w:val="es-ES"/>
                    </w:rPr>
                    <w:t xml:space="preserve">Para acceder a más información sobre los productos y servicios </w:t>
                  </w:r>
                  <w:r>
                    <w:rPr>
                      <w:lang w:val="es-ES"/>
                    </w:rPr>
                    <w:t xml:space="preserve">de Microsoft para grandes organizaciones, consulte nuestra Web: </w:t>
                  </w:r>
                  <w:r w:rsidRPr="004527A2">
                    <w:rPr>
                      <w:lang w:val="es-ES"/>
                    </w:rPr>
                    <w:t>www.microsoft.com</w:t>
                  </w:r>
                  <w:r>
                    <w:rPr>
                      <w:lang w:val="es-ES"/>
                    </w:rPr>
                    <w:t>/spain/enterprise</w:t>
                  </w:r>
                </w:p>
                <w:p w:rsidR="001960FE" w:rsidRDefault="001960FE">
                  <w:pPr>
                    <w:pStyle w:val="Bodycopy"/>
                  </w:pPr>
                </w:p>
                <w:p w:rsidR="001960FE" w:rsidRDefault="001960FE">
                  <w:pPr>
                    <w:pStyle w:val="Bodycopy"/>
                  </w:pPr>
                  <w:r>
                    <w:t xml:space="preserve">Para más información sobre </w:t>
                  </w:r>
                  <w:r w:rsidR="00A64D9E">
                    <w:t>BT</w:t>
                  </w:r>
                  <w:r>
                    <w:t xml:space="preserve"> visite: www.bt.com</w:t>
                  </w:r>
                </w:p>
                <w:p w:rsidR="001960FE" w:rsidRDefault="001960FE">
                  <w:pPr>
                    <w:pStyle w:val="Bodycopy"/>
                  </w:pPr>
                </w:p>
                <w:p w:rsidR="001960FE" w:rsidRDefault="001960FE">
                  <w:pPr>
                    <w:pStyle w:val="Bodycopy"/>
                  </w:pPr>
                </w:p>
                <w:p w:rsidR="001960FE" w:rsidRDefault="001960FE">
                  <w:pPr>
                    <w:pStyle w:val="Bodycopy"/>
                  </w:pPr>
                </w:p>
                <w:p w:rsidR="001960FE" w:rsidRDefault="001960FE">
                  <w:pPr>
                    <w:pStyle w:val="Bodycopy"/>
                  </w:pPr>
                </w:p>
              </w:txbxContent>
            </v:textbox>
            <w10:wrap anchorx="page" anchory="page"/>
            <w10:anchorlock/>
          </v:shape>
        </w:pict>
      </w:r>
      <w:bookmarkStart w:id="13" w:name="ProductBoilerplateText"/>
      <w:bookmarkEnd w:id="7"/>
    </w:p>
    <w:p w:rsidR="004B5D8B" w:rsidRDefault="004B5D8B">
      <w:pPr>
        <w:pStyle w:val="Bodycopy"/>
      </w:pPr>
    </w:p>
    <w:p w:rsidR="004B5D8B" w:rsidRDefault="004B5D8B">
      <w:pPr>
        <w:pStyle w:val="Bodycopy"/>
      </w:pPr>
    </w:p>
    <w:bookmarkEnd w:id="13"/>
    <w:p w:rsidR="004B5D8B" w:rsidRDefault="004B5D8B">
      <w:pPr>
        <w:pStyle w:val="Bodycopy"/>
      </w:pPr>
    </w:p>
    <w:sectPr w:rsidR="004B5D8B" w:rsidSect="00F82AB7">
      <w:headerReference w:type="default" r:id="rId10"/>
      <w:pgSz w:w="11899" w:h="16838" w:code="1"/>
      <w:pgMar w:top="3240" w:right="851" w:bottom="1320" w:left="4536" w:header="0" w:footer="600" w:gutter="0"/>
      <w:cols w:num="2" w:space="284"/>
      <w:docGrid w:linePitch="360"/>
      <w:printerSettings r:id="rId11"/>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960FE" w:rsidRDefault="001960FE">
      <w:r>
        <w:separator/>
      </w:r>
    </w:p>
  </w:endnote>
  <w:endnote w:type="continuationSeparator" w:id="1">
    <w:p w:rsidR="001960FE" w:rsidRDefault="001960F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Sans Typewriter">
    <w:panose1 w:val="020B0509030504030204"/>
    <w:charset w:val="00"/>
    <w:family w:val="auto"/>
    <w:pitch w:val="variable"/>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PMingLiU">
    <w:altName w:val="新細明體"/>
    <w:charset w:val="88"/>
    <w:family w:val="roman"/>
    <w:pitch w:val="variable"/>
    <w:sig w:usb0="00000003" w:usb1="082E0000" w:usb2="00000016" w:usb3="00000000" w:csb0="00100001" w:csb1="00000000"/>
  </w:font>
  <w:font w:name="Franklin Gothic Heavy">
    <w:altName w:val="Cambria"/>
    <w:charset w:val="00"/>
    <w:family w:val="swiss"/>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BerkeleyOldITC-Book">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BerkeleyOldITC-BookItalic">
    <w:charset w:val="00"/>
    <w:family w:val="auto"/>
    <w:pitch w:val="variable"/>
    <w:sig w:usb0="00000003" w:usb1="00000000" w:usb2="00000000" w:usb3="00000000" w:csb0="00000001" w:csb1="00000000"/>
  </w:font>
  <w:font w:name="Segoe-Semibold">
    <w:altName w:val="Segoe Semi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960FE" w:rsidRDefault="001960FE">
      <w:r>
        <w:separator/>
      </w:r>
    </w:p>
  </w:footnote>
  <w:footnote w:type="continuationSeparator" w:id="1">
    <w:p w:rsidR="001960FE" w:rsidRDefault="001960F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10916" w:type="dxa"/>
      <w:tblInd w:w="-860" w:type="dxa"/>
      <w:tblLayout w:type="fixed"/>
      <w:tblCellMar>
        <w:left w:w="0" w:type="dxa"/>
        <w:right w:w="0" w:type="dxa"/>
      </w:tblCellMar>
      <w:tblLook w:val="0000"/>
    </w:tblPr>
    <w:tblGrid>
      <w:gridCol w:w="860"/>
      <w:gridCol w:w="3393"/>
      <w:gridCol w:w="284"/>
      <w:gridCol w:w="6379"/>
    </w:tblGrid>
    <w:tr w:rsidR="001960FE">
      <w:trPr>
        <w:cantSplit/>
        <w:trHeight w:hRule="exact" w:val="1155"/>
      </w:trPr>
      <w:tc>
        <w:tcPr>
          <w:tcW w:w="4253" w:type="dxa"/>
          <w:gridSpan w:val="2"/>
          <w:vMerge w:val="restart"/>
        </w:tcPr>
        <w:p w:rsidR="001960FE" w:rsidRDefault="001960FE">
          <w:bookmarkStart w:id="5" w:name="ProductPicture"/>
          <w:r>
            <w:rPr>
              <w:noProof/>
              <w:lang w:val="es-ES_tradnl" w:eastAsia="es-ES_tradnl"/>
            </w:rPr>
            <w:drawing>
              <wp:inline distT="0" distB="0" distL="0" distR="0">
                <wp:extent cx="2696845" cy="1678305"/>
                <wp:effectExtent l="25400" t="0" r="0" b="0"/>
                <wp:docPr id="1" name="Imagen 1" descr="IM_Le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_Leap2"/>
                        <pic:cNvPicPr>
                          <a:picLocks noChangeAspect="1" noChangeArrowheads="1"/>
                        </pic:cNvPicPr>
                      </pic:nvPicPr>
                      <pic:blipFill>
                        <a:blip r:embed="rId1"/>
                        <a:srcRect/>
                        <a:stretch>
                          <a:fillRect/>
                        </a:stretch>
                      </pic:blipFill>
                      <pic:spPr bwMode="auto">
                        <a:xfrm>
                          <a:off x="0" y="0"/>
                          <a:ext cx="2696845" cy="1678305"/>
                        </a:xfrm>
                        <a:prstGeom prst="rect">
                          <a:avLst/>
                        </a:prstGeom>
                        <a:noFill/>
                        <a:ln w="9525">
                          <a:noFill/>
                          <a:miter lim="800000"/>
                          <a:headEnd/>
                          <a:tailEnd/>
                        </a:ln>
                      </pic:spPr>
                    </pic:pic>
                  </a:graphicData>
                </a:graphic>
              </wp:inline>
            </w:drawing>
          </w:r>
          <w:bookmarkEnd w:id="5"/>
        </w:p>
      </w:tc>
      <w:tc>
        <w:tcPr>
          <w:tcW w:w="284" w:type="dxa"/>
          <w:vMerge w:val="restart"/>
        </w:tcPr>
        <w:p w:rsidR="001960FE" w:rsidRDefault="001960FE"/>
      </w:tc>
      <w:tc>
        <w:tcPr>
          <w:tcW w:w="6379" w:type="dxa"/>
        </w:tcPr>
        <w:p w:rsidR="001960FE" w:rsidRDefault="001960FE">
          <w:pPr>
            <w:pStyle w:val="StandFirstIntroduction"/>
          </w:pPr>
        </w:p>
      </w:tc>
    </w:tr>
    <w:tr w:rsidR="001960FE">
      <w:trPr>
        <w:cantSplit/>
        <w:trHeight w:val="768"/>
      </w:trPr>
      <w:tc>
        <w:tcPr>
          <w:tcW w:w="4253" w:type="dxa"/>
          <w:gridSpan w:val="2"/>
          <w:vMerge/>
        </w:tcPr>
        <w:p w:rsidR="001960FE" w:rsidRDefault="001960FE"/>
      </w:tc>
      <w:tc>
        <w:tcPr>
          <w:tcW w:w="284" w:type="dxa"/>
          <w:vMerge/>
        </w:tcPr>
        <w:p w:rsidR="001960FE" w:rsidRDefault="001960FE"/>
      </w:tc>
      <w:tc>
        <w:tcPr>
          <w:tcW w:w="6379" w:type="dxa"/>
          <w:vAlign w:val="bottom"/>
        </w:tcPr>
        <w:p w:rsidR="002E6B1A" w:rsidRDefault="002E6B1A" w:rsidP="002E6B1A">
          <w:pPr>
            <w:pStyle w:val="Casestudydescription"/>
          </w:pPr>
          <w:bookmarkStart w:id="6" w:name="ProductTitle"/>
          <w:r>
            <w:t>Casos de éxito de Microsoft</w:t>
          </w:r>
        </w:p>
        <w:bookmarkEnd w:id="6"/>
        <w:p w:rsidR="002E6B1A" w:rsidRDefault="002E6B1A" w:rsidP="002E6B1A">
          <w:pPr>
            <w:pStyle w:val="Casestudydescription"/>
          </w:pPr>
          <w:r>
            <w:t xml:space="preserve">Soluciones de Microsoft para el Sector </w:t>
          </w:r>
        </w:p>
        <w:p w:rsidR="001960FE" w:rsidRDefault="002E6B1A" w:rsidP="002E6B1A">
          <w:pPr>
            <w:pStyle w:val="Casestudydescription"/>
          </w:pPr>
          <w:r>
            <w:t>de Telecomunicaciones</w:t>
          </w:r>
        </w:p>
      </w:tc>
    </w:tr>
    <w:tr w:rsidR="001960FE">
      <w:trPr>
        <w:cantSplit/>
        <w:trHeight w:val="1248"/>
      </w:trPr>
      <w:tc>
        <w:tcPr>
          <w:tcW w:w="4253" w:type="dxa"/>
          <w:gridSpan w:val="2"/>
          <w:vMerge/>
        </w:tcPr>
        <w:p w:rsidR="001960FE" w:rsidRDefault="001960FE"/>
      </w:tc>
      <w:tc>
        <w:tcPr>
          <w:tcW w:w="284" w:type="dxa"/>
        </w:tcPr>
        <w:p w:rsidR="001960FE" w:rsidRDefault="00531746">
          <w:r w:rsidRPr="00531746">
            <w:rPr>
              <w:noProof/>
              <w:sz w:val="20"/>
              <w:lang w:val="en-US"/>
            </w:rPr>
            <w:pict>
              <v:shapetype id="_x0000_t202" coordsize="21600,21600" o:spt="202" path="m0,0l0,21600,21600,21600,2160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bde9a7" stroked="f">
                <v:textbox style="mso-next-textbox:#Green501" inset="0,0,0,0">
                  <w:txbxContent>
                    <w:p w:rsidR="001960FE" w:rsidRDefault="001960FE"/>
                  </w:txbxContent>
                </v:textbox>
                <w10:wrap anchorx="page" anchory="page"/>
                <w10:anchorlock/>
              </v:shape>
            </w:pict>
          </w:r>
        </w:p>
      </w:tc>
      <w:tc>
        <w:tcPr>
          <w:tcW w:w="6379" w:type="dxa"/>
        </w:tcPr>
        <w:p w:rsidR="001960FE" w:rsidRDefault="001960FE">
          <w:pPr>
            <w:spacing w:after="80"/>
            <w:jc w:val="right"/>
            <w:rPr>
              <w:color w:val="FF9900"/>
            </w:rPr>
          </w:pPr>
        </w:p>
      </w:tc>
    </w:tr>
    <w:tr w:rsidR="001960FE">
      <w:trPr>
        <w:cantSplit/>
        <w:trHeight w:hRule="exact" w:val="707"/>
      </w:trPr>
      <w:tc>
        <w:tcPr>
          <w:tcW w:w="860" w:type="dxa"/>
          <w:vMerge w:val="restart"/>
        </w:tcPr>
        <w:p w:rsidR="001960FE" w:rsidRDefault="001960FE"/>
      </w:tc>
      <w:tc>
        <w:tcPr>
          <w:tcW w:w="3393" w:type="dxa"/>
          <w:vMerge w:val="restart"/>
        </w:tcPr>
        <w:p w:rsidR="001960FE" w:rsidRDefault="001960FE">
          <w:pPr>
            <w:rPr>
              <w:sz w:val="8"/>
            </w:rPr>
          </w:pPr>
        </w:p>
        <w:p w:rsidR="001960FE" w:rsidRDefault="001960FE">
          <w:r>
            <w:rPr>
              <w:noProof/>
              <w:lang w:val="es-ES_tradnl" w:eastAsia="es-ES_tradnl"/>
            </w:rPr>
            <w:drawing>
              <wp:inline distT="0" distB="0" distL="0" distR="0">
                <wp:extent cx="935355" cy="448945"/>
                <wp:effectExtent l="25400" t="0" r="4445" b="0"/>
                <wp:docPr id="2" name="Imagen 1" descr="logo_75x3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75x36-2.gif"/>
                        <pic:cNvPicPr/>
                      </pic:nvPicPr>
                      <pic:blipFill>
                        <a:blip r:embed="rId2"/>
                        <a:stretch>
                          <a:fillRect/>
                        </a:stretch>
                      </pic:blipFill>
                      <pic:spPr>
                        <a:xfrm>
                          <a:off x="0" y="0"/>
                          <a:ext cx="935355" cy="448945"/>
                        </a:xfrm>
                        <a:prstGeom prst="rect">
                          <a:avLst/>
                        </a:prstGeom>
                      </pic:spPr>
                    </pic:pic>
                  </a:graphicData>
                </a:graphic>
              </wp:inline>
            </w:drawing>
          </w:r>
        </w:p>
      </w:tc>
      <w:tc>
        <w:tcPr>
          <w:tcW w:w="284" w:type="dxa"/>
          <w:tcBorders>
            <w:left w:val="nil"/>
          </w:tcBorders>
        </w:tcPr>
        <w:p w:rsidR="001960FE" w:rsidRDefault="00531746">
          <w:r w:rsidRPr="00531746">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65)" angle="-90" method="linear sigma" focus="100%" type="gradient"/>
                <v:textbox style="mso-next-textbox:#GreenFade1" inset="0,0,0,0">
                  <w:txbxContent>
                    <w:p w:rsidR="001960FE" w:rsidRDefault="001960FE"/>
                  </w:txbxContent>
                </v:textbox>
                <w10:wrap anchorx="page" anchory="page"/>
                <w10:anchorlock/>
              </v:shape>
            </w:pict>
          </w:r>
        </w:p>
      </w:tc>
      <w:tc>
        <w:tcPr>
          <w:tcW w:w="6379" w:type="dxa"/>
        </w:tcPr>
        <w:p w:rsidR="001960FE" w:rsidRDefault="00F41574" w:rsidP="00D74AD4">
          <w:pPr>
            <w:pStyle w:val="DocumentTitle"/>
          </w:pPr>
          <w:r>
            <w:t>Correo siempre a mano</w:t>
          </w:r>
        </w:p>
      </w:tc>
    </w:tr>
    <w:tr w:rsidR="001960FE">
      <w:trPr>
        <w:cantSplit/>
        <w:trHeight w:val="1008"/>
      </w:trPr>
      <w:tc>
        <w:tcPr>
          <w:tcW w:w="860" w:type="dxa"/>
          <w:vMerge/>
        </w:tcPr>
        <w:p w:rsidR="001960FE" w:rsidRDefault="001960FE"/>
      </w:tc>
      <w:tc>
        <w:tcPr>
          <w:tcW w:w="3393" w:type="dxa"/>
          <w:vMerge/>
          <w:tcBorders>
            <w:top w:val="single" w:sz="4" w:space="0" w:color="auto"/>
          </w:tcBorders>
        </w:tcPr>
        <w:p w:rsidR="001960FE" w:rsidRDefault="001960FE"/>
      </w:tc>
      <w:tc>
        <w:tcPr>
          <w:tcW w:w="284" w:type="dxa"/>
          <w:tcBorders>
            <w:left w:val="nil"/>
          </w:tcBorders>
        </w:tcPr>
        <w:p w:rsidR="001960FE" w:rsidRDefault="001960FE">
          <w:pPr>
            <w:rPr>
              <w:noProof/>
              <w:sz w:val="20"/>
              <w:lang w:val="en-US"/>
            </w:rPr>
          </w:pPr>
        </w:p>
      </w:tc>
      <w:tc>
        <w:tcPr>
          <w:tcW w:w="6379" w:type="dxa"/>
          <w:vAlign w:val="bottom"/>
        </w:tcPr>
        <w:p w:rsidR="001960FE" w:rsidRDefault="001960FE">
          <w:pPr>
            <w:pStyle w:val="StandFirstIntroduction"/>
            <w:spacing w:line="240" w:lineRule="auto"/>
            <w:rPr>
              <w:sz w:val="20"/>
            </w:rPr>
          </w:pPr>
        </w:p>
        <w:p w:rsidR="001960FE" w:rsidRDefault="001960FE">
          <w:pPr>
            <w:pStyle w:val="StandFirstIntroduction"/>
            <w:spacing w:line="240" w:lineRule="auto"/>
            <w:rPr>
              <w:sz w:val="20"/>
            </w:rPr>
          </w:pPr>
        </w:p>
        <w:p w:rsidR="001960FE" w:rsidRDefault="001960FE">
          <w:pPr>
            <w:pStyle w:val="StandFirstIntroduction"/>
          </w:pPr>
        </w:p>
      </w:tc>
    </w:tr>
  </w:tbl>
  <w:p w:rsidR="001960FE" w:rsidRDefault="001960FE">
    <w:pPr>
      <w:pStyle w:val="Encabezado"/>
      <w:rPr>
        <w:sz w:val="14"/>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960FE" w:rsidRDefault="00531746">
    <w:pPr>
      <w:pStyle w:val="Encabezado"/>
    </w:pPr>
    <w:r w:rsidRPr="00531746">
      <w:rPr>
        <w:noProof/>
        <w:sz w:val="20"/>
        <w:lang w:val="en-US" w:bidi="ar-SA"/>
      </w:rPr>
      <w:pict>
        <v:line id="ThinGreenLine" o:spid="_x0000_s2088" style="position:absolute;left:0;text-align:left;flip:x;z-index:-251657728;mso-position-horizontal-relative:page;mso-position-vertical-relative:page" from="212.35pt,161.6pt" to="212.35pt,725.6pt" strokecolor="#6c3">
          <v:textbox inset="0,0,0,0"/>
          <w10:wrap anchorx="page" anchory="page"/>
        </v:line>
      </w:pict>
    </w:r>
    <w:r w:rsidRPr="00531746">
      <w:rPr>
        <w:noProof/>
        <w:sz w:val="20"/>
        <w:lang w:val="en-US" w:bidi="ar-SA"/>
      </w:rPr>
      <w:pict>
        <v:shapetype id="_x0000_t202" coordsize="21600,21600" o:spt="202" path="m0,0l0,21600,21600,21600,2160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bde9a7" stroked="f">
          <v:textbox style="mso-next-textbox:#Green502" inset="0,0,0,0">
            <w:txbxContent>
              <w:p w:rsidR="001960FE" w:rsidRDefault="001960FE"/>
            </w:txbxContent>
          </v:textbox>
          <w10:wrap anchorx="page" anchory="page"/>
          <w10:anchorlock/>
        </v:shape>
      </w:pict>
    </w:r>
    <w:r w:rsidRPr="00531746">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65)" angle="-90" method="linear sigma" focus="100%" type="gradient"/>
          <v:textbox style="mso-next-textbox:#GreenFade2" inset="0,0,0,0">
            <w:txbxContent>
              <w:p w:rsidR="001960FE" w:rsidRDefault="001960FE"/>
            </w:txbxContent>
          </v:textbox>
          <w10:wrap anchorx="page" anchory="page"/>
          <w10:anchorlock/>
        </v:shape>
      </w:pic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D26E09F8">
      <w:start w:val="1"/>
      <w:numFmt w:val="bullet"/>
      <w:pStyle w:val="BulletLevel2"/>
      <w:lvlText w:val="−"/>
      <w:lvlJc w:val="left"/>
      <w:pPr>
        <w:tabs>
          <w:tab w:val="num" w:pos="360"/>
        </w:tabs>
        <w:ind w:left="360" w:hanging="180"/>
      </w:pPr>
      <w:rPr>
        <w:rFonts w:ascii="Franklin Gothic Book" w:hAnsi="Franklin Gothic Book" w:hint="default"/>
      </w:rPr>
    </w:lvl>
    <w:lvl w:ilvl="1" w:tplc="C7560114">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ADA2C1EA"/>
    <w:lvl w:ilvl="0" w:tplc="DCE2690C">
      <w:start w:val="1"/>
      <w:numFmt w:val="bullet"/>
      <w:lvlRestart w:val="0"/>
      <w:pStyle w:val="Bullet"/>
      <w:lvlText w:val=""/>
      <w:lvlJc w:val="left"/>
      <w:pPr>
        <w:tabs>
          <w:tab w:val="num" w:pos="360"/>
        </w:tabs>
        <w:ind w:left="360" w:hanging="360"/>
      </w:pPr>
      <w:rPr>
        <w:rFonts w:ascii="Wingdings" w:hAnsi="Wingdings" w:hint="default"/>
        <w:color w:val="008000"/>
        <w:sz w:val="14"/>
        <w:szCs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F108618C"/>
    <w:lvl w:ilvl="0" w:tplc="8C70D582">
      <w:start w:val="1"/>
      <w:numFmt w:val="bullet"/>
      <w:pStyle w:val="BulletGrey"/>
      <w:lvlText w:val=""/>
      <w:lvlJc w:val="left"/>
      <w:pPr>
        <w:tabs>
          <w:tab w:val="num" w:pos="360"/>
        </w:tabs>
        <w:ind w:left="360" w:hanging="360"/>
      </w:pPr>
      <w:rPr>
        <w:rFonts w:ascii="Wingdings" w:hAnsi="Wingdings" w:hint="default"/>
        <w:color w:val="666666"/>
        <w:sz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9AA0FA0"/>
    <w:multiLevelType w:val="multilevel"/>
    <w:tmpl w:val="4C70B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A85C29"/>
    <w:multiLevelType w:val="hybridMultilevel"/>
    <w:tmpl w:val="D0EEB2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443140D9"/>
    <w:multiLevelType w:val="hybridMultilevel"/>
    <w:tmpl w:val="BEB23ABE"/>
    <w:lvl w:ilvl="0" w:tplc="CCBA50EC">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D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E51870BA"/>
    <w:lvl w:ilvl="0" w:tplc="4410515A">
      <w:start w:val="1"/>
      <w:numFmt w:val="bullet"/>
      <w:lvlRestart w:val="0"/>
      <w:pStyle w:val="Bulletcolored"/>
      <w:lvlText w:val=""/>
      <w:lvlJc w:val="left"/>
      <w:pPr>
        <w:tabs>
          <w:tab w:val="num" w:pos="360"/>
        </w:tabs>
        <w:ind w:left="360" w:hanging="360"/>
      </w:pPr>
      <w:rPr>
        <w:rFonts w:ascii="Wingdings" w:hAnsi="Wingdings" w:hint="default"/>
        <w:color w:val="FF3300"/>
        <w:sz w:val="14"/>
        <w:szCs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EF403AB"/>
    <w:multiLevelType w:val="hybridMultilevel"/>
    <w:tmpl w:val="E6C811DA"/>
    <w:lvl w:ilvl="0" w:tplc="040A000F">
      <w:start w:val="1"/>
      <w:numFmt w:val="decimal"/>
      <w:lvlText w:val="%1."/>
      <w:lvlJc w:val="left"/>
      <w:pPr>
        <w:ind w:left="760" w:hanging="360"/>
      </w:pPr>
    </w:lvl>
    <w:lvl w:ilvl="1" w:tplc="040A0019" w:tentative="1">
      <w:start w:val="1"/>
      <w:numFmt w:val="lowerLetter"/>
      <w:lvlText w:val="%2."/>
      <w:lvlJc w:val="left"/>
      <w:pPr>
        <w:ind w:left="1480" w:hanging="360"/>
      </w:pPr>
    </w:lvl>
    <w:lvl w:ilvl="2" w:tplc="040A001B" w:tentative="1">
      <w:start w:val="1"/>
      <w:numFmt w:val="lowerRoman"/>
      <w:lvlText w:val="%3."/>
      <w:lvlJc w:val="right"/>
      <w:pPr>
        <w:ind w:left="2200" w:hanging="180"/>
      </w:pPr>
    </w:lvl>
    <w:lvl w:ilvl="3" w:tplc="040A000F" w:tentative="1">
      <w:start w:val="1"/>
      <w:numFmt w:val="decimal"/>
      <w:lvlText w:val="%4."/>
      <w:lvlJc w:val="left"/>
      <w:pPr>
        <w:ind w:left="2920" w:hanging="360"/>
      </w:pPr>
    </w:lvl>
    <w:lvl w:ilvl="4" w:tplc="040A0019" w:tentative="1">
      <w:start w:val="1"/>
      <w:numFmt w:val="lowerLetter"/>
      <w:lvlText w:val="%5."/>
      <w:lvlJc w:val="left"/>
      <w:pPr>
        <w:ind w:left="3640" w:hanging="360"/>
      </w:pPr>
    </w:lvl>
    <w:lvl w:ilvl="5" w:tplc="040A001B" w:tentative="1">
      <w:start w:val="1"/>
      <w:numFmt w:val="lowerRoman"/>
      <w:lvlText w:val="%6."/>
      <w:lvlJc w:val="right"/>
      <w:pPr>
        <w:ind w:left="4360" w:hanging="180"/>
      </w:pPr>
    </w:lvl>
    <w:lvl w:ilvl="6" w:tplc="040A000F" w:tentative="1">
      <w:start w:val="1"/>
      <w:numFmt w:val="decimal"/>
      <w:lvlText w:val="%7."/>
      <w:lvlJc w:val="left"/>
      <w:pPr>
        <w:ind w:left="5080" w:hanging="360"/>
      </w:pPr>
    </w:lvl>
    <w:lvl w:ilvl="7" w:tplc="040A0019" w:tentative="1">
      <w:start w:val="1"/>
      <w:numFmt w:val="lowerLetter"/>
      <w:lvlText w:val="%8."/>
      <w:lvlJc w:val="left"/>
      <w:pPr>
        <w:ind w:left="5800" w:hanging="360"/>
      </w:pPr>
    </w:lvl>
    <w:lvl w:ilvl="8" w:tplc="040A001B" w:tentative="1">
      <w:start w:val="1"/>
      <w:numFmt w:val="lowerRoman"/>
      <w:lvlText w:val="%9."/>
      <w:lvlJc w:val="right"/>
      <w:pPr>
        <w:ind w:left="6520" w:hanging="180"/>
      </w:p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Ttulo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num>
  <w:num w:numId="3">
    <w:abstractNumId w:val="11"/>
  </w:num>
  <w:num w:numId="4">
    <w:abstractNumId w:val="7"/>
  </w:num>
  <w:num w:numId="5">
    <w:abstractNumId w:val="1"/>
  </w:num>
  <w:num w:numId="6">
    <w:abstractNumId w:val="13"/>
  </w:num>
  <w:num w:numId="7">
    <w:abstractNumId w:val="3"/>
  </w:num>
  <w:num w:numId="8">
    <w:abstractNumId w:val="1"/>
  </w:num>
  <w:num w:numId="9">
    <w:abstractNumId w:val="6"/>
  </w:num>
  <w:num w:numId="10">
    <w:abstractNumId w:val="2"/>
  </w:num>
  <w:num w:numId="11">
    <w:abstractNumId w:val="9"/>
  </w:num>
  <w:num w:numId="12">
    <w:abstractNumId w:val="4"/>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TrueTypeFonts/>
  <w:embedSystemFonts/>
  <w:saveSubsetFonts/>
  <w:attachedTemplate r:id="rId1"/>
  <w:doNotTrackMoves/>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98" style="mso-position-horizontal-relative:page;mso-position-vertical-relative:page" fillcolor="white" stroke="f">
      <v:fill color="white"/>
      <v:stroke on="f"/>
      <v:shadow color="gray" opacity="1" offset="2pt,2pt"/>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splitPgBreakAndParaMark/>
  </w:compat>
  <w:rsids>
    <w:rsidRoot w:val="00136750"/>
    <w:rsid w:val="00004C45"/>
    <w:rsid w:val="00072EC4"/>
    <w:rsid w:val="000B05D6"/>
    <w:rsid w:val="001152E1"/>
    <w:rsid w:val="00122F6B"/>
    <w:rsid w:val="00136750"/>
    <w:rsid w:val="001960FE"/>
    <w:rsid w:val="001B37D6"/>
    <w:rsid w:val="001B43D7"/>
    <w:rsid w:val="0020420B"/>
    <w:rsid w:val="002402CB"/>
    <w:rsid w:val="002E6B1A"/>
    <w:rsid w:val="002F146E"/>
    <w:rsid w:val="002F7870"/>
    <w:rsid w:val="00324F53"/>
    <w:rsid w:val="003779FE"/>
    <w:rsid w:val="0038082E"/>
    <w:rsid w:val="004242A5"/>
    <w:rsid w:val="00440D88"/>
    <w:rsid w:val="004B5D8B"/>
    <w:rsid w:val="004C4837"/>
    <w:rsid w:val="00513664"/>
    <w:rsid w:val="00531746"/>
    <w:rsid w:val="005449BD"/>
    <w:rsid w:val="00577581"/>
    <w:rsid w:val="005B46E9"/>
    <w:rsid w:val="005B68AF"/>
    <w:rsid w:val="005D7C81"/>
    <w:rsid w:val="0061221B"/>
    <w:rsid w:val="00626595"/>
    <w:rsid w:val="00697E20"/>
    <w:rsid w:val="006B6EFE"/>
    <w:rsid w:val="00764246"/>
    <w:rsid w:val="007715DE"/>
    <w:rsid w:val="00795C8E"/>
    <w:rsid w:val="007A0A0A"/>
    <w:rsid w:val="007A372D"/>
    <w:rsid w:val="007A766B"/>
    <w:rsid w:val="007C23C5"/>
    <w:rsid w:val="008E1699"/>
    <w:rsid w:val="008E26E7"/>
    <w:rsid w:val="00992B18"/>
    <w:rsid w:val="00A45143"/>
    <w:rsid w:val="00A53249"/>
    <w:rsid w:val="00A61A69"/>
    <w:rsid w:val="00A64D9E"/>
    <w:rsid w:val="00A8571B"/>
    <w:rsid w:val="00A85BF6"/>
    <w:rsid w:val="00B0130D"/>
    <w:rsid w:val="00BA0691"/>
    <w:rsid w:val="00BD30B8"/>
    <w:rsid w:val="00BE5CA1"/>
    <w:rsid w:val="00C22E27"/>
    <w:rsid w:val="00C263D6"/>
    <w:rsid w:val="00C54F5B"/>
    <w:rsid w:val="00CB7B15"/>
    <w:rsid w:val="00CC433F"/>
    <w:rsid w:val="00CE4474"/>
    <w:rsid w:val="00D74AD4"/>
    <w:rsid w:val="00D929AE"/>
    <w:rsid w:val="00DA082A"/>
    <w:rsid w:val="00DA1CE0"/>
    <w:rsid w:val="00DB529B"/>
    <w:rsid w:val="00DD3C39"/>
    <w:rsid w:val="00E223B6"/>
    <w:rsid w:val="00E55724"/>
    <w:rsid w:val="00F04ACE"/>
    <w:rsid w:val="00F23956"/>
    <w:rsid w:val="00F41574"/>
    <w:rsid w:val="00F82AB7"/>
    <w:rsid w:val="00F96931"/>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98" style="mso-position-horizontal-relative:page;mso-position-vertical-relative:page" fillcolor="white" stroke="f">
      <v:fill color="white"/>
      <v:stroke on="f"/>
      <v:shadow color="gray" opacity="1" offset="2pt,2pt"/>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276"/>
  <w:style w:type="paragraph" w:default="1" w:styleId="Normal">
    <w:name w:val="Normal"/>
    <w:qFormat/>
    <w:rsid w:val="00817F97"/>
    <w:rPr>
      <w:rFonts w:ascii="Franklin Gothic Book" w:hAnsi="Franklin Gothic Book"/>
      <w:sz w:val="17"/>
      <w:lang w:val="en-GB" w:eastAsia="en-US"/>
    </w:rPr>
  </w:style>
  <w:style w:type="paragraph" w:styleId="Ttulo1">
    <w:name w:val="heading 1"/>
    <w:basedOn w:val="Normal"/>
    <w:next w:val="Normal"/>
    <w:qFormat/>
    <w:rsid w:val="00817F97"/>
    <w:pPr>
      <w:keepNext/>
      <w:spacing w:before="240" w:after="60"/>
      <w:jc w:val="both"/>
      <w:outlineLvl w:val="0"/>
    </w:pPr>
    <w:rPr>
      <w:rFonts w:ascii="Arial" w:hAnsi="Arial"/>
      <w:b/>
      <w:kern w:val="28"/>
      <w:sz w:val="28"/>
      <w:szCs w:val="20"/>
      <w:lang w:bidi="he-IL"/>
    </w:rPr>
  </w:style>
  <w:style w:type="paragraph" w:styleId="Ttulo2">
    <w:name w:val="heading 2"/>
    <w:basedOn w:val="Ttulo1"/>
    <w:next w:val="Normal"/>
    <w:qFormat/>
    <w:rsid w:val="00817F97"/>
    <w:pPr>
      <w:numPr>
        <w:ilvl w:val="1"/>
        <w:numId w:val="12"/>
      </w:numPr>
      <w:spacing w:after="240"/>
      <w:jc w:val="left"/>
      <w:outlineLvl w:val="1"/>
    </w:pPr>
    <w:rPr>
      <w:kern w:val="0"/>
      <w:sz w:val="26"/>
    </w:rPr>
  </w:style>
  <w:style w:type="paragraph" w:styleId="Ttulo3">
    <w:name w:val="heading 3"/>
    <w:basedOn w:val="Normal"/>
    <w:next w:val="Normal"/>
    <w:qFormat/>
    <w:rsid w:val="00817F97"/>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Ttulo4">
    <w:name w:val="heading 4"/>
    <w:basedOn w:val="Normal"/>
    <w:next w:val="Normal"/>
    <w:qFormat/>
    <w:rsid w:val="00817F97"/>
    <w:pPr>
      <w:keepNext/>
      <w:spacing w:before="240" w:after="60"/>
      <w:outlineLvl w:val="3"/>
    </w:pPr>
    <w:rPr>
      <w:rFonts w:ascii="Arial" w:hAnsi="Arial"/>
      <w:b/>
      <w:sz w:val="24"/>
      <w:szCs w:val="20"/>
      <w:lang w:bidi="he-IL"/>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Code">
    <w:name w:val="Code"/>
    <w:basedOn w:val="Normal"/>
    <w:rsid w:val="00817F97"/>
    <w:pPr>
      <w:ind w:left="1134"/>
    </w:pPr>
    <w:rPr>
      <w:rFonts w:ascii="Lucida Sans Typewriter" w:hAnsi="Lucida Sans Typewriter"/>
      <w:sz w:val="20"/>
    </w:rPr>
  </w:style>
  <w:style w:type="paragraph" w:styleId="Piedepgina">
    <w:name w:val="footer"/>
    <w:basedOn w:val="Normal"/>
    <w:rsid w:val="00817F97"/>
    <w:pPr>
      <w:tabs>
        <w:tab w:val="center" w:pos="4153"/>
        <w:tab w:val="right" w:pos="8306"/>
      </w:tabs>
    </w:pPr>
  </w:style>
  <w:style w:type="paragraph" w:styleId="Encabezado">
    <w:name w:val="header"/>
    <w:basedOn w:val="Normal"/>
    <w:rsid w:val="00817F97"/>
    <w:pPr>
      <w:tabs>
        <w:tab w:val="center" w:pos="4153"/>
        <w:tab w:val="right" w:pos="8306"/>
      </w:tabs>
      <w:jc w:val="both"/>
    </w:pPr>
    <w:rPr>
      <w:sz w:val="16"/>
      <w:szCs w:val="20"/>
      <w:lang w:bidi="he-IL"/>
    </w:rPr>
  </w:style>
  <w:style w:type="paragraph" w:styleId="Remitedesobre">
    <w:name w:val="envelope return"/>
    <w:basedOn w:val="Normal"/>
    <w:rsid w:val="00817F97"/>
    <w:rPr>
      <w:rFonts w:ascii="FundRunk-Normal" w:hAnsi="FundRunk-Normal"/>
      <w:i/>
      <w:sz w:val="48"/>
      <w:szCs w:val="48"/>
    </w:rPr>
  </w:style>
  <w:style w:type="paragraph" w:styleId="Textocomentario">
    <w:name w:val="annotation text"/>
    <w:basedOn w:val="Normal"/>
    <w:semiHidden/>
    <w:rsid w:val="00817F97"/>
    <w:rPr>
      <w:sz w:val="24"/>
    </w:rPr>
  </w:style>
  <w:style w:type="paragraph" w:customStyle="1" w:styleId="Answer">
    <w:name w:val="Answer"/>
    <w:basedOn w:val="Normal"/>
    <w:next w:val="Question"/>
    <w:rsid w:val="00817F97"/>
    <w:pPr>
      <w:numPr>
        <w:numId w:val="3"/>
      </w:numPr>
    </w:pPr>
    <w:rPr>
      <w:i/>
    </w:rPr>
  </w:style>
  <w:style w:type="paragraph" w:customStyle="1" w:styleId="Question">
    <w:name w:val="Question"/>
    <w:basedOn w:val="Normal"/>
    <w:next w:val="Answer"/>
    <w:rsid w:val="00817F97"/>
    <w:pPr>
      <w:numPr>
        <w:numId w:val="2"/>
      </w:numPr>
    </w:pPr>
  </w:style>
  <w:style w:type="paragraph" w:customStyle="1" w:styleId="Bodycopy">
    <w:name w:val="Body copy"/>
    <w:basedOn w:val="Normal"/>
    <w:rsid w:val="00817F97"/>
    <w:pPr>
      <w:spacing w:line="240" w:lineRule="exact"/>
    </w:pPr>
    <w:rPr>
      <w:lang w:val="en-US"/>
    </w:rPr>
  </w:style>
  <w:style w:type="paragraph" w:customStyle="1" w:styleId="SectionHeading">
    <w:name w:val="Section Heading"/>
    <w:basedOn w:val="ColoredText"/>
    <w:next w:val="Bodycopy"/>
    <w:rsid w:val="00817F97"/>
    <w:rPr>
      <w:rFonts w:ascii="Franklin Gothic Medium" w:hAnsi="Franklin Gothic Medium"/>
      <w:sz w:val="24"/>
    </w:rPr>
  </w:style>
  <w:style w:type="paragraph" w:customStyle="1" w:styleId="Subject">
    <w:name w:val="Subject"/>
    <w:basedOn w:val="Normal"/>
    <w:rsid w:val="00817F97"/>
    <w:pPr>
      <w:jc w:val="center"/>
    </w:pPr>
    <w:rPr>
      <w:rFonts w:ascii="Century Schoolbook" w:hAnsi="Century Schoolbook"/>
      <w:b/>
      <w:sz w:val="32"/>
      <w:u w:val="single"/>
    </w:rPr>
  </w:style>
  <w:style w:type="paragraph" w:styleId="Textosinformato">
    <w:name w:val="Plain Text"/>
    <w:basedOn w:val="Normal"/>
    <w:rsid w:val="00817F97"/>
    <w:rPr>
      <w:sz w:val="22"/>
    </w:rPr>
  </w:style>
  <w:style w:type="paragraph" w:customStyle="1" w:styleId="MergedAnswer">
    <w:name w:val="MergedAnswer"/>
    <w:basedOn w:val="Normal"/>
    <w:rsid w:val="00817F97"/>
  </w:style>
  <w:style w:type="paragraph" w:styleId="TDC2">
    <w:name w:val="toc 2"/>
    <w:basedOn w:val="Normal"/>
    <w:next w:val="Normal"/>
    <w:autoRedefine/>
    <w:semiHidden/>
    <w:rsid w:val="00817F97"/>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817F97"/>
    <w:pPr>
      <w:spacing w:line="360" w:lineRule="exact"/>
    </w:pPr>
    <w:rPr>
      <w:sz w:val="24"/>
    </w:rPr>
  </w:style>
  <w:style w:type="paragraph" w:customStyle="1" w:styleId="PartnerName">
    <w:name w:val="Partner Name"/>
    <w:basedOn w:val="ColoredText"/>
    <w:rsid w:val="00817F97"/>
    <w:pPr>
      <w:spacing w:after="10" w:line="240" w:lineRule="auto"/>
    </w:pPr>
    <w:rPr>
      <w:rFonts w:ascii="Franklin Gothic Medium" w:hAnsi="Franklin Gothic Medium"/>
      <w:bCs/>
      <w:sz w:val="32"/>
    </w:rPr>
  </w:style>
  <w:style w:type="paragraph" w:customStyle="1" w:styleId="WHITEPAPER">
    <w:name w:val="WHITE PAPER"/>
    <w:basedOn w:val="ColoredText"/>
    <w:rsid w:val="00817F97"/>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817F97"/>
    <w:pPr>
      <w:spacing w:before="40" w:after="20"/>
    </w:pPr>
    <w:rPr>
      <w:rFonts w:ascii="Franklin Gothic Medium" w:hAnsi="Franklin Gothic Medium"/>
      <w:b/>
      <w:bCs/>
    </w:rPr>
  </w:style>
  <w:style w:type="paragraph" w:customStyle="1" w:styleId="Bullet">
    <w:name w:val="Bullet"/>
    <w:basedOn w:val="Bulletcolored"/>
    <w:rsid w:val="00817F97"/>
    <w:pPr>
      <w:numPr>
        <w:numId w:val="10"/>
      </w:numPr>
    </w:pPr>
    <w:rPr>
      <w:color w:val="auto"/>
    </w:rPr>
  </w:style>
  <w:style w:type="paragraph" w:customStyle="1" w:styleId="Bodycopyheading">
    <w:name w:val="Body copy heading"/>
    <w:basedOn w:val="Bodycopy"/>
    <w:next w:val="Bodycopy"/>
    <w:rsid w:val="00817F97"/>
    <w:rPr>
      <w:rFonts w:ascii="Franklin Gothic Heavy" w:hAnsi="Franklin Gothic Heavy"/>
      <w:szCs w:val="17"/>
    </w:rPr>
  </w:style>
  <w:style w:type="paragraph" w:customStyle="1" w:styleId="Disclaimer">
    <w:name w:val="Disclaimer"/>
    <w:basedOn w:val="Bodycopy"/>
    <w:rsid w:val="00817F97"/>
    <w:pPr>
      <w:spacing w:line="120" w:lineRule="exact"/>
    </w:pPr>
    <w:rPr>
      <w:sz w:val="11"/>
    </w:rPr>
  </w:style>
  <w:style w:type="paragraph" w:customStyle="1" w:styleId="Pullquote">
    <w:name w:val="Pull quote"/>
    <w:basedOn w:val="ColoredText"/>
    <w:rsid w:val="00817F97"/>
    <w:pPr>
      <w:spacing w:line="360" w:lineRule="exact"/>
    </w:pPr>
    <w:rPr>
      <w:sz w:val="30"/>
    </w:rPr>
  </w:style>
  <w:style w:type="paragraph" w:customStyle="1" w:styleId="Diagramcaption">
    <w:name w:val="Diagram caption"/>
    <w:basedOn w:val="ColoredText"/>
    <w:rsid w:val="00817F97"/>
    <w:rPr>
      <w:rFonts w:ascii="Franklin Gothic Medium" w:hAnsi="Franklin Gothic Medium"/>
      <w:sz w:val="19"/>
    </w:rPr>
  </w:style>
  <w:style w:type="paragraph" w:styleId="TDC1">
    <w:name w:val="toc 1"/>
    <w:basedOn w:val="Normal"/>
    <w:next w:val="Normal"/>
    <w:semiHidden/>
    <w:rsid w:val="00817F97"/>
    <w:pPr>
      <w:tabs>
        <w:tab w:val="right" w:pos="3289"/>
      </w:tabs>
      <w:spacing w:line="360" w:lineRule="exact"/>
    </w:pPr>
    <w:rPr>
      <w:noProof/>
      <w:color w:val="FFFFFF"/>
      <w:sz w:val="24"/>
    </w:rPr>
  </w:style>
  <w:style w:type="paragraph" w:styleId="TDC3">
    <w:name w:val="toc 3"/>
    <w:basedOn w:val="Normal"/>
    <w:next w:val="Normal"/>
    <w:autoRedefine/>
    <w:semiHidden/>
    <w:rsid w:val="00817F97"/>
    <w:pPr>
      <w:ind w:left="440"/>
    </w:pPr>
  </w:style>
  <w:style w:type="paragraph" w:styleId="TDC4">
    <w:name w:val="toc 4"/>
    <w:basedOn w:val="Normal"/>
    <w:next w:val="Normal"/>
    <w:autoRedefine/>
    <w:semiHidden/>
    <w:rsid w:val="00817F97"/>
    <w:pPr>
      <w:ind w:left="660"/>
    </w:pPr>
  </w:style>
  <w:style w:type="paragraph" w:styleId="TDC5">
    <w:name w:val="toc 5"/>
    <w:basedOn w:val="Normal"/>
    <w:next w:val="Normal"/>
    <w:autoRedefine/>
    <w:semiHidden/>
    <w:rsid w:val="00817F97"/>
    <w:pPr>
      <w:ind w:left="880"/>
    </w:pPr>
  </w:style>
  <w:style w:type="paragraph" w:styleId="TDC6">
    <w:name w:val="toc 6"/>
    <w:basedOn w:val="Normal"/>
    <w:next w:val="Normal"/>
    <w:autoRedefine/>
    <w:semiHidden/>
    <w:rsid w:val="00817F97"/>
    <w:pPr>
      <w:ind w:left="1100"/>
    </w:pPr>
  </w:style>
  <w:style w:type="paragraph" w:styleId="TDC7">
    <w:name w:val="toc 7"/>
    <w:basedOn w:val="Normal"/>
    <w:next w:val="Normal"/>
    <w:autoRedefine/>
    <w:semiHidden/>
    <w:rsid w:val="00817F97"/>
    <w:pPr>
      <w:ind w:left="1320"/>
    </w:pPr>
  </w:style>
  <w:style w:type="paragraph" w:styleId="TDC8">
    <w:name w:val="toc 8"/>
    <w:basedOn w:val="Normal"/>
    <w:next w:val="Normal"/>
    <w:autoRedefine/>
    <w:semiHidden/>
    <w:rsid w:val="00817F97"/>
    <w:pPr>
      <w:ind w:left="1540"/>
    </w:pPr>
  </w:style>
  <w:style w:type="paragraph" w:styleId="TDC9">
    <w:name w:val="toc 9"/>
    <w:basedOn w:val="Normal"/>
    <w:next w:val="Normal"/>
    <w:autoRedefine/>
    <w:semiHidden/>
    <w:rsid w:val="00817F97"/>
    <w:pPr>
      <w:ind w:left="1760"/>
    </w:pPr>
  </w:style>
  <w:style w:type="character" w:styleId="Hipervnculo">
    <w:name w:val="Hyperlink"/>
    <w:basedOn w:val="Fuentedeprrafopredeter"/>
    <w:rsid w:val="00817F97"/>
    <w:rPr>
      <w:color w:val="0000FF"/>
      <w:u w:val="single"/>
    </w:rPr>
  </w:style>
  <w:style w:type="paragraph" w:customStyle="1" w:styleId="AutoCorrect">
    <w:name w:val="AutoCorrect"/>
    <w:rsid w:val="00817F97"/>
    <w:rPr>
      <w:lang w:val="en-GB" w:eastAsia="en-US" w:bidi="he-IL"/>
    </w:rPr>
  </w:style>
  <w:style w:type="paragraph" w:styleId="Textodecuerpo">
    <w:name w:val="Body Text"/>
    <w:basedOn w:val="Normal"/>
    <w:rsid w:val="00817F97"/>
    <w:pPr>
      <w:spacing w:after="120"/>
    </w:pPr>
    <w:rPr>
      <w:rFonts w:ascii="Arial" w:hAnsi="Arial"/>
      <w:snapToGrid w:val="0"/>
      <w:sz w:val="20"/>
      <w:szCs w:val="20"/>
      <w:lang w:val="en-US" w:bidi="he-IL"/>
    </w:rPr>
  </w:style>
  <w:style w:type="paragraph" w:customStyle="1" w:styleId="Bulletcolored">
    <w:name w:val="Bullet colored"/>
    <w:basedOn w:val="ColoredText"/>
    <w:rsid w:val="00817F97"/>
    <w:pPr>
      <w:numPr>
        <w:numId w:val="11"/>
      </w:numPr>
      <w:tabs>
        <w:tab w:val="left" w:pos="170"/>
      </w:tabs>
    </w:pPr>
    <w:rPr>
      <w:color w:val="FF3300"/>
      <w:szCs w:val="17"/>
    </w:rPr>
  </w:style>
  <w:style w:type="paragraph" w:customStyle="1" w:styleId="ColoredText">
    <w:name w:val="Colored Text"/>
    <w:basedOn w:val="Bodycopy"/>
    <w:rsid w:val="00817F97"/>
    <w:rPr>
      <w:color w:val="66CC33"/>
    </w:rPr>
  </w:style>
  <w:style w:type="paragraph" w:customStyle="1" w:styleId="DocumentTitle">
    <w:name w:val="Document Title"/>
    <w:basedOn w:val="ColoredText"/>
    <w:rsid w:val="00817F97"/>
    <w:pPr>
      <w:spacing w:line="360" w:lineRule="exact"/>
    </w:pPr>
    <w:rPr>
      <w:rFonts w:ascii="Franklin Gothic Medium" w:hAnsi="Franklin Gothic Medium"/>
      <w:color w:val="auto"/>
      <w:sz w:val="32"/>
    </w:rPr>
  </w:style>
  <w:style w:type="paragraph" w:customStyle="1" w:styleId="Tableheading">
    <w:name w:val="Table heading"/>
    <w:basedOn w:val="ColoredText"/>
    <w:rsid w:val="00817F97"/>
    <w:rPr>
      <w:rFonts w:ascii="Franklin Gothic Medium" w:hAnsi="Franklin Gothic Medium"/>
      <w:bCs/>
    </w:rPr>
  </w:style>
  <w:style w:type="paragraph" w:customStyle="1" w:styleId="Bulletbold">
    <w:name w:val="Bullet bold"/>
    <w:basedOn w:val="Bullet"/>
    <w:rsid w:val="00817F97"/>
    <w:pPr>
      <w:numPr>
        <w:numId w:val="9"/>
      </w:numPr>
    </w:pPr>
    <w:rPr>
      <w:rFonts w:ascii="Franklin Gothic Heavy" w:hAnsi="Franklin Gothic Heavy"/>
    </w:rPr>
  </w:style>
  <w:style w:type="paragraph" w:customStyle="1" w:styleId="Contents">
    <w:name w:val="Contents"/>
    <w:basedOn w:val="Bodycopy"/>
    <w:rsid w:val="00817F97"/>
    <w:pPr>
      <w:spacing w:line="480" w:lineRule="exact"/>
    </w:pPr>
    <w:rPr>
      <w:rFonts w:ascii="Franklin Gothic Medium" w:hAnsi="Franklin Gothic Medium"/>
      <w:color w:val="FFFFFF"/>
      <w:sz w:val="30"/>
    </w:rPr>
  </w:style>
  <w:style w:type="character" w:styleId="Nmerodepgina">
    <w:name w:val="page number"/>
    <w:basedOn w:val="Fuentedeprrafopredeter"/>
    <w:rsid w:val="00817F97"/>
    <w:rPr>
      <w:rFonts w:ascii="Franklin Gothic Book" w:hAnsi="Franklin Gothic Book"/>
      <w:spacing w:val="20"/>
      <w:sz w:val="16"/>
    </w:rPr>
  </w:style>
  <w:style w:type="paragraph" w:customStyle="1" w:styleId="Tabletext">
    <w:name w:val="Table text"/>
    <w:basedOn w:val="Bodycopy"/>
    <w:rsid w:val="00817F97"/>
    <w:pPr>
      <w:spacing w:after="40"/>
    </w:pPr>
  </w:style>
  <w:style w:type="paragraph" w:customStyle="1" w:styleId="OrangeText">
    <w:name w:val="Orange Text"/>
    <w:basedOn w:val="Normal"/>
    <w:rsid w:val="00817F97"/>
    <w:pPr>
      <w:spacing w:line="240" w:lineRule="exact"/>
    </w:pPr>
    <w:rPr>
      <w:color w:val="FF3300"/>
    </w:rPr>
  </w:style>
  <w:style w:type="paragraph" w:customStyle="1" w:styleId="Casestudydescription">
    <w:name w:val="Case study description"/>
    <w:basedOn w:val="Normal"/>
    <w:rsid w:val="00817F97"/>
    <w:rPr>
      <w:rFonts w:ascii="Franklin Gothic Medium" w:hAnsi="Franklin Gothic Medium"/>
      <w:color w:val="FFFFFF"/>
      <w:sz w:val="24"/>
    </w:rPr>
  </w:style>
  <w:style w:type="paragraph" w:customStyle="1" w:styleId="PullQuotecredit">
    <w:name w:val="Pull Quote credit"/>
    <w:basedOn w:val="Pullquote"/>
    <w:rsid w:val="00817F97"/>
    <w:pPr>
      <w:spacing w:before="120" w:line="240" w:lineRule="exact"/>
    </w:pPr>
    <w:rPr>
      <w:sz w:val="16"/>
    </w:rPr>
  </w:style>
  <w:style w:type="paragraph" w:customStyle="1" w:styleId="Diagramtitle">
    <w:name w:val="Diagram title"/>
    <w:basedOn w:val="Bodycopy"/>
    <w:rsid w:val="00817F97"/>
    <w:rPr>
      <w:rFonts w:ascii="Franklin Gothic Medium" w:hAnsi="Franklin Gothic Medium"/>
      <w:color w:val="FFFFFF"/>
      <w:sz w:val="19"/>
    </w:rPr>
  </w:style>
  <w:style w:type="paragraph" w:customStyle="1" w:styleId="Bullet2">
    <w:name w:val="Bullet2"/>
    <w:basedOn w:val="Bullet"/>
    <w:rsid w:val="00817F97"/>
    <w:pPr>
      <w:numPr>
        <w:numId w:val="0"/>
      </w:numPr>
      <w:ind w:left="170"/>
    </w:pPr>
  </w:style>
  <w:style w:type="paragraph" w:customStyle="1" w:styleId="SectionHeadingGrey">
    <w:name w:val="Section Heading Grey"/>
    <w:basedOn w:val="SectionHeading"/>
    <w:rsid w:val="00817F97"/>
    <w:rPr>
      <w:color w:val="666666"/>
    </w:rPr>
  </w:style>
  <w:style w:type="paragraph" w:customStyle="1" w:styleId="BulletGrey">
    <w:name w:val="Bullet Grey"/>
    <w:basedOn w:val="Bulletbold"/>
    <w:rsid w:val="00817F97"/>
    <w:pPr>
      <w:numPr>
        <w:numId w:val="7"/>
      </w:numPr>
    </w:pPr>
    <w:rPr>
      <w:rFonts w:ascii="Franklin Gothic Book" w:hAnsi="Franklin Gothic Book"/>
    </w:rPr>
  </w:style>
  <w:style w:type="paragraph" w:customStyle="1" w:styleId="TableTitle">
    <w:name w:val="Table Title"/>
    <w:basedOn w:val="Tabletextheading"/>
    <w:rsid w:val="00817F97"/>
    <w:pPr>
      <w:ind w:left="60"/>
    </w:pPr>
    <w:rPr>
      <w:color w:val="FFFFFF"/>
      <w:szCs w:val="17"/>
    </w:rPr>
  </w:style>
  <w:style w:type="paragraph" w:styleId="Direccindesobre">
    <w:name w:val="envelope address"/>
    <w:basedOn w:val="Normal"/>
    <w:rsid w:val="00817F97"/>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817F97"/>
    <w:pPr>
      <w:numPr>
        <w:numId w:val="8"/>
      </w:numPr>
      <w:tabs>
        <w:tab w:val="clear" w:pos="170"/>
      </w:tabs>
    </w:pPr>
  </w:style>
  <w:style w:type="paragraph" w:styleId="Textodeglobo">
    <w:name w:val="Balloon Text"/>
    <w:basedOn w:val="Normal"/>
    <w:semiHidden/>
    <w:rsid w:val="00817F97"/>
    <w:rPr>
      <w:rFonts w:ascii="Tahoma" w:hAnsi="Tahoma" w:cs="Tahoma"/>
      <w:sz w:val="16"/>
      <w:szCs w:val="16"/>
    </w:rPr>
  </w:style>
  <w:style w:type="paragraph" w:customStyle="1" w:styleId="Textogeneral">
    <w:name w:val="Texto general"/>
    <w:basedOn w:val="Normal"/>
    <w:uiPriority w:val="99"/>
    <w:rsid w:val="001152E1"/>
    <w:pPr>
      <w:widowControl w:val="0"/>
      <w:autoSpaceDE w:val="0"/>
      <w:autoSpaceDN w:val="0"/>
      <w:adjustRightInd w:val="0"/>
      <w:spacing w:line="230" w:lineRule="atLeast"/>
      <w:jc w:val="both"/>
      <w:textAlignment w:val="baseline"/>
    </w:pPr>
    <w:rPr>
      <w:rFonts w:ascii="BerkeleyOldITC-Book" w:eastAsiaTheme="minorHAnsi" w:hAnsi="BerkeleyOldITC-Book" w:cs="BerkeleyOldITC-Book"/>
      <w:color w:val="000000"/>
      <w:szCs w:val="17"/>
      <w:lang w:val="es-ES_tradnl"/>
    </w:rPr>
  </w:style>
  <w:style w:type="paragraph" w:customStyle="1" w:styleId="NoParagraphStyle">
    <w:name w:val="[No Paragraph Style]"/>
    <w:rsid w:val="000B05D6"/>
    <w:pPr>
      <w:widowControl w:val="0"/>
      <w:autoSpaceDE w:val="0"/>
      <w:autoSpaceDN w:val="0"/>
      <w:adjustRightInd w:val="0"/>
      <w:spacing w:line="288" w:lineRule="auto"/>
      <w:textAlignment w:val="center"/>
    </w:pPr>
    <w:rPr>
      <w:rFonts w:ascii="Times-Roman" w:eastAsiaTheme="minorHAnsi" w:hAnsi="Times-Roman" w:cs="Times-Roman"/>
      <w:color w:val="000000"/>
      <w:lang w:eastAsia="en-US"/>
    </w:rPr>
  </w:style>
  <w:style w:type="character" w:styleId="Hipervnculovisitado">
    <w:name w:val="FollowedHyperlink"/>
    <w:basedOn w:val="Fuentedeprrafopredeter"/>
    <w:rsid w:val="007715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printerSettings" Target="printerSettings/printerSettings2.bin"/><Relationship Id="rId1" Type="http://schemas.openxmlformats.org/officeDocument/2006/relationships/customXml" Target="../customXml/item1.xml"/><Relationship Id="rId6" Type="http://schemas.openxmlformats.org/officeDocument/2006/relationships/footnotes" Target="footnotes.xml"/><Relationship Id="rId8" Type="http://schemas.openxmlformats.org/officeDocument/2006/relationships/header" Target="header1.xml"/><Relationship Id="rId13" Type="http://schemas.openxmlformats.org/officeDocument/2006/relationships/theme" Target="theme/theme1.xml"/><Relationship Id="rId10" Type="http://schemas.openxmlformats.org/officeDocument/2006/relationships/header" Target="header2.xml"/><Relationship Id="rId5"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printerSettings" Target="printerSettings/printerSettings1.bin"/><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SISTEMA:Users:carmen.desilva:Desktop:CEP_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A0F6-174D-2949-8C8B-D3FD79F7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CEP_Template.dotx</Template>
  <TotalTime>2</TotalTime>
  <Pages>4</Pages>
  <Words>1010</Words>
  <Characters>5762</Characters>
  <Application>Microsoft Word 12.1.0</Application>
  <DocSecurity>0</DocSecurity>
  <Lines>48</Lines>
  <Paragraphs>11</Paragraphs>
  <ScaleCrop>false</ScaleCrop>
  <Company>WriteImage</Company>
  <LinksUpToDate>false</LinksUpToDate>
  <CharactersWithSpaces>7076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dc:title>
  <dc:subject/>
  <dc:creator>Sistemas Reporter</dc:creator>
  <cp:keywords/>
  <dc:description/>
  <cp:lastModifiedBy>Zorrilla, Virginia (MAD-MRM)</cp:lastModifiedBy>
  <cp:revision>3</cp:revision>
  <cp:lastPrinted>2009-05-14T11:55:00Z</cp:lastPrinted>
  <dcterms:created xsi:type="dcterms:W3CDTF">2009-05-20T08:47:00Z</dcterms:created>
  <dcterms:modified xsi:type="dcterms:W3CDTF">2009-05-21T09:04:00Z</dcterms:modified>
</cp:coreProperties>
</file>