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7A" w:rsidRDefault="0025407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25407A" w:rsidTr="0025407A">
        <w:tc>
          <w:tcPr>
            <w:tcW w:w="10490" w:type="dxa"/>
          </w:tcPr>
          <w:p w:rsidR="0025407A" w:rsidRPr="00207587" w:rsidRDefault="00207587" w:rsidP="0025407A">
            <w:pPr>
              <w:spacing w:line="0" w:lineRule="atLeast"/>
              <w:rPr>
                <w:rFonts w:ascii="ＭＳ Ｐ明朝" w:eastAsia="ＭＳ Ｐ明朝" w:hAnsi="ＭＳ Ｐ明朝"/>
                <w:b/>
                <w:color w:val="32A4DD"/>
                <w:sz w:val="40"/>
                <w:szCs w:val="40"/>
              </w:rPr>
            </w:pPr>
            <w:r w:rsidRPr="00207587">
              <w:rPr>
                <w:rFonts w:ascii="ＭＳ Ｐ明朝" w:eastAsia="ＭＳ Ｐ明朝" w:hAnsi="ＭＳ Ｐ明朝" w:hint="eastAsia"/>
                <w:b/>
                <w:color w:val="32A4DD"/>
                <w:sz w:val="40"/>
                <w:szCs w:val="40"/>
              </w:rPr>
              <w:t>ドキュメントの書式設定に費やす時間を分単位から秒単位に短縮したガス エンジニアリング企業</w:t>
            </w:r>
          </w:p>
        </w:tc>
      </w:tr>
      <w:tr w:rsidR="0025407A" w:rsidTr="00652ADC">
        <w:trPr>
          <w:trHeight w:val="2397"/>
        </w:trPr>
        <w:tc>
          <w:tcPr>
            <w:tcW w:w="10490" w:type="dxa"/>
          </w:tcPr>
          <w:p w:rsidR="0025407A" w:rsidRPr="00207587" w:rsidRDefault="00AD3F82" w:rsidP="00207587">
            <w:pPr>
              <w:spacing w:before="240" w:after="240" w:line="0" w:lineRule="atLeast"/>
              <w:rPr>
                <w:rFonts w:ascii="ＭＳ Ｐ明朝" w:eastAsia="ＭＳ Ｐ明朝" w:hAnsi="ＭＳ Ｐ明朝"/>
                <w:b/>
                <w:color w:val="4C4C4C"/>
                <w:sz w:val="26"/>
                <w:szCs w:val="26"/>
              </w:rPr>
            </w:pPr>
            <w:r w:rsidRPr="00AD3F82">
              <w:rPr>
                <w:rFonts w:ascii="ＭＳ Ｐ明朝" w:eastAsia="ＭＳ Ｐ明朝" w:hAnsi="ＭＳ Ｐ明朝"/>
                <w:b/>
                <w:noProof/>
                <w:color w:val="32A4DD"/>
                <w:sz w:val="40"/>
                <w:szCs w:val="40"/>
              </w:rPr>
              <w:pict>
                <v:shapetype id="_x0000_t32" coordsize="21600,21600" o:spt="32" o:oned="t" path="m,l21600,21600e" filled="f">
                  <v:path arrowok="t" fillok="f" o:connecttype="none"/>
                  <o:lock v:ext="edit" shapetype="t"/>
                </v:shapetype>
                <v:shape id="_x0000_s1036" type="#_x0000_t32" style="position:absolute;left:0;text-align:left;margin-left:-1.65pt;margin-top:3.35pt;width:514.5pt;height:0;z-index:251666432;mso-position-horizontal-relative:text;mso-position-vertical-relative:text" o:connectortype="straight" strokecolor="#00b0f0" strokeweight="2.5pt">
                  <v:shadow color="#868686"/>
                </v:shape>
              </w:pict>
            </w:r>
            <w:r w:rsidR="00207587" w:rsidRPr="00207587">
              <w:rPr>
                <w:rFonts w:ascii="ＭＳ Ｐ明朝" w:eastAsia="ＭＳ Ｐ明朝" w:hAnsi="ＭＳ Ｐ明朝" w:hint="eastAsia"/>
                <w:b/>
                <w:color w:val="4C4C4C"/>
                <w:sz w:val="26"/>
                <w:szCs w:val="26"/>
              </w:rPr>
              <w:t>TGE Gas Engineering GmbH 社はガス処理/ガス輸送施設の建設を行う企業です。顧客のプロジェクトのドキュメントでは、コンテンツや書式に対してきわめて厳格な基準が使用されるため、小さなミスであっても致命的となります。そこで同社は S&amp;L Netzwerktechnik GmbH 社の協力の下、既存のコンテンツに適切なテンプレートを自動的に適用できる、Open XML 形式をベースにしたソリューションを構築しました。TGE のエンジニアは、これまで分単位の作業であったドキュメントの作成を、秒単位で完了できるようになり、かつ書式の精度も向上しました。</w:t>
            </w:r>
          </w:p>
        </w:tc>
      </w:tr>
    </w:tbl>
    <w:p w:rsidR="00207587" w:rsidRDefault="00207587" w:rsidP="00CE4233">
      <w:pPr>
        <w:rPr>
          <w:rFonts w:ascii="ＭＳ Ｐ明朝" w:eastAsia="ＭＳ Ｐ明朝" w:hAnsi="ＭＳ Ｐ明朝"/>
          <w:sz w:val="24"/>
          <w:szCs w:val="24"/>
        </w:rPr>
        <w:sectPr w:rsidR="00207587" w:rsidSect="003716B9">
          <w:headerReference w:type="default" r:id="rId6"/>
          <w:footerReference w:type="default" r:id="rId7"/>
          <w:pgSz w:w="11906" w:h="16838"/>
          <w:pgMar w:top="720" w:right="720" w:bottom="720" w:left="720" w:header="851" w:footer="992" w:gutter="0"/>
          <w:cols w:space="425"/>
          <w:docGrid w:type="lines" w:linePitch="360"/>
        </w:sectPr>
      </w:pPr>
    </w:p>
    <w:p w:rsidR="00CE4233" w:rsidRPr="0025407A" w:rsidRDefault="00AD3F82" w:rsidP="00207587">
      <w:pPr>
        <w:spacing w:before="240"/>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lastRenderedPageBreak/>
        <w:pict>
          <v:shape id="_x0000_s1030" type="#_x0000_t32" style="position:absolute;left:0;text-align:left;margin-left:6pt;margin-top:45.4pt;width:240.75pt;height:0;z-index:251661312" o:connectortype="straight" strokecolor="#00b0f0" strokeweight="1pt"/>
        </w:pict>
      </w:r>
      <w:r>
        <w:rPr>
          <w:rFonts w:ascii="ＭＳ Ｐ明朝" w:eastAsia="ＭＳ Ｐ明朝" w:hAnsi="ＭＳ Ｐ明朝"/>
          <w:b/>
          <w:noProof/>
          <w:color w:val="32A4DD"/>
          <w:sz w:val="30"/>
          <w:szCs w:val="30"/>
        </w:rPr>
        <w:pict>
          <v:rect id="_x0000_s1029" style="position:absolute;left:0;text-align:left;margin-left:0;margin-top:15.15pt;width:6pt;height:30.25pt;flip:x;z-index:251660288" fillcolor="#00b0f0" strokecolor="#00b0f0">
            <v:textbox inset="5.85pt,.7pt,5.85pt,.7pt"/>
          </v:rect>
        </w:pict>
      </w:r>
      <w:r w:rsidR="00D466B4">
        <w:rPr>
          <w:rFonts w:ascii="ＭＳ Ｐ明朝" w:eastAsia="ＭＳ Ｐ明朝" w:hAnsi="ＭＳ Ｐ明朝" w:hint="eastAsia"/>
          <w:b/>
          <w:color w:val="32A4DD"/>
          <w:sz w:val="30"/>
          <w:szCs w:val="30"/>
        </w:rPr>
        <w:t xml:space="preserve">　 </w:t>
      </w:r>
      <w:r w:rsidR="00CE4233" w:rsidRPr="0025407A">
        <w:rPr>
          <w:rFonts w:ascii="ＭＳ Ｐ明朝" w:eastAsia="ＭＳ Ｐ明朝" w:hAnsi="ＭＳ Ｐ明朝" w:hint="eastAsia"/>
          <w:b/>
          <w:color w:val="32A4DD"/>
          <w:sz w:val="30"/>
          <w:szCs w:val="30"/>
        </w:rPr>
        <w:t>ビジネス ニーズ</w:t>
      </w:r>
    </w:p>
    <w:p w:rsidR="00207587" w:rsidRPr="00207587" w:rsidRDefault="00207587" w:rsidP="00207587">
      <w:pPr>
        <w:spacing w:before="240"/>
        <w:rPr>
          <w:rFonts w:ascii="ＭＳ Ｐ明朝" w:eastAsia="ＭＳ Ｐ明朝" w:hAnsi="ＭＳ Ｐ明朝"/>
          <w:sz w:val="24"/>
          <w:szCs w:val="24"/>
        </w:rPr>
      </w:pPr>
      <w:r w:rsidRPr="00207587">
        <w:rPr>
          <w:rFonts w:ascii="ＭＳ Ｐ明朝" w:eastAsia="ＭＳ Ｐ明朝" w:hAnsi="ＭＳ Ｐ明朝" w:hint="eastAsia"/>
          <w:sz w:val="24"/>
          <w:szCs w:val="24"/>
        </w:rPr>
        <w:t>TGE Gas Engineering GmbH 社は、産業プラント建設と造船を専門とする企業です。これらの分野では、個々のプロジェクト領域できわめて厳格なドキュメント品質が要求されます。ドキュメント内の情報が不適切であった場合にはもちろんのこと、書式が顧客の要求水準を満たしていない場合にも契約違反として多額の違約金を請求される可能性があります。TGE では、エンジニアの作成したドキュメントをレビューし、コンテンツと書式に誤りがないかを確認するためのドキュメント管理部門を設けています。</w:t>
      </w:r>
    </w:p>
    <w:p w:rsidR="00207587" w:rsidRPr="00207587" w:rsidRDefault="00207587" w:rsidP="00207587">
      <w:pPr>
        <w:rPr>
          <w:rFonts w:ascii="ＭＳ Ｐ明朝" w:eastAsia="ＭＳ Ｐ明朝" w:hAnsi="ＭＳ Ｐ明朝"/>
          <w:sz w:val="24"/>
          <w:szCs w:val="24"/>
        </w:rPr>
      </w:pPr>
    </w:p>
    <w:p w:rsidR="0072437A"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ドキュメントの品質レビューの結果、不適切な点が 1 つでも見つかった場合はドキュメントをエンジニアに差し戻し、作業のやり直しを命じます。ドキュメントの量は膨大であるため、これは非常に労力とコストのかかる作業です。IT マネージャの Tim Bosinius 氏によると、現在、国内での施設開発プロジェクト 1 件につき作成されるドキュメント ファイルの数は約 30,000 文書にも上ります。各ファイルの改訂版も含めるとその数は 120,000文書を超</w:t>
      </w:r>
    </w:p>
    <w:p w:rsidR="0072437A" w:rsidRDefault="0072437A" w:rsidP="00207587">
      <w:pPr>
        <w:rPr>
          <w:rFonts w:ascii="ＭＳ Ｐ明朝" w:eastAsia="ＭＳ Ｐ明朝" w:hAnsi="ＭＳ Ｐ明朝"/>
          <w:sz w:val="24"/>
          <w:szCs w:val="24"/>
        </w:rPr>
      </w:pPr>
    </w:p>
    <w:p w:rsidR="00CE4233" w:rsidRPr="00CE4233"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えます。Bosinius 氏はドキュメント作成での苦労について次のように述べています。「各プロジェクトで顧客に渡すコンポーネント仕様には、たいてい既存プロジェクトと共通する部分があります。エンジニアは通常、既存プロジェクトからその部分をコピーします。しかし、既存のプロジェクトでは異なる書式が使用されていることがあります。結果として新しいドキュメントでは顧客と契約した書式条件に違反してしまうことになります」。</w:t>
      </w:r>
    </w:p>
    <w:p w:rsidR="00CE4233" w:rsidRPr="0025407A" w:rsidRDefault="00AD3F82" w:rsidP="00D466B4">
      <w:pPr>
        <w:ind w:firstLineChars="99" w:firstLine="298"/>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rect id="_x0000_s1031" style="position:absolute;left:0;text-align:left;margin-left:.45pt;margin-top:1.45pt;width:6pt;height:30.25pt;flip:x;z-index:251662336" fillcolor="#00b0f0" strokecolor="#00b0f0">
            <v:textbox inset="5.85pt,.7pt,5.85pt,.7pt"/>
          </v:rect>
        </w:pict>
      </w:r>
      <w:r>
        <w:rPr>
          <w:rFonts w:ascii="ＭＳ Ｐ明朝" w:eastAsia="ＭＳ Ｐ明朝" w:hAnsi="ＭＳ Ｐ明朝"/>
          <w:b/>
          <w:noProof/>
          <w:color w:val="32A4DD"/>
          <w:sz w:val="30"/>
          <w:szCs w:val="30"/>
        </w:rPr>
        <w:pict>
          <v:shape id="_x0000_s1032" type="#_x0000_t32" style="position:absolute;left:0;text-align:left;margin-left:6.45pt;margin-top:31.7pt;width:240.75pt;height:0;z-index:251663360" o:connectortype="straight" strokecolor="#00b0f0" strokeweight="1pt"/>
        </w:pict>
      </w:r>
      <w:r w:rsidR="00CE4233" w:rsidRPr="0025407A">
        <w:rPr>
          <w:rFonts w:ascii="ＭＳ Ｐ明朝" w:eastAsia="ＭＳ Ｐ明朝" w:hAnsi="ＭＳ Ｐ明朝" w:hint="eastAsia"/>
          <w:b/>
          <w:color w:val="32A4DD"/>
          <w:sz w:val="30"/>
          <w:szCs w:val="30"/>
        </w:rPr>
        <w:t>ソリューション</w:t>
      </w:r>
    </w:p>
    <w:p w:rsidR="00207587" w:rsidRPr="00207587"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TGE では、OpenOffice.org の Open Document Format (ODF 形式: Open XML 形式と同様の XML ベースの形式)、または Open XML 形式のいずれかを基盤としたソリューションを検討していました。「2005 年に検討を開始した時点では、OpenOffice.org の Open Document Format が普及するかどうか予測することは困難でした。その後まもなく、当社の IT 環境に OpenOffice.org を統合するコストは、Microsoft® のSharePoint®テクノロジが搭載された 2007 Office system を統合するよりもはるかに高くつくことが明らかになりました」(Bosinius 氏)。</w:t>
      </w:r>
    </w:p>
    <w:p w:rsidR="00652ADC" w:rsidRDefault="00652ADC" w:rsidP="00207587">
      <w:pPr>
        <w:rPr>
          <w:rFonts w:ascii="ＭＳ Ｐ明朝" w:eastAsia="ＭＳ Ｐ明朝" w:hAnsi="ＭＳ Ｐ明朝"/>
          <w:sz w:val="24"/>
          <w:szCs w:val="24"/>
        </w:rPr>
        <w:sectPr w:rsidR="00652ADC" w:rsidSect="00207587">
          <w:headerReference w:type="default" r:id="rId8"/>
          <w:type w:val="continuous"/>
          <w:pgSz w:w="11906" w:h="16838"/>
          <w:pgMar w:top="720" w:right="720" w:bottom="720" w:left="720" w:header="851" w:footer="992" w:gutter="0"/>
          <w:cols w:num="2" w:space="425"/>
          <w:docGrid w:type="lines" w:linePitch="360"/>
        </w:sectPr>
      </w:pPr>
    </w:p>
    <w:p w:rsidR="00207587" w:rsidRPr="00207587" w:rsidRDefault="00AD3F82" w:rsidP="00207587">
      <w:pPr>
        <w:rPr>
          <w:rFonts w:ascii="ＭＳ Ｐ明朝" w:eastAsia="ＭＳ Ｐ明朝" w:hAnsi="ＭＳ Ｐ明朝"/>
          <w:sz w:val="24"/>
          <w:szCs w:val="24"/>
        </w:rPr>
      </w:pPr>
      <w:r w:rsidRPr="00AD3F82">
        <w:rPr>
          <w:rFonts w:ascii="ＭＳ Ｐ明朝" w:eastAsia="ＭＳ Ｐ明朝" w:hAnsi="ＭＳ Ｐ明朝"/>
          <w:b/>
          <w:noProof/>
          <w:color w:val="32A4DD"/>
          <w:sz w:val="30"/>
          <w:szCs w:val="30"/>
        </w:rPr>
        <w:lastRenderedPageBreak/>
        <w:pict>
          <v:shapetype id="_x0000_t202" coordsize="21600,21600" o:spt="202" path="m,l,21600r21600,l21600,xe">
            <v:stroke joinstyle="miter"/>
            <v:path gradientshapeok="t" o:connecttype="rect"/>
          </v:shapetype>
          <v:shape id="_x0000_s1027" type="#_x0000_t202" style="position:absolute;left:0;text-align:left;margin-left:-191.7pt;margin-top:3.7pt;width:172.65pt;height:300.75pt;z-index:251659264" stroked="f">
            <v:textbox inset="5.85pt,.7pt,5.85pt,.7pt">
              <w:txbxContent>
                <w:p w:rsidR="007D327C" w:rsidRPr="007D327C" w:rsidRDefault="007D327C" w:rsidP="007D327C">
                  <w:pPr>
                    <w:spacing w:line="0" w:lineRule="atLeast"/>
                    <w:rPr>
                      <w:rFonts w:ascii="ＭＳ Ｐ明朝" w:eastAsia="ＭＳ Ｐ明朝" w:hAnsi="ＭＳ Ｐ明朝"/>
                      <w:b/>
                      <w:color w:val="32A4DD"/>
                      <w:sz w:val="28"/>
                      <w:szCs w:val="28"/>
                    </w:rPr>
                  </w:pPr>
                  <w:r w:rsidRPr="007D327C">
                    <w:rPr>
                      <w:rFonts w:ascii="ＭＳ Ｐ明朝" w:eastAsia="ＭＳ Ｐ明朝" w:hAnsi="ＭＳ Ｐ明朝" w:hint="eastAsia"/>
                      <w:b/>
                      <w:color w:val="32A4DD"/>
                      <w:sz w:val="28"/>
                      <w:szCs w:val="28"/>
                    </w:rPr>
                    <w:t>概要</w:t>
                  </w:r>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企業名: </w:t>
                  </w:r>
                  <w:r w:rsidR="00652ADC" w:rsidRPr="00652ADC">
                    <w:rPr>
                      <w:rFonts w:ascii="ＭＳ Ｐ明朝" w:eastAsia="ＭＳ Ｐ明朝" w:hAnsi="ＭＳ Ｐ明朝"/>
                    </w:rPr>
                    <w:t>TGE Gas Engineering GmbH</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Web サイト: </w:t>
                  </w:r>
                  <w:hyperlink r:id="rId9" w:history="1">
                    <w:r w:rsidR="00652ADC" w:rsidRPr="00652ADC">
                      <w:rPr>
                        <w:rStyle w:val="Hyperlink"/>
                        <w:rFonts w:ascii="ＭＳ Ｐ明朝" w:eastAsia="ＭＳ Ｐ明朝" w:hAnsi="ＭＳ Ｐ明朝"/>
                      </w:rPr>
                      <w:t>www.tge.net</w:t>
                    </w:r>
                  </w:hyperlink>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企業規模</w:t>
                  </w:r>
                  <w:r w:rsidRPr="007D327C">
                    <w:rPr>
                      <w:rFonts w:ascii="ＭＳ Ｐ明朝" w:eastAsia="ＭＳ Ｐ明朝" w:hAnsi="ＭＳ Ｐ明朝" w:hint="eastAsia"/>
                      <w:b/>
                    </w:rPr>
                    <w:t xml:space="preserve">: </w:t>
                  </w:r>
                  <w:r w:rsidR="00652ADC" w:rsidRPr="00652ADC">
                    <w:rPr>
                      <w:rFonts w:ascii="ＭＳ Ｐ明朝" w:eastAsia="ＭＳ Ｐ明朝" w:hAnsi="ＭＳ Ｐ明朝" w:hint="eastAsia"/>
                    </w:rPr>
                    <w:t>顧客数 250</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国/地域: </w:t>
                  </w:r>
                  <w:r w:rsidR="00652ADC" w:rsidRPr="00652ADC">
                    <w:rPr>
                      <w:rFonts w:ascii="ＭＳ Ｐ明朝" w:eastAsia="ＭＳ Ｐ明朝" w:hAnsi="ＭＳ Ｐ明朝" w:hint="eastAsia"/>
                    </w:rPr>
                    <w:t>ドイツ</w:t>
                  </w:r>
                </w:p>
                <w:p w:rsid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業種: </w:t>
                  </w:r>
                  <w:r w:rsidR="00652ADC" w:rsidRPr="00652ADC">
                    <w:rPr>
                      <w:rFonts w:ascii="ＭＳ Ｐ明朝" w:eastAsia="ＭＳ Ｐ明朝" w:hAnsi="ＭＳ Ｐ明朝" w:hint="eastAsia"/>
                    </w:rPr>
                    <w:t>製造/加工</w:t>
                  </w:r>
                </w:p>
                <w:p w:rsidR="00652ADC" w:rsidRPr="00652ADC" w:rsidRDefault="00652ADC" w:rsidP="00652ADC">
                  <w:pPr>
                    <w:spacing w:line="0" w:lineRule="atLeast"/>
                    <w:rPr>
                      <w:rFonts w:ascii="ＭＳ Ｐ明朝" w:eastAsia="ＭＳ Ｐ明朝" w:hAnsi="ＭＳ Ｐ明朝"/>
                    </w:rPr>
                  </w:pPr>
                  <w:r w:rsidRPr="00652ADC">
                    <w:rPr>
                      <w:rFonts w:ascii="ＭＳ Ｐ明朝" w:eastAsia="ＭＳ Ｐ明朝" w:hAnsi="ＭＳ Ｐ明朝" w:hint="eastAsia"/>
                      <w:b/>
                      <w:color w:val="32A4E3"/>
                    </w:rPr>
                    <w:t xml:space="preserve">パートナー: </w:t>
                  </w:r>
                  <w:r w:rsidRPr="00652ADC">
                    <w:rPr>
                      <w:rFonts w:ascii="ＭＳ Ｐ明朝" w:eastAsia="ＭＳ Ｐ明朝" w:hAnsi="ＭＳ Ｐ明朝" w:hint="eastAsia"/>
                    </w:rPr>
                    <w:t>S&amp;L Netzwerktechnik GmbH</w:t>
                  </w:r>
                </w:p>
                <w:p w:rsidR="00652ADC" w:rsidRPr="007D327C" w:rsidRDefault="00652ADC" w:rsidP="00652ADC">
                  <w:pPr>
                    <w:spacing w:line="0" w:lineRule="atLeast"/>
                    <w:rPr>
                      <w:rFonts w:ascii="ＭＳ Ｐ明朝" w:eastAsia="ＭＳ Ｐ明朝" w:hAnsi="ＭＳ Ｐ明朝"/>
                    </w:rPr>
                  </w:pPr>
                  <w:r w:rsidRPr="00652ADC">
                    <w:rPr>
                      <w:rFonts w:ascii="ＭＳ Ｐ明朝" w:eastAsia="ＭＳ Ｐ明朝" w:hAnsi="ＭＳ Ｐ明朝" w:hint="eastAsia"/>
                      <w:b/>
                      <w:color w:val="32A4E3"/>
                    </w:rPr>
                    <w:t xml:space="preserve">パートナー Web サイト: </w:t>
                  </w:r>
                  <w:hyperlink r:id="rId10" w:history="1">
                    <w:r w:rsidRPr="00652ADC">
                      <w:rPr>
                        <w:rStyle w:val="Hyperlink"/>
                        <w:rFonts w:ascii="ＭＳ Ｐ明朝" w:eastAsia="ＭＳ Ｐ明朝" w:hAnsi="ＭＳ Ｐ明朝" w:hint="eastAsia"/>
                      </w:rPr>
                      <w:t>www.sul.de</w:t>
                    </w:r>
                  </w:hyperlink>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b/>
                      <w:color w:val="32A4DD"/>
                      <w:sz w:val="24"/>
                      <w:szCs w:val="24"/>
                    </w:rPr>
                  </w:pPr>
                  <w:r w:rsidRPr="007D327C">
                    <w:rPr>
                      <w:rFonts w:ascii="ＭＳ Ｐ明朝" w:eastAsia="ＭＳ Ｐ明朝" w:hAnsi="ＭＳ Ｐ明朝" w:hint="eastAsia"/>
                      <w:b/>
                      <w:color w:val="32A4DD"/>
                      <w:sz w:val="24"/>
                      <w:szCs w:val="24"/>
                    </w:rPr>
                    <w:t>プロファイル</w:t>
                  </w:r>
                </w:p>
                <w:p w:rsidR="007D327C" w:rsidRDefault="00652ADC" w:rsidP="007D327C">
                  <w:pPr>
                    <w:spacing w:line="0" w:lineRule="atLeast"/>
                    <w:rPr>
                      <w:rFonts w:ascii="ＭＳ Ｐ明朝" w:eastAsia="ＭＳ Ｐ明朝" w:hAnsi="ＭＳ Ｐ明朝"/>
                      <w:sz w:val="20"/>
                      <w:szCs w:val="20"/>
                    </w:rPr>
                  </w:pPr>
                  <w:r w:rsidRPr="00652ADC">
                    <w:rPr>
                      <w:rFonts w:ascii="ＭＳ Ｐ明朝" w:eastAsia="ＭＳ Ｐ明朝" w:hAnsi="ＭＳ Ｐ明朝" w:hint="eastAsia"/>
                      <w:sz w:val="20"/>
                      <w:szCs w:val="20"/>
                    </w:rPr>
                    <w:t>TGE Gas Engineering GmbH 社は、ドイツのボンに拠点を置く、ガス処理/ガス輸送施設の建設に特化したエンジニアリング会社です。</w:t>
                  </w:r>
                </w:p>
                <w:p w:rsidR="00652ADC" w:rsidRPr="007D327C" w:rsidRDefault="00652AD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b/>
                      <w:color w:val="32A4DD"/>
                      <w:sz w:val="24"/>
                      <w:szCs w:val="24"/>
                    </w:rPr>
                  </w:pPr>
                  <w:r w:rsidRPr="007D327C">
                    <w:rPr>
                      <w:rFonts w:ascii="ＭＳ Ｐ明朝" w:eastAsia="ＭＳ Ｐ明朝" w:hAnsi="ＭＳ Ｐ明朝" w:hint="eastAsia"/>
                      <w:b/>
                      <w:color w:val="32A4DD"/>
                      <w:sz w:val="24"/>
                      <w:szCs w:val="24"/>
                    </w:rPr>
                    <w:t>ソフトウェアとサービス</w:t>
                  </w:r>
                </w:p>
                <w:p w:rsidR="007D327C" w:rsidRPr="007D327C" w:rsidRDefault="007D327C" w:rsidP="007D327C">
                  <w:pPr>
                    <w:spacing w:line="0" w:lineRule="atLeast"/>
                    <w:rPr>
                      <w:rFonts w:ascii="ＭＳ Ｐ明朝" w:eastAsia="ＭＳ Ｐ明朝" w:hAnsi="ＭＳ Ｐ明朝"/>
                      <w:sz w:val="20"/>
                      <w:szCs w:val="20"/>
                    </w:rPr>
                  </w:pPr>
                  <w:r w:rsidRPr="007D327C">
                    <w:rPr>
                      <w:rFonts w:ascii="ＭＳ Ｐ明朝" w:eastAsia="ＭＳ Ｐ明朝" w:hAnsi="ＭＳ Ｐ明朝" w:hint="eastAsia"/>
                      <w:b/>
                      <w:color w:val="32A4DD"/>
                      <w:sz w:val="20"/>
                      <w:szCs w:val="20"/>
                    </w:rPr>
                    <w:t xml:space="preserve">テクノロジ: </w:t>
                  </w:r>
                  <w:r w:rsidRPr="007D327C">
                    <w:rPr>
                      <w:rFonts w:ascii="ＭＳ Ｐ明朝" w:eastAsia="ＭＳ Ｐ明朝" w:hAnsi="ＭＳ Ｐ明朝"/>
                      <w:sz w:val="20"/>
                      <w:szCs w:val="20"/>
                    </w:rPr>
                    <w:t xml:space="preserve">Open XML </w:t>
                  </w:r>
                  <w:r w:rsidRPr="007D327C">
                    <w:rPr>
                      <w:rFonts w:ascii="ＭＳ Ｐ明朝" w:eastAsia="ＭＳ Ｐ明朝" w:hAnsi="ＭＳ Ｐ明朝" w:hint="eastAsia"/>
                      <w:sz w:val="20"/>
                      <w:szCs w:val="20"/>
                    </w:rPr>
                    <w:t>形式</w:t>
                  </w:r>
                </w:p>
              </w:txbxContent>
            </v:textbox>
          </v:shape>
        </w:pict>
      </w:r>
    </w:p>
    <w:p w:rsidR="00207587" w:rsidRPr="00207587"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 xml:space="preserve">Bosinius 氏は当時を振り返り、こう語っています。「2007 Microsoft Office system に新しい Open XML ベースのドキュメント形式が実装されると聞いたとき、TGE のドキュメント ソリューションとしてこれを採用することを決めました」。TGE は、ネットワーク テクノロジを提供する S&amp;L Netzwerktechnik GmbH 社と協力し、既存のドキュメントファイルのコンテンツに対してプロジェクトに応じたテンプレートを適用するソリューションを開発しました。これによって新たに作成するすべてのドキュメントで適切な書式が使用されるようになりました。 </w:t>
      </w:r>
    </w:p>
    <w:p w:rsidR="00207587" w:rsidRPr="00207587" w:rsidRDefault="00207587" w:rsidP="00207587">
      <w:pPr>
        <w:rPr>
          <w:rFonts w:ascii="ＭＳ Ｐ明朝" w:eastAsia="ＭＳ Ｐ明朝" w:hAnsi="ＭＳ Ｐ明朝"/>
          <w:sz w:val="24"/>
          <w:szCs w:val="24"/>
        </w:rPr>
      </w:pPr>
    </w:p>
    <w:p w:rsidR="00207587" w:rsidRPr="00207587"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 xml:space="preserve">「当社の変換ツールでは、既存のドキュメントファイルが適切なテンプレートに基づいて再構築されます。プロジェクト名やドキュメント タイプなどのメタデータは、ドキュメントのプロパティで自動的に管理されます」と Bosinius 氏は説明しています。 </w:t>
      </w:r>
    </w:p>
    <w:p w:rsidR="00207587" w:rsidRPr="00207587" w:rsidRDefault="00207587" w:rsidP="00207587">
      <w:pPr>
        <w:rPr>
          <w:rFonts w:ascii="ＭＳ Ｐ明朝" w:eastAsia="ＭＳ Ｐ明朝" w:hAnsi="ＭＳ Ｐ明朝"/>
          <w:sz w:val="24"/>
          <w:szCs w:val="24"/>
        </w:rPr>
      </w:pPr>
    </w:p>
    <w:p w:rsidR="00CE4233" w:rsidRPr="00CE4233"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Open XML に対応したこの新機能「Document Parts」によって、TGE は新しいソリューションを実現しました。Open XML では、コンテンツの内容を示すタグによってドキュメント内の情報を識別できます。たとえば、プロジェクトのドキュメント内で、ユーザーは特定のコンテンツ要素 (コンポーネントの仕様など) にタグを付け、変換ツールによってその要素が新しいドキュメントに自動的に付加されるように指定できます。「これにより、既存プロジェクトのドキュメント要素を新しいプロジェクトのドキュメントにすばやく移行できます。そのため、エンジニアは書式について思い悩むことなく、コンテンツに集中できるようになります」と Bosinius 氏は述べています。</w:t>
      </w:r>
    </w:p>
    <w:p w:rsidR="00CE4233" w:rsidRPr="00CE4233" w:rsidRDefault="00CE4233" w:rsidP="00CE4233">
      <w:pPr>
        <w:rPr>
          <w:rFonts w:ascii="ＭＳ Ｐ明朝" w:eastAsia="ＭＳ Ｐ明朝" w:hAnsi="ＭＳ Ｐ明朝"/>
          <w:sz w:val="24"/>
          <w:szCs w:val="24"/>
        </w:rPr>
      </w:pPr>
    </w:p>
    <w:p w:rsidR="00CE4233" w:rsidRPr="00B5162C" w:rsidRDefault="00AD3F82" w:rsidP="00D466B4">
      <w:pPr>
        <w:ind w:firstLineChars="100" w:firstLine="240"/>
        <w:rPr>
          <w:rFonts w:ascii="ＭＳ Ｐ明朝" w:eastAsia="ＭＳ Ｐ明朝" w:hAnsi="ＭＳ Ｐ明朝"/>
          <w:b/>
          <w:color w:val="32A4DD"/>
          <w:sz w:val="30"/>
          <w:szCs w:val="30"/>
        </w:rPr>
      </w:pPr>
      <w:r w:rsidRPr="00AD3F82">
        <w:rPr>
          <w:rFonts w:ascii="ＭＳ Ｐ明朝" w:eastAsia="ＭＳ Ｐ明朝" w:hAnsi="ＭＳ Ｐ明朝"/>
          <w:noProof/>
          <w:sz w:val="24"/>
          <w:szCs w:val="24"/>
        </w:rPr>
        <w:pict>
          <v:shape id="_x0000_s1034" type="#_x0000_t32" style="position:absolute;left:0;text-align:left;margin-left:5.7pt;margin-top:32.2pt;width:240.75pt;height:0;z-index:251665408" o:connectortype="straight" strokecolor="#00b0f0" strokeweight="1pt"/>
        </w:pict>
      </w:r>
      <w:r w:rsidRPr="00AD3F82">
        <w:rPr>
          <w:rFonts w:ascii="ＭＳ Ｐ明朝" w:eastAsia="ＭＳ Ｐ明朝" w:hAnsi="ＭＳ Ｐ明朝"/>
          <w:noProof/>
          <w:sz w:val="24"/>
          <w:szCs w:val="24"/>
        </w:rPr>
        <w:pict>
          <v:rect id="_x0000_s1033" style="position:absolute;left:0;text-align:left;margin-left:-.3pt;margin-top:1.95pt;width:6pt;height:30.25pt;flip:x;z-index:251664384" fillcolor="#00b0f0" strokecolor="#00b0f0">
            <v:textbox inset="5.85pt,.7pt,5.85pt,.7pt"/>
          </v:rect>
        </w:pict>
      </w:r>
      <w:r w:rsidR="00CE4233" w:rsidRPr="00B5162C">
        <w:rPr>
          <w:rFonts w:ascii="ＭＳ Ｐ明朝" w:eastAsia="ＭＳ Ｐ明朝" w:hAnsi="ＭＳ Ｐ明朝" w:hint="eastAsia"/>
          <w:b/>
          <w:color w:val="32A4DD"/>
          <w:sz w:val="30"/>
          <w:szCs w:val="30"/>
        </w:rPr>
        <w:t>メリット</w:t>
      </w:r>
    </w:p>
    <w:p w:rsidR="00207587" w:rsidRPr="00207587"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コンサルティング会社 Capgemini の調査により、TGE の新しいソリューションは効率化、コスト削減を始めとするさまざまな領域にメリットをもたらすことが立証されました。</w:t>
      </w:r>
    </w:p>
    <w:p w:rsidR="00207587" w:rsidRPr="00207587" w:rsidRDefault="00207587" w:rsidP="00207587">
      <w:pPr>
        <w:rPr>
          <w:rFonts w:ascii="ＭＳ Ｐ明朝" w:eastAsia="ＭＳ Ｐ明朝" w:hAnsi="ＭＳ Ｐ明朝"/>
          <w:sz w:val="24"/>
          <w:szCs w:val="24"/>
        </w:rPr>
      </w:pPr>
    </w:p>
    <w:p w:rsidR="00207587" w:rsidRPr="00207587"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「不合格になるドキュメント数、つまりドキュメント管理部門からエンジニアに差し戻されるドキュメント数が 1ヶ月あたり15% 減少しました」(Bosinius 氏)。</w:t>
      </w:r>
    </w:p>
    <w:p w:rsidR="00207587" w:rsidRPr="00207587" w:rsidRDefault="00207587" w:rsidP="00207587">
      <w:pPr>
        <w:rPr>
          <w:rFonts w:ascii="ＭＳ Ｐ明朝" w:eastAsia="ＭＳ Ｐ明朝" w:hAnsi="ＭＳ Ｐ明朝"/>
          <w:sz w:val="24"/>
          <w:szCs w:val="24"/>
        </w:rPr>
      </w:pPr>
    </w:p>
    <w:p w:rsidR="00207587" w:rsidRPr="00207587"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さらに同氏は、「適切なヘッダーとフッターの付いたドキュメントにレ</w:t>
      </w:r>
      <w:r w:rsidRPr="00207587">
        <w:rPr>
          <w:rFonts w:ascii="ＭＳ Ｐ明朝" w:eastAsia="ＭＳ Ｐ明朝" w:hAnsi="ＭＳ Ｐ明朝" w:hint="eastAsia"/>
          <w:sz w:val="24"/>
          <w:szCs w:val="24"/>
        </w:rPr>
        <w:lastRenderedPageBreak/>
        <w:t>イアウトするために要する平均時間が 8 分から 17 秒へと短縮されました」とも述べています。この時間短縮によって、TGE には多大な節減効果が見込めます。「たとえば、ある造船プロジェクトでは、通常約 1,000 件のドキュメント作成を伴いますが、この場合、約 7,000 分 (116 時間超) の節減効果が生まれます。エンジニアリングコストの平均が 1 時間 80 ユーロ (109 米ドル) なので、節減額は瞬く間に数千ユーロに達します」。</w:t>
      </w:r>
      <w:r w:rsidRPr="00207587">
        <w:rPr>
          <w:rFonts w:ascii="ＭＳ Ｐ明朝" w:eastAsia="ＭＳ Ｐ明朝" w:hAnsi="ＭＳ Ｐ明朝" w:hint="eastAsia"/>
          <w:sz w:val="24"/>
          <w:szCs w:val="24"/>
        </w:rPr>
        <w:cr/>
      </w:r>
    </w:p>
    <w:p w:rsidR="00207587" w:rsidRPr="00207587" w:rsidRDefault="00AD3F82" w:rsidP="00207587">
      <w:pPr>
        <w:rPr>
          <w:rFonts w:ascii="ＭＳ Ｐ明朝" w:eastAsia="ＭＳ Ｐ明朝" w:hAnsi="ＭＳ Ｐ明朝"/>
          <w:sz w:val="24"/>
          <w:szCs w:val="24"/>
        </w:rPr>
      </w:pPr>
      <w:r w:rsidRPr="00AD3F82">
        <w:rPr>
          <w:rFonts w:ascii="ＭＳ Ｐ明朝" w:eastAsia="ＭＳ Ｐ明朝" w:hAnsi="ＭＳ Ｐ明朝"/>
          <w:b/>
          <w:noProof/>
          <w:color w:val="32A4DD"/>
          <w:sz w:val="30"/>
          <w:szCs w:val="30"/>
        </w:rPr>
        <w:pict>
          <v:shape id="_x0000_s1026" type="#_x0000_t202" style="position:absolute;left:0;text-align:left;margin-left:-190.2pt;margin-top:-138.8pt;width:165.75pt;height:242.25pt;z-index:251658240" stroked="f">
            <v:textbox inset="5.85pt,.7pt,5.85pt,.7pt">
              <w:txbxContent>
                <w:p w:rsidR="00652ADC" w:rsidRDefault="00652ADC" w:rsidP="00B5162C">
                  <w:pPr>
                    <w:spacing w:before="240" w:line="0" w:lineRule="atLeast"/>
                    <w:rPr>
                      <w:rFonts w:ascii="ＭＳ Ｐ明朝" w:eastAsia="ＭＳ Ｐ明朝" w:hAnsi="ＭＳ Ｐ明朝"/>
                      <w:color w:val="4C4C4C"/>
                      <w:sz w:val="30"/>
                      <w:szCs w:val="30"/>
                    </w:rPr>
                  </w:pPr>
                  <w:r w:rsidRPr="00652ADC">
                    <w:rPr>
                      <w:rFonts w:ascii="ＭＳ Ｐ明朝" w:eastAsia="ＭＳ Ｐ明朝" w:hAnsi="ＭＳ Ｐ明朝" w:hint="eastAsia"/>
                      <w:color w:val="4C4C4C"/>
                      <w:sz w:val="30"/>
                      <w:szCs w:val="30"/>
                    </w:rPr>
                    <w:t>"ドキュメントのレイアウトに要する平均時間を 8 分から 17 秒に短縮できました。エンジニアリングコストの平均は 1 時間 80 ユーロなので、節減額は瞬く間に数千ユーロに達します"</w:t>
                  </w:r>
                </w:p>
                <w:p w:rsidR="00B5162C" w:rsidRPr="007D327C" w:rsidRDefault="00652ADC" w:rsidP="00652ADC">
                  <w:pPr>
                    <w:spacing w:before="240" w:line="0" w:lineRule="atLeast"/>
                    <w:rPr>
                      <w:color w:val="4C4C4C"/>
                      <w:sz w:val="20"/>
                      <w:szCs w:val="20"/>
                    </w:rPr>
                  </w:pPr>
                  <w:r w:rsidRPr="00652ADC">
                    <w:rPr>
                      <w:rFonts w:hint="eastAsia"/>
                      <w:color w:val="4C4C4C"/>
                      <w:sz w:val="20"/>
                      <w:szCs w:val="20"/>
                    </w:rPr>
                    <w:t xml:space="preserve">TGE Gas Engineering GmbH </w:t>
                  </w:r>
                  <w:r w:rsidRPr="00652ADC">
                    <w:rPr>
                      <w:rFonts w:hint="eastAsia"/>
                      <w:color w:val="4C4C4C"/>
                      <w:sz w:val="20"/>
                      <w:szCs w:val="20"/>
                    </w:rPr>
                    <w:t>社</w:t>
                  </w:r>
                  <w:r w:rsidRPr="00652ADC">
                    <w:rPr>
                      <w:rFonts w:hint="eastAsia"/>
                      <w:color w:val="4C4C4C"/>
                      <w:sz w:val="20"/>
                      <w:szCs w:val="20"/>
                    </w:rPr>
                    <w:t xml:space="preserve"> IT </w:t>
                  </w:r>
                  <w:r w:rsidRPr="00652ADC">
                    <w:rPr>
                      <w:rFonts w:hint="eastAsia"/>
                      <w:color w:val="4C4C4C"/>
                      <w:sz w:val="20"/>
                      <w:szCs w:val="20"/>
                    </w:rPr>
                    <w:t>マネージャ</w:t>
                  </w:r>
                  <w:r>
                    <w:rPr>
                      <w:color w:val="4C4C4C"/>
                      <w:sz w:val="20"/>
                      <w:szCs w:val="20"/>
                    </w:rPr>
                    <w:br/>
                  </w:r>
                  <w:r w:rsidRPr="00652ADC">
                    <w:rPr>
                      <w:rFonts w:hint="eastAsia"/>
                      <w:color w:val="4C4C4C"/>
                      <w:sz w:val="20"/>
                      <w:szCs w:val="20"/>
                    </w:rPr>
                    <w:t xml:space="preserve">Tim Bosinius </w:t>
                  </w:r>
                  <w:r w:rsidRPr="00652ADC">
                    <w:rPr>
                      <w:rFonts w:hint="eastAsia"/>
                      <w:color w:val="4C4C4C"/>
                      <w:sz w:val="20"/>
                      <w:szCs w:val="20"/>
                    </w:rPr>
                    <w:t>氏</w:t>
                  </w:r>
                </w:p>
              </w:txbxContent>
            </v:textbox>
          </v:shape>
        </w:pict>
      </w:r>
    </w:p>
    <w:p w:rsidR="007D327C" w:rsidRDefault="00207587" w:rsidP="00207587">
      <w:pPr>
        <w:rPr>
          <w:rFonts w:ascii="ＭＳ Ｐ明朝" w:eastAsia="ＭＳ Ｐ明朝" w:hAnsi="ＭＳ Ｐ明朝"/>
          <w:sz w:val="24"/>
          <w:szCs w:val="24"/>
        </w:rPr>
      </w:pPr>
      <w:r w:rsidRPr="00207587">
        <w:rPr>
          <w:rFonts w:ascii="ＭＳ Ｐ明朝" w:eastAsia="ＭＳ Ｐ明朝" w:hAnsi="ＭＳ Ｐ明朝" w:hint="eastAsia"/>
          <w:sz w:val="24"/>
          <w:szCs w:val="24"/>
        </w:rPr>
        <w:t xml:space="preserve">新しい Open XML 形式のおかげで、「わずか数ヶ月で投資費用が回収できました」と Bosinius </w:t>
      </w:r>
      <w:r>
        <w:rPr>
          <w:rFonts w:ascii="ＭＳ Ｐ明朝" w:eastAsia="ＭＳ Ｐ明朝" w:hAnsi="ＭＳ Ｐ明朝" w:hint="eastAsia"/>
          <w:sz w:val="24"/>
          <w:szCs w:val="24"/>
        </w:rPr>
        <w:t>氏は述べています</w:t>
      </w:r>
    </w:p>
    <w:p w:rsidR="00207587" w:rsidRDefault="00207587" w:rsidP="00207587">
      <w:pPr>
        <w:rPr>
          <w:rFonts w:ascii="ＭＳ Ｐ明朝" w:eastAsia="ＭＳ Ｐ明朝" w:hAnsi="ＭＳ Ｐ明朝"/>
          <w:sz w:val="24"/>
          <w:szCs w:val="24"/>
        </w:rPr>
        <w:sectPr w:rsidR="00207587" w:rsidSect="00652ADC">
          <w:headerReference w:type="default" r:id="rId11"/>
          <w:footerReference w:type="default" r:id="rId12"/>
          <w:pgSz w:w="11906" w:h="16838"/>
          <w:pgMar w:top="720" w:right="720" w:bottom="720" w:left="4536" w:header="851" w:footer="992" w:gutter="0"/>
          <w:cols w:space="425"/>
          <w:docGrid w:type="lines" w:linePitch="360"/>
        </w:sectPr>
      </w:pPr>
    </w:p>
    <w:p w:rsidR="00207587" w:rsidRDefault="00207587" w:rsidP="00207587">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Pr="00CE4233" w:rsidRDefault="003716B9" w:rsidP="00CE4233">
      <w:pPr>
        <w:rPr>
          <w:rFonts w:ascii="ＭＳ Ｐ明朝" w:eastAsia="ＭＳ Ｐ明朝" w:hAnsi="ＭＳ Ｐ明朝"/>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Default="00652ADC" w:rsidP="00207587">
      <w:pPr>
        <w:rPr>
          <w:rFonts w:ascii="ＭＳ Ｐ明朝" w:eastAsia="ＭＳ Ｐ明朝" w:hAnsi="ＭＳ Ｐ明朝"/>
          <w:color w:val="4C4C4C"/>
          <w:sz w:val="24"/>
          <w:szCs w:val="24"/>
        </w:rPr>
      </w:pPr>
    </w:p>
    <w:p w:rsidR="00652ADC" w:rsidRPr="003716B9" w:rsidRDefault="00AD3F82" w:rsidP="00207587">
      <w:pPr>
        <w:spacing w:before="240"/>
        <w:rPr>
          <w:rFonts w:ascii="ＭＳ Ｐ明朝" w:eastAsia="ＭＳ Ｐ明朝" w:hAnsi="ＭＳ Ｐ明朝"/>
          <w:color w:val="4C4C4C"/>
          <w:sz w:val="24"/>
          <w:szCs w:val="24"/>
        </w:rPr>
      </w:pPr>
      <w:r>
        <w:rPr>
          <w:rFonts w:ascii="ＭＳ Ｐ明朝" w:eastAsia="ＭＳ Ｐ明朝" w:hAnsi="ＭＳ Ｐ明朝"/>
          <w:noProof/>
          <w:color w:val="4C4C4C"/>
          <w:sz w:val="24"/>
          <w:szCs w:val="24"/>
        </w:rPr>
        <w:pict>
          <v:shape id="_x0000_s1040" type="#_x0000_t202" style="position:absolute;left:0;text-align:left;margin-left:-9.55pt;margin-top:91.45pt;width:542pt;height:146.25pt;z-index:251667456" stroked="f">
            <v:textbox style="mso-next-textbox:#_x0000_s1040" inset="5.85pt,.7pt,5.85pt,.7pt">
              <w:txbxContent>
                <w:p w:rsidR="00AF77D6" w:rsidRPr="006C12D8" w:rsidRDefault="00AF77D6" w:rsidP="00AF77D6">
                  <w:pPr>
                    <w:autoSpaceDE w:val="0"/>
                    <w:autoSpaceDN w:val="0"/>
                    <w:adjustRightInd w:val="0"/>
                    <w:rPr>
                      <w:rFonts w:ascii="Segoe" w:eastAsiaTheme="majorEastAsia" w:hAnsi="Segoe" w:cs="Segoe-Semibold"/>
                      <w:color w:val="000000"/>
                      <w:sz w:val="20"/>
                      <w:szCs w:val="20"/>
                    </w:rPr>
                  </w:pPr>
                  <w:r w:rsidRPr="006C12D8">
                    <w:rPr>
                      <w:rFonts w:ascii="Segoe" w:eastAsiaTheme="majorEastAsia" w:hAnsi="Segoe" w:cs="Segoe-Semibold"/>
                      <w:b/>
                      <w:bCs/>
                      <w:color w:val="231F20"/>
                      <w:sz w:val="18"/>
                      <w:szCs w:val="18"/>
                    </w:rPr>
                    <w:t xml:space="preserve">Ecma Office Open XML </w:t>
                  </w:r>
                  <w:r w:rsidRPr="006C12D8">
                    <w:rPr>
                      <w:rFonts w:ascii="Segoe" w:eastAsiaTheme="majorEastAsia" w:hAnsiTheme="majorEastAsia" w:cs="MidashiGoPro-MB31-90pv-RKSJ-H-I"/>
                      <w:color w:val="231F20"/>
                      <w:sz w:val="16"/>
                      <w:szCs w:val="16"/>
                    </w:rPr>
                    <w:t>に関する情報については、</w:t>
                  </w:r>
                  <w:r w:rsidRPr="006C12D8">
                    <w:rPr>
                      <w:rFonts w:ascii="Segoe" w:eastAsiaTheme="majorEastAsia" w:hAnsi="Segoe" w:cs="Segoe-Semibold"/>
                      <w:b/>
                      <w:bCs/>
                      <w:color w:val="231F20"/>
                      <w:sz w:val="18"/>
                      <w:szCs w:val="18"/>
                    </w:rPr>
                    <w:t>http://www.microsoft.com/japan/</w:t>
                  </w:r>
                  <w:r>
                    <w:rPr>
                      <w:rFonts w:ascii="Segoe" w:eastAsiaTheme="majorEastAsia" w:hAnsi="Segoe" w:cs="Segoe-Semibold" w:hint="eastAsia"/>
                      <w:b/>
                      <w:bCs/>
                      <w:color w:val="231F20"/>
                      <w:sz w:val="18"/>
                      <w:szCs w:val="18"/>
                    </w:rPr>
                    <w:t>interop</w:t>
                  </w:r>
                  <w:r w:rsidRPr="006C12D8">
                    <w:rPr>
                      <w:rFonts w:ascii="Segoe" w:eastAsiaTheme="majorEastAsia" w:hAnsi="Segoe" w:cs="Segoe-Semibold"/>
                      <w:b/>
                      <w:bCs/>
                      <w:color w:val="231F20"/>
                      <w:sz w:val="18"/>
                      <w:szCs w:val="18"/>
                    </w:rPr>
                    <w:t>/</w:t>
                  </w:r>
                  <w:r>
                    <w:rPr>
                      <w:rFonts w:ascii="Segoe" w:eastAsiaTheme="majorEastAsia" w:hAnsi="Segoe" w:cs="Segoe-Semibold" w:hint="eastAsia"/>
                      <w:b/>
                      <w:bCs/>
                      <w:color w:val="231F20"/>
                      <w:sz w:val="18"/>
                      <w:szCs w:val="18"/>
                    </w:rPr>
                    <w:t>openxml</w:t>
                  </w:r>
                  <w:r w:rsidRPr="006C12D8">
                    <w:rPr>
                      <w:rFonts w:ascii="Segoe" w:eastAsiaTheme="majorEastAsia" w:hAnsi="Segoe" w:cs="Segoe-Semibold"/>
                      <w:b/>
                      <w:bCs/>
                      <w:color w:val="231F20"/>
                      <w:sz w:val="18"/>
                      <w:szCs w:val="18"/>
                    </w:rPr>
                    <w:t xml:space="preserve"> </w:t>
                  </w:r>
                  <w:r w:rsidRPr="006C12D8">
                    <w:rPr>
                      <w:rFonts w:ascii="Segoe" w:eastAsiaTheme="majorEastAsia" w:hAnsiTheme="majorEastAsia" w:cs="MidashiGoPro-MB31-90pv-RKSJ-H-I"/>
                      <w:color w:val="231F20"/>
                      <w:sz w:val="16"/>
                      <w:szCs w:val="16"/>
                    </w:rPr>
                    <w:t>をご覧ください。</w:t>
                  </w:r>
                </w:p>
                <w:p w:rsidR="00AF77D6" w:rsidRPr="006C12D8" w:rsidRDefault="00AF77D6" w:rsidP="00AF77D6">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Microsoft</w:t>
                  </w:r>
                  <w:r w:rsidRPr="006C12D8">
                    <w:rPr>
                      <w:rFonts w:ascii="Segoe" w:eastAsiaTheme="majorEastAsia" w:hAnsiTheme="majorEastAsia" w:cs="GothicBBBPro-Medium-90pv-RKSJ-H"/>
                      <w:color w:val="231F20"/>
                      <w:sz w:val="12"/>
                      <w:szCs w:val="12"/>
                    </w:rPr>
                    <w:t>、</w:t>
                  </w:r>
                  <w:r>
                    <w:rPr>
                      <w:rFonts w:ascii="Segoe" w:eastAsiaTheme="majorEastAsia" w:hAnsi="Segoe" w:cs="Segoe" w:hint="eastAsia"/>
                      <w:color w:val="231F20"/>
                      <w:sz w:val="12"/>
                      <w:szCs w:val="12"/>
                    </w:rPr>
                    <w:t xml:space="preserve">Windows, Office </w:t>
                  </w:r>
                  <w:r>
                    <w:rPr>
                      <w:rFonts w:ascii="Segoe" w:eastAsiaTheme="majorEastAsia" w:hAnsi="Segoe" w:cs="Segoe" w:hint="eastAsia"/>
                      <w:color w:val="231F20"/>
                      <w:sz w:val="12"/>
                      <w:szCs w:val="12"/>
                    </w:rPr>
                    <w:t>ロゴ</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は、米国</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 xml:space="preserve">Microsoft Corporation </w:t>
                  </w:r>
                  <w:r w:rsidRPr="006C12D8">
                    <w:rPr>
                      <w:rFonts w:ascii="Segoe" w:eastAsiaTheme="majorEastAsia" w:hAnsiTheme="majorEastAsia" w:cs="GothicBBBPro-Medium-90pv-RKSJ-H"/>
                      <w:color w:val="231F20"/>
                      <w:sz w:val="12"/>
                      <w:szCs w:val="12"/>
                    </w:rPr>
                    <w:t>の米国およびその他の国における登録商標または商標です。</w:t>
                  </w:r>
                </w:p>
                <w:p w:rsidR="00AF77D6" w:rsidRPr="006C12D8" w:rsidRDefault="00AF77D6" w:rsidP="00AF77D6">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その他、記載されている情報等は、マイクロソフトのパートナー各社における製品、サービスおよびソリューションであり、それに付随するロゴは商標または登録商標です。</w:t>
                  </w:r>
                </w:p>
                <w:p w:rsidR="00AF77D6" w:rsidRPr="006C12D8" w:rsidRDefault="00AF77D6" w:rsidP="00AF77D6">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本リーフレットの内容は</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200</w:t>
                  </w:r>
                  <w:r>
                    <w:rPr>
                      <w:rFonts w:ascii="Segoe" w:eastAsiaTheme="majorEastAsia" w:hAnsi="Segoe" w:cs="Segoe" w:hint="eastAsia"/>
                      <w:color w:val="231F20"/>
                      <w:sz w:val="12"/>
                      <w:szCs w:val="12"/>
                    </w:rPr>
                    <w:t>7</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年</w:t>
                  </w:r>
                  <w:r w:rsidRPr="006C12D8">
                    <w:rPr>
                      <w:rFonts w:ascii="Segoe" w:eastAsiaTheme="majorEastAsia" w:hAnsi="Segoe" w:cs="GothicBBBPro-Medium-90pv-RKSJ-H"/>
                      <w:color w:val="231F20"/>
                      <w:sz w:val="12"/>
                      <w:szCs w:val="12"/>
                    </w:rPr>
                    <w:t xml:space="preserve"> </w:t>
                  </w:r>
                  <w:r>
                    <w:rPr>
                      <w:rFonts w:ascii="Segoe" w:eastAsiaTheme="majorEastAsia" w:hAnsi="Segoe" w:cs="Segoe" w:hint="eastAsia"/>
                      <w:color w:val="231F20"/>
                      <w:sz w:val="12"/>
                      <w:szCs w:val="12"/>
                    </w:rPr>
                    <w:t>11</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月現在のものです。</w:t>
                  </w:r>
                </w:p>
                <w:p w:rsidR="00AF77D6" w:rsidRPr="006C12D8" w:rsidRDefault="00AF77D6" w:rsidP="00AF77D6">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製品に関するお問い合わせは、次のインフォメーションをご利用ください。</w:t>
                  </w:r>
                </w:p>
                <w:p w:rsidR="00AF77D6" w:rsidRPr="006C12D8" w:rsidRDefault="00AF77D6" w:rsidP="00AF77D6">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インターネット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ホームページ　</w:t>
                  </w:r>
                  <w:r w:rsidRPr="006C12D8">
                    <w:rPr>
                      <w:rFonts w:ascii="Segoe" w:eastAsiaTheme="majorEastAsia" w:hAnsi="Segoe" w:cs="GothicBBBPro-Medium-90pv-RKSJ-H"/>
                      <w:color w:val="231F20"/>
                      <w:sz w:val="12"/>
                      <w:szCs w:val="12"/>
                    </w:rPr>
                    <w:t xml:space="preserve"> </w:t>
                  </w:r>
                  <w:hyperlink r:id="rId13" w:history="1">
                    <w:r w:rsidRPr="006C12D8">
                      <w:rPr>
                        <w:rStyle w:val="Hyperlink"/>
                        <w:rFonts w:ascii="Segoe" w:eastAsiaTheme="majorEastAsia" w:hAnsi="Segoe" w:cs="Segoe"/>
                        <w:sz w:val="13"/>
                        <w:szCs w:val="13"/>
                      </w:rPr>
                      <w:t>http://www.microsoft.com/japan/</w:t>
                    </w:r>
                  </w:hyperlink>
                  <w:r w:rsidRPr="006C12D8">
                    <w:rPr>
                      <w:rFonts w:ascii="Segoe" w:eastAsiaTheme="majorEastAsia" w:hAnsiTheme="majorEastAsia" w:cs="Segoe"/>
                      <w:color w:val="231F20"/>
                      <w:sz w:val="13"/>
                      <w:szCs w:val="13"/>
                    </w:rPr>
                    <w:t xml:space="preserve">　　</w:t>
                  </w:r>
                </w:p>
                <w:p w:rsidR="00AF77D6" w:rsidRPr="006C12D8" w:rsidRDefault="00AF77D6" w:rsidP="00AF77D6">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マイクロソフト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カスタマー</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インフォメーション</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センター　</w:t>
                  </w:r>
                  <w:r w:rsidRPr="006C12D8">
                    <w:rPr>
                      <w:rFonts w:ascii="Segoe" w:eastAsiaTheme="majorEastAsia" w:hAnsi="Segoe" w:cs="Segoe"/>
                      <w:color w:val="231F20"/>
                      <w:sz w:val="13"/>
                      <w:szCs w:val="13"/>
                    </w:rPr>
                    <w:t>0120-41-6755</w:t>
                  </w:r>
                  <w:r w:rsidRPr="006C12D8">
                    <w:rPr>
                      <w:rFonts w:ascii="Segoe" w:eastAsiaTheme="majorEastAsia" w:hAnsiTheme="majorEastAsia" w:cs="Segoe"/>
                      <w:color w:val="231F20"/>
                      <w:sz w:val="13"/>
                      <w:szCs w:val="13"/>
                    </w:rPr>
                    <w:t xml:space="preserve">　</w:t>
                  </w:r>
                </w:p>
                <w:p w:rsidR="00AF77D6" w:rsidRPr="006C12D8" w:rsidRDefault="00AF77D6" w:rsidP="00AF77D6">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Segoe"/>
                      <w:color w:val="231F20"/>
                      <w:sz w:val="13"/>
                      <w:szCs w:val="13"/>
                    </w:rPr>
                    <w:t xml:space="preserve">9:30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12:00</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13:00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19:00 </w:t>
                  </w:r>
                  <w:r w:rsidRPr="006C12D8">
                    <w:rPr>
                      <w:rFonts w:ascii="Segoe" w:eastAsiaTheme="majorEastAsia" w:hAnsiTheme="majorEastAsia" w:cs="GothicBBBPro-Medium-90pv-RKSJ-H"/>
                      <w:color w:val="231F20"/>
                      <w:sz w:val="12"/>
                      <w:szCs w:val="12"/>
                    </w:rPr>
                    <w:t>土日祝日、弊社指定休業日を除きます）</w:t>
                  </w:r>
                  <w:r w:rsidRPr="006C12D8">
                    <w:rPr>
                      <w:rFonts w:ascii="Segoe" w:eastAsiaTheme="majorEastAsia" w:hAnsiTheme="majorEastAsia" w:cs="GothicBBBPro-Medium-90pv-RKSJ-H"/>
                      <w:color w:val="231F20"/>
                      <w:sz w:val="10"/>
                      <w:szCs w:val="10"/>
                    </w:rPr>
                    <w:t>※電話番号のおかけ間違いにご注意ください。</w:t>
                  </w:r>
                </w:p>
                <w:p w:rsidR="00AF77D6" w:rsidRPr="006C12D8" w:rsidRDefault="00AF77D6" w:rsidP="00AF77D6">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 xml:space="preserve">■ご購入に関するお問い合わせは、マイクロソフト認定パートナーへ　　</w:t>
                  </w:r>
                </w:p>
                <w:p w:rsidR="00AF77D6" w:rsidRDefault="00AF77D6" w:rsidP="00AF77D6">
                  <w:pPr>
                    <w:autoSpaceDE w:val="0"/>
                    <w:autoSpaceDN w:val="0"/>
                    <w:adjustRightInd w:val="0"/>
                    <w:spacing w:line="120" w:lineRule="exact"/>
                    <w:rPr>
                      <w:rFonts w:ascii="Segoe" w:eastAsia="GothicBBBPro-Medium-90pv-RKSJ-H"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マイクロソフト認定パートナー　</w:t>
                  </w:r>
                  <w:hyperlink r:id="rId14" w:history="1">
                    <w:r w:rsidRPr="006C12D8">
                      <w:rPr>
                        <w:rStyle w:val="Hyperlink"/>
                        <w:rFonts w:ascii="Segoe" w:eastAsiaTheme="majorEastAsia" w:hAnsi="Segoe" w:cs="Segoe"/>
                        <w:sz w:val="13"/>
                        <w:szCs w:val="13"/>
                      </w:rPr>
                      <w:t>http://www.microsoft.com/japan/partners</w:t>
                    </w:r>
                  </w:hyperlink>
                </w:p>
                <w:p w:rsidR="00AF77D6" w:rsidRPr="006C12D8" w:rsidRDefault="00AF77D6" w:rsidP="00AF77D6">
                  <w:pPr>
                    <w:autoSpaceDE w:val="0"/>
                    <w:autoSpaceDN w:val="0"/>
                    <w:adjustRightInd w:val="0"/>
                    <w:rPr>
                      <w:rFonts w:asciiTheme="majorEastAsia" w:eastAsiaTheme="majorEastAsia" w:hAnsiTheme="majorEastAsia" w:cs="Segoe"/>
                      <w:color w:val="231F20"/>
                      <w:sz w:val="13"/>
                      <w:szCs w:val="13"/>
                    </w:rPr>
                  </w:pPr>
                  <w:r>
                    <w:rPr>
                      <w:rFonts w:ascii="GothicBBBPro-Medium-90pv-RKSJ-H" w:eastAsia="GothicBBBPro-Medium-90pv-RKSJ-H" w:cs="GothicBBBPro-Medium-90pv-RKSJ-H" w:hint="eastAsia"/>
                      <w:noProof/>
                      <w:color w:val="231F20"/>
                      <w:sz w:val="10"/>
                      <w:szCs w:val="10"/>
                    </w:rPr>
                    <w:drawing>
                      <wp:inline distT="0" distB="0" distL="0" distR="0">
                        <wp:extent cx="1498600" cy="244254"/>
                        <wp:effectExtent l="19050" t="0" r="6350" b="0"/>
                        <wp:docPr id="6" name="図 1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5"/>
                                <a:stretch>
                                  <a:fillRect/>
                                </a:stretch>
                              </pic:blipFill>
                              <pic:spPr>
                                <a:xfrm>
                                  <a:off x="0" y="0"/>
                                  <a:ext cx="1498600" cy="244254"/>
                                </a:xfrm>
                                <a:prstGeom prst="rect">
                                  <a:avLst/>
                                </a:prstGeom>
                              </pic:spPr>
                            </pic:pic>
                          </a:graphicData>
                        </a:graphic>
                      </wp:inline>
                    </w:drawing>
                  </w:r>
                  <w:r>
                    <w:rPr>
                      <w:rFonts w:ascii="Segoe" w:eastAsia="GothicBBBPro-Medium-90pv-RKSJ-H" w:hAnsi="Segoe" w:cs="Segoe" w:hint="eastAsia"/>
                      <w:color w:val="231F20"/>
                      <w:sz w:val="13"/>
                      <w:szCs w:val="13"/>
                    </w:rPr>
                    <w:t xml:space="preserve">        </w:t>
                  </w:r>
                  <w:r w:rsidRPr="006C12D8">
                    <w:rPr>
                      <w:rFonts w:asciiTheme="majorEastAsia" w:eastAsiaTheme="majorEastAsia" w:hAnsiTheme="majorEastAsia" w:cs="GothicBBBPro-Medium-90pv-RKSJ-H" w:hint="eastAsia"/>
                      <w:noProof/>
                      <w:color w:val="231F20"/>
                      <w:sz w:val="10"/>
                      <w:szCs w:val="10"/>
                    </w:rPr>
                    <w:drawing>
                      <wp:inline distT="0" distB="0" distL="0" distR="0">
                        <wp:extent cx="1123950" cy="95857"/>
                        <wp:effectExtent l="19050" t="0" r="0" b="0"/>
                        <wp:docPr id="7" name="図 12" descr="MSK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K_Logo.jpg"/>
                                <pic:cNvPicPr/>
                              </pic:nvPicPr>
                              <pic:blipFill>
                                <a:blip r:embed="rId16"/>
                                <a:stretch>
                                  <a:fillRect/>
                                </a:stretch>
                              </pic:blipFill>
                              <pic:spPr>
                                <a:xfrm>
                                  <a:off x="0" y="0"/>
                                  <a:ext cx="1124301" cy="95887"/>
                                </a:xfrm>
                                <a:prstGeom prst="rect">
                                  <a:avLst/>
                                </a:prstGeom>
                              </pic:spPr>
                            </pic:pic>
                          </a:graphicData>
                        </a:graphic>
                      </wp:inline>
                    </w:drawing>
                  </w:r>
                </w:p>
                <w:p w:rsidR="00AF77D6" w:rsidRPr="006C12D8" w:rsidRDefault="00AF77D6" w:rsidP="00AF77D6">
                  <w:pPr>
                    <w:autoSpaceDE w:val="0"/>
                    <w:autoSpaceDN w:val="0"/>
                    <w:adjustRightInd w:val="0"/>
                    <w:spacing w:line="100" w:lineRule="exact"/>
                    <w:ind w:firstLineChars="2950" w:firstLine="2950"/>
                    <w:rPr>
                      <w:rFonts w:asciiTheme="majorEastAsia" w:eastAsiaTheme="majorEastAsia" w:hAnsiTheme="majorEastAsia" w:cs="Segoe"/>
                      <w:color w:val="231F20"/>
                      <w:sz w:val="13"/>
                      <w:szCs w:val="13"/>
                    </w:rPr>
                  </w:pPr>
                  <w:r w:rsidRPr="006C12D8">
                    <w:rPr>
                      <w:rFonts w:asciiTheme="majorEastAsia" w:eastAsiaTheme="majorEastAsia" w:hAnsiTheme="majorEastAsia" w:cs="GothicBBBPro-Medium-90pv-RKSJ-H" w:hint="eastAsia"/>
                      <w:color w:val="231F20"/>
                      <w:sz w:val="10"/>
                      <w:szCs w:val="10"/>
                    </w:rPr>
                    <w:t>〒</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151-8583</w:t>
                  </w:r>
                  <w:r w:rsidRPr="006C12D8">
                    <w:rPr>
                      <w:rFonts w:asciiTheme="majorEastAsia" w:eastAsiaTheme="majorEastAsia" w:hAnsiTheme="majorEastAsia" w:cs="GothicBBBPro-Medium-90pv-RKSJ-H" w:hint="eastAsia"/>
                      <w:color w:val="231F20"/>
                      <w:sz w:val="10"/>
                      <w:szCs w:val="10"/>
                    </w:rPr>
                    <w:t xml:space="preserve">　東京都渋谷区代々木</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丁目</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番地</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1 </w:t>
                  </w:r>
                  <w:r w:rsidRPr="006C12D8">
                    <w:rPr>
                      <w:rFonts w:asciiTheme="majorEastAsia" w:eastAsiaTheme="majorEastAsia" w:hAnsiTheme="majorEastAsia" w:cs="GothicBBBPro-Medium-90pv-RKSJ-H" w:hint="eastAsia"/>
                      <w:color w:val="231F20"/>
                      <w:sz w:val="10"/>
                      <w:szCs w:val="10"/>
                    </w:rPr>
                    <w:t>号　小田急サザンタワー</w:t>
                  </w:r>
                </w:p>
              </w:txbxContent>
            </v:textbox>
            <w10:wrap type="topAndBottom"/>
          </v:shape>
        </w:pict>
      </w:r>
    </w:p>
    <w:sectPr w:rsidR="00652ADC" w:rsidRPr="003716B9" w:rsidSect="00207587">
      <w:type w:val="continuous"/>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ACE" w:rsidRDefault="00360ACE" w:rsidP="00CE4233">
      <w:r>
        <w:separator/>
      </w:r>
    </w:p>
  </w:endnote>
  <w:endnote w:type="continuationSeparator" w:id="1">
    <w:p w:rsidR="00360ACE" w:rsidRDefault="00360ACE" w:rsidP="00CE423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Segoe">
    <w:altName w:val="Segoe UI"/>
    <w:panose1 w:val="020B0502040504020203"/>
    <w:charset w:val="00"/>
    <w:family w:val="swiss"/>
    <w:pitch w:val="variable"/>
    <w:sig w:usb0="A00002AF" w:usb1="4000205B" w:usb2="00000000" w:usb3="00000000" w:csb0="0000009F" w:csb1="00000000"/>
  </w:font>
  <w:font w:name="Segoe-Semibold">
    <w:altName w:val="Arial"/>
    <w:panose1 w:val="00000000000000000000"/>
    <w:charset w:val="00"/>
    <w:family w:val="swiss"/>
    <w:notTrueType/>
    <w:pitch w:val="default"/>
    <w:sig w:usb0="00000003" w:usb1="00000000" w:usb2="00000000" w:usb3="00000000" w:csb0="00000001" w:csb1="00000000"/>
  </w:font>
  <w:font w:name="MidashiGoPro-MB31-90pv-RKSJ-H-I">
    <w:altName w:val="Arial Unicode MS"/>
    <w:panose1 w:val="00000000000000000000"/>
    <w:charset w:val="80"/>
    <w:family w:val="auto"/>
    <w:notTrueType/>
    <w:pitch w:val="default"/>
    <w:sig w:usb0="00000001" w:usb1="08070000" w:usb2="00000010" w:usb3="00000000" w:csb0="00020000" w:csb1="00000000"/>
  </w:font>
  <w:font w:name="GothicBBBPro-Medium-90pv-RKSJ-H">
    <w:altName w:val="Arial Unicode MS"/>
    <w:panose1 w:val="00000000000000000000"/>
    <w:charset w:val="80"/>
    <w:family w:val="auto"/>
    <w:notTrueType/>
    <w:pitch w:val="default"/>
    <w:sig w:usb0="00000001" w:usb1="08070000" w:usb2="00000010" w:usb3="00000000" w:csb0="00020000" w:csb1="00000000"/>
  </w:font>
  <w:font w:name="FutoGoB101Pro-Bold-90pv-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7C" w:rsidRDefault="007D327C">
    <w:pPr>
      <w:pStyle w:val="Footer"/>
    </w:pPr>
    <w:r w:rsidRPr="00EC2AF8">
      <w:rPr>
        <w:rFonts w:hint="eastAsia"/>
        <w:noProof/>
      </w:rPr>
      <w:drawing>
        <wp:anchor distT="0" distB="0" distL="114300" distR="114300" simplePos="0" relativeHeight="251668480" behindDoc="0" locked="0" layoutInCell="1" allowOverlap="1">
          <wp:simplePos x="0" y="0"/>
          <wp:positionH relativeFrom="column">
            <wp:posOffset>-9525</wp:posOffset>
          </wp:positionH>
          <wp:positionV relativeFrom="paragraph">
            <wp:posOffset>89535</wp:posOffset>
          </wp:positionV>
          <wp:extent cx="6645910" cy="219075"/>
          <wp:effectExtent l="19050" t="0" r="2540" b="0"/>
          <wp:wrapTopAndBottom/>
          <wp:docPr id="1"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DC" w:rsidRDefault="00652ADC">
    <w:pPr>
      <w:pStyle w:val="Footer"/>
    </w:pPr>
    <w:r w:rsidRPr="00EC2AF8">
      <w:rPr>
        <w:rFonts w:hint="eastAsia"/>
        <w:noProof/>
      </w:rPr>
      <w:drawing>
        <wp:anchor distT="0" distB="0" distL="114300" distR="114300" simplePos="0" relativeHeight="251677696" behindDoc="0" locked="0" layoutInCell="1" allowOverlap="1">
          <wp:simplePos x="0" y="0"/>
          <wp:positionH relativeFrom="column">
            <wp:posOffset>-2432685</wp:posOffset>
          </wp:positionH>
          <wp:positionV relativeFrom="paragraph">
            <wp:posOffset>89535</wp:posOffset>
          </wp:positionV>
          <wp:extent cx="6645910" cy="219075"/>
          <wp:effectExtent l="19050" t="0" r="2540" b="0"/>
          <wp:wrapTopAndBottom/>
          <wp:docPr id="10"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ACE" w:rsidRDefault="00360ACE" w:rsidP="00CE4233">
      <w:r>
        <w:separator/>
      </w:r>
    </w:p>
  </w:footnote>
  <w:footnote w:type="continuationSeparator" w:id="1">
    <w:p w:rsidR="00360ACE" w:rsidRDefault="00360ACE" w:rsidP="00CE4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B9" w:rsidRDefault="00207587">
    <w:pPr>
      <w:pStyle w:val="Header"/>
      <w:rPr>
        <w:noProof/>
      </w:rPr>
    </w:pPr>
    <w:r>
      <w:rPr>
        <w:rFonts w:hint="eastAsia"/>
        <w:noProof/>
      </w:rPr>
      <w:drawing>
        <wp:anchor distT="0" distB="0" distL="114300" distR="114300" simplePos="0" relativeHeight="251673600" behindDoc="0" locked="0" layoutInCell="1" allowOverlap="1">
          <wp:simplePos x="0" y="0"/>
          <wp:positionH relativeFrom="column">
            <wp:posOffset>0</wp:posOffset>
          </wp:positionH>
          <wp:positionV relativeFrom="paragraph">
            <wp:posOffset>-73660</wp:posOffset>
          </wp:positionV>
          <wp:extent cx="6645910" cy="1266825"/>
          <wp:effectExtent l="19050" t="0" r="2540" b="0"/>
          <wp:wrapTopAndBottom/>
          <wp:docPr id="4" name="図 5" descr="XML_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jpg"/>
                  <pic:cNvPicPr/>
                </pic:nvPicPr>
                <pic:blipFill>
                  <a:blip r:embed="rId1" cstate="print"/>
                  <a:stretch>
                    <a:fillRect/>
                  </a:stretch>
                </pic:blipFill>
                <pic:spPr>
                  <a:xfrm>
                    <a:off x="0" y="0"/>
                    <a:ext cx="6645910" cy="1266825"/>
                  </a:xfrm>
                  <a:prstGeom prst="rect">
                    <a:avLst/>
                  </a:prstGeom>
                </pic:spPr>
              </pic:pic>
            </a:graphicData>
          </a:graphic>
        </wp:anchor>
      </w:drawing>
    </w:r>
  </w:p>
  <w:p w:rsidR="00207587" w:rsidRDefault="00207587">
    <w:pPr>
      <w:pStyle w:val="Header"/>
      <w:rPr>
        <w:noProof/>
      </w:rPr>
    </w:pPr>
  </w:p>
  <w:p w:rsidR="00207587" w:rsidRDefault="00207587">
    <w:pPr>
      <w:pStyle w:val="Header"/>
      <w:rPr>
        <w:noProof/>
      </w:rPr>
    </w:pPr>
  </w:p>
  <w:p w:rsidR="003716B9" w:rsidRDefault="003716B9">
    <w:pPr>
      <w:pStyle w:val="Header"/>
    </w:pPr>
  </w:p>
  <w:p w:rsidR="00207587" w:rsidRDefault="00207587">
    <w:pPr>
      <w:pStyle w:val="Header"/>
    </w:pPr>
  </w:p>
  <w:p w:rsidR="00207587" w:rsidRDefault="00207587">
    <w:pPr>
      <w:pStyle w:val="Header"/>
    </w:pPr>
  </w:p>
  <w:p w:rsidR="003716B9" w:rsidRDefault="003716B9">
    <w:pPr>
      <w:pStyle w:val="Header"/>
    </w:pPr>
  </w:p>
  <w:p w:rsidR="003716B9" w:rsidRDefault="003716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87" w:rsidRDefault="00207587">
    <w:pPr>
      <w:pStyle w:val="Header"/>
    </w:pPr>
    <w:r w:rsidRPr="00EC2AF8">
      <w:rPr>
        <w:rFonts w:hint="eastAsia"/>
        <w:noProof/>
      </w:rPr>
      <w:drawing>
        <wp:anchor distT="0" distB="0" distL="114300" distR="114300" simplePos="0" relativeHeight="251672576" behindDoc="0" locked="0" layoutInCell="1" allowOverlap="1">
          <wp:simplePos x="0" y="0"/>
          <wp:positionH relativeFrom="column">
            <wp:posOffset>-2442210</wp:posOffset>
          </wp:positionH>
          <wp:positionV relativeFrom="paragraph">
            <wp:posOffset>-64135</wp:posOffset>
          </wp:positionV>
          <wp:extent cx="6648450" cy="647700"/>
          <wp:effectExtent l="19050" t="0" r="0" b="0"/>
          <wp:wrapTopAndBottom/>
          <wp:docPr id="3"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207587" w:rsidRDefault="00207587">
    <w:pPr>
      <w:pStyle w:val="Header"/>
    </w:pPr>
  </w:p>
  <w:p w:rsidR="00207587" w:rsidRDefault="00207587">
    <w:pPr>
      <w:pStyle w:val="Header"/>
    </w:pPr>
  </w:p>
  <w:p w:rsidR="00207587" w:rsidRDefault="002075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DC" w:rsidRDefault="00652ADC">
    <w:pPr>
      <w:pStyle w:val="Header"/>
    </w:pPr>
    <w:r w:rsidRPr="00EC2AF8">
      <w:rPr>
        <w:rFonts w:hint="eastAsia"/>
        <w:noProof/>
      </w:rPr>
      <w:drawing>
        <wp:anchor distT="0" distB="0" distL="114300" distR="114300" simplePos="0" relativeHeight="251675648" behindDoc="0" locked="0" layoutInCell="1" allowOverlap="1">
          <wp:simplePos x="0" y="0"/>
          <wp:positionH relativeFrom="column">
            <wp:posOffset>-2423160</wp:posOffset>
          </wp:positionH>
          <wp:positionV relativeFrom="paragraph">
            <wp:posOffset>-64135</wp:posOffset>
          </wp:positionV>
          <wp:extent cx="6648450" cy="647700"/>
          <wp:effectExtent l="19050" t="0" r="0" b="0"/>
          <wp:wrapTopAndBottom/>
          <wp:docPr id="9"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652ADC" w:rsidRDefault="00652ADC">
    <w:pPr>
      <w:pStyle w:val="Header"/>
    </w:pPr>
  </w:p>
  <w:p w:rsidR="00652ADC" w:rsidRDefault="00652ADC">
    <w:pPr>
      <w:pStyle w:val="Header"/>
    </w:pPr>
  </w:p>
  <w:p w:rsidR="00652ADC" w:rsidRDefault="00652A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233"/>
    <w:rsid w:val="00074938"/>
    <w:rsid w:val="00076EA5"/>
    <w:rsid w:val="00192C69"/>
    <w:rsid w:val="00207587"/>
    <w:rsid w:val="0023413E"/>
    <w:rsid w:val="0025407A"/>
    <w:rsid w:val="002E53D2"/>
    <w:rsid w:val="00360ACE"/>
    <w:rsid w:val="003716B9"/>
    <w:rsid w:val="00406501"/>
    <w:rsid w:val="00447294"/>
    <w:rsid w:val="00482E56"/>
    <w:rsid w:val="004F0EF8"/>
    <w:rsid w:val="00534952"/>
    <w:rsid w:val="00652ADC"/>
    <w:rsid w:val="006D34E6"/>
    <w:rsid w:val="0072437A"/>
    <w:rsid w:val="007D327C"/>
    <w:rsid w:val="007F5F4D"/>
    <w:rsid w:val="00832243"/>
    <w:rsid w:val="008E7FCE"/>
    <w:rsid w:val="008F4C36"/>
    <w:rsid w:val="00A03A50"/>
    <w:rsid w:val="00AD3F82"/>
    <w:rsid w:val="00AF77D6"/>
    <w:rsid w:val="00B5162C"/>
    <w:rsid w:val="00B64BBA"/>
    <w:rsid w:val="00BE30D2"/>
    <w:rsid w:val="00CE4233"/>
    <w:rsid w:val="00D063C7"/>
    <w:rsid w:val="00D466B4"/>
    <w:rsid w:val="00E06CA9"/>
    <w:rsid w:val="00EC2AF8"/>
    <w:rsid w:val="00FA43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rules v:ext="edit">
        <o:r id="V:Rule5" type="connector" idref="#_x0000_s1036"/>
        <o:r id="V:Rule6" type="connector" idref="#_x0000_s1032"/>
        <o:r id="V:Rule7" type="connector" idref="#_x0000_s1030"/>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3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233"/>
    <w:pPr>
      <w:tabs>
        <w:tab w:val="center" w:pos="4252"/>
        <w:tab w:val="right" w:pos="8504"/>
      </w:tabs>
      <w:snapToGrid w:val="0"/>
    </w:pPr>
  </w:style>
  <w:style w:type="character" w:customStyle="1" w:styleId="HeaderChar">
    <w:name w:val="Header Char"/>
    <w:basedOn w:val="DefaultParagraphFont"/>
    <w:link w:val="Header"/>
    <w:uiPriority w:val="99"/>
    <w:semiHidden/>
    <w:rsid w:val="00CE4233"/>
  </w:style>
  <w:style w:type="paragraph" w:styleId="Footer">
    <w:name w:val="footer"/>
    <w:basedOn w:val="Normal"/>
    <w:link w:val="FooterChar"/>
    <w:uiPriority w:val="99"/>
    <w:semiHidden/>
    <w:unhideWhenUsed/>
    <w:rsid w:val="00CE4233"/>
    <w:pPr>
      <w:tabs>
        <w:tab w:val="center" w:pos="4252"/>
        <w:tab w:val="right" w:pos="8504"/>
      </w:tabs>
      <w:snapToGrid w:val="0"/>
    </w:pPr>
  </w:style>
  <w:style w:type="character" w:customStyle="1" w:styleId="FooterChar">
    <w:name w:val="Footer Char"/>
    <w:basedOn w:val="DefaultParagraphFont"/>
    <w:link w:val="Footer"/>
    <w:uiPriority w:val="99"/>
    <w:semiHidden/>
    <w:rsid w:val="00CE4233"/>
  </w:style>
  <w:style w:type="paragraph" w:styleId="BalloonText">
    <w:name w:val="Balloon Text"/>
    <w:basedOn w:val="Normal"/>
    <w:link w:val="BalloonTextChar"/>
    <w:uiPriority w:val="99"/>
    <w:semiHidden/>
    <w:unhideWhenUsed/>
    <w:rsid w:val="00CE42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233"/>
    <w:rPr>
      <w:rFonts w:asciiTheme="majorHAnsi" w:eastAsiaTheme="majorEastAsia" w:hAnsiTheme="majorHAnsi" w:cstheme="majorBidi"/>
      <w:sz w:val="18"/>
      <w:szCs w:val="18"/>
    </w:rPr>
  </w:style>
  <w:style w:type="table" w:styleId="TableGrid">
    <w:name w:val="Table Grid"/>
    <w:basedOn w:val="TableNormal"/>
    <w:uiPriority w:val="59"/>
    <w:rsid w:val="002540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D32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47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icrosoft.com/japa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www.sul.de" TargetMode="External"/><Relationship Id="rId4" Type="http://schemas.openxmlformats.org/officeDocument/2006/relationships/footnotes" Target="footnotes.xml"/><Relationship Id="rId9" Type="http://schemas.openxmlformats.org/officeDocument/2006/relationships/hyperlink" Target="htp://www.tge.net" TargetMode="External"/><Relationship Id="rId14" Type="http://schemas.openxmlformats.org/officeDocument/2006/relationships/hyperlink" Target="http://www.microsoft.com/japan/partn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2007-11-28T17:43:00Z</dcterms:created>
  <dcterms:modified xsi:type="dcterms:W3CDTF">2007-11-29T02:25:00Z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