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558" w:rsidRPr="00292CF3" w:rsidRDefault="00BD3558" w:rsidP="0067554F">
      <w:pPr>
        <w:pStyle w:val="Heading1"/>
        <w:spacing w:after="120"/>
        <w:jc w:val="both"/>
        <w:rPr>
          <w:rFonts w:cs="Times New Roman"/>
          <w:bCs w:val="0"/>
          <w:sz w:val="24"/>
          <w:szCs w:val="24"/>
          <w:lang w:val="fr-FR"/>
        </w:rPr>
      </w:pPr>
      <w:r w:rsidRPr="00292CF3">
        <w:rPr>
          <w:rFonts w:cs="Times New Roman"/>
          <w:bCs w:val="0"/>
          <w:sz w:val="24"/>
          <w:szCs w:val="24"/>
          <w:lang w:val="fr-FR"/>
        </w:rPr>
        <w:t>PRESENTATION DU PROGRAMME</w:t>
      </w:r>
    </w:p>
    <w:p w:rsidR="00292CF3" w:rsidRPr="00292CF3" w:rsidRDefault="00BD3558" w:rsidP="00292CF3">
      <w:pPr>
        <w:spacing w:after="0" w:line="240" w:lineRule="auto"/>
        <w:jc w:val="both"/>
        <w:rPr>
          <w:szCs w:val="24"/>
        </w:rPr>
      </w:pPr>
      <w:r w:rsidRPr="00292CF3">
        <w:rPr>
          <w:szCs w:val="24"/>
        </w:rPr>
        <w:t xml:space="preserve">Microsoft propose un nouveau contrat de licence en volume flexible et avantageux pour </w:t>
      </w:r>
      <w:r w:rsidR="00292CF3" w:rsidRPr="00292CF3">
        <w:rPr>
          <w:szCs w:val="24"/>
        </w:rPr>
        <w:t xml:space="preserve">acquérir les produits de </w:t>
      </w:r>
      <w:r w:rsidRPr="00292CF3">
        <w:rPr>
          <w:szCs w:val="24"/>
        </w:rPr>
        <w:t xml:space="preserve">la plateforme applicative Microsoft. Ce contrat de trois ans propose un prix très attractif </w:t>
      </w:r>
      <w:r w:rsidR="00292CF3" w:rsidRPr="00292CF3">
        <w:rPr>
          <w:szCs w:val="24"/>
        </w:rPr>
        <w:t>grâce :</w:t>
      </w:r>
    </w:p>
    <w:p w:rsidR="00292CF3" w:rsidRPr="00292CF3" w:rsidRDefault="00292CF3" w:rsidP="00292CF3">
      <w:pPr>
        <w:numPr>
          <w:ilvl w:val="0"/>
          <w:numId w:val="1"/>
        </w:numPr>
        <w:spacing w:after="0" w:line="240" w:lineRule="auto"/>
        <w:ind w:left="540"/>
        <w:jc w:val="both"/>
        <w:rPr>
          <w:szCs w:val="24"/>
        </w:rPr>
      </w:pPr>
      <w:r w:rsidRPr="00292CF3">
        <w:rPr>
          <w:szCs w:val="24"/>
        </w:rPr>
        <w:t xml:space="preserve">A la </w:t>
      </w:r>
      <w:r w:rsidRPr="00292CF3">
        <w:rPr>
          <w:b/>
          <w:szCs w:val="24"/>
        </w:rPr>
        <w:t>prise en compte des licences déjà acquises</w:t>
      </w:r>
      <w:r w:rsidRPr="00292CF3">
        <w:rPr>
          <w:szCs w:val="24"/>
        </w:rPr>
        <w:t xml:space="preserve"> sur votre parc existant,</w:t>
      </w:r>
    </w:p>
    <w:p w:rsidR="00BD3558" w:rsidRDefault="00292CF3" w:rsidP="00292CF3">
      <w:pPr>
        <w:numPr>
          <w:ilvl w:val="0"/>
          <w:numId w:val="1"/>
        </w:numPr>
        <w:spacing w:after="0" w:line="240" w:lineRule="auto"/>
        <w:ind w:left="540"/>
        <w:jc w:val="both"/>
        <w:rPr>
          <w:szCs w:val="24"/>
        </w:rPr>
      </w:pPr>
      <w:r w:rsidRPr="00292CF3">
        <w:rPr>
          <w:szCs w:val="24"/>
        </w:rPr>
        <w:t xml:space="preserve">Un </w:t>
      </w:r>
      <w:r w:rsidRPr="00292CF3">
        <w:rPr>
          <w:b/>
          <w:szCs w:val="24"/>
        </w:rPr>
        <w:t>prix annuel basé sur le prix de la maintenance logicielle (Software Assurance)</w:t>
      </w:r>
      <w:r w:rsidRPr="00292CF3">
        <w:rPr>
          <w:szCs w:val="24"/>
        </w:rPr>
        <w:t xml:space="preserve"> </w:t>
      </w:r>
      <w:r>
        <w:rPr>
          <w:szCs w:val="24"/>
        </w:rPr>
        <w:t xml:space="preserve">et sur </w:t>
      </w:r>
      <w:r w:rsidRPr="00292CF3">
        <w:rPr>
          <w:szCs w:val="24"/>
        </w:rPr>
        <w:t xml:space="preserve">la </w:t>
      </w:r>
      <w:r w:rsidRPr="00292CF3">
        <w:rPr>
          <w:b/>
          <w:szCs w:val="24"/>
        </w:rPr>
        <w:t>croissance future de votre parc</w:t>
      </w:r>
      <w:r w:rsidRPr="00292CF3">
        <w:rPr>
          <w:szCs w:val="24"/>
        </w:rPr>
        <w:t xml:space="preserve">,  </w:t>
      </w:r>
    </w:p>
    <w:p w:rsidR="00292CF3" w:rsidRPr="00292CF3" w:rsidRDefault="00292CF3" w:rsidP="00292CF3">
      <w:pPr>
        <w:numPr>
          <w:ilvl w:val="0"/>
          <w:numId w:val="1"/>
        </w:numPr>
        <w:spacing w:after="0" w:line="240" w:lineRule="auto"/>
        <w:ind w:left="540"/>
        <w:jc w:val="both"/>
        <w:rPr>
          <w:szCs w:val="24"/>
        </w:rPr>
      </w:pPr>
      <w:r>
        <w:rPr>
          <w:szCs w:val="24"/>
        </w:rPr>
        <w:t xml:space="preserve">Un </w:t>
      </w:r>
      <w:r w:rsidRPr="00292CF3">
        <w:rPr>
          <w:b/>
          <w:szCs w:val="24"/>
        </w:rPr>
        <w:t>droit d’usage illimité</w:t>
      </w:r>
      <w:r>
        <w:rPr>
          <w:szCs w:val="24"/>
        </w:rPr>
        <w:t xml:space="preserve"> pour les produits choisis permettant de </w:t>
      </w:r>
      <w:r w:rsidRPr="00292CF3">
        <w:rPr>
          <w:b/>
          <w:szCs w:val="24"/>
        </w:rPr>
        <w:t>simplifier le suivi des licences</w:t>
      </w:r>
      <w:r>
        <w:rPr>
          <w:szCs w:val="24"/>
        </w:rPr>
        <w:t xml:space="preserve"> et de </w:t>
      </w:r>
      <w:r w:rsidRPr="00292CF3">
        <w:rPr>
          <w:b/>
          <w:szCs w:val="24"/>
        </w:rPr>
        <w:t>mieux maitriser son budget</w:t>
      </w:r>
      <w:r>
        <w:rPr>
          <w:szCs w:val="24"/>
        </w:rPr>
        <w:t>.</w:t>
      </w:r>
    </w:p>
    <w:p w:rsidR="00F13520" w:rsidRPr="00292CF3" w:rsidRDefault="004A5FDF">
      <w:pPr>
        <w:pStyle w:val="Heading1"/>
        <w:spacing w:before="180" w:after="120"/>
        <w:jc w:val="both"/>
        <w:rPr>
          <w:rFonts w:cs="Times New Roman"/>
          <w:bCs w:val="0"/>
          <w:sz w:val="24"/>
          <w:szCs w:val="24"/>
          <w:lang w:val="fr-FR"/>
        </w:rPr>
      </w:pPr>
      <w:r w:rsidRPr="00292CF3">
        <w:rPr>
          <w:rFonts w:cs="Times New Roman"/>
          <w:bCs w:val="0"/>
          <w:sz w:val="24"/>
          <w:szCs w:val="24"/>
          <w:lang w:val="fr-FR"/>
        </w:rPr>
        <w:t>UNE SOLUTION POUR VOTRE PLATEFORME INFORMATIQUE</w:t>
      </w:r>
    </w:p>
    <w:p w:rsidR="00655E16" w:rsidRDefault="00655E16" w:rsidP="00655E16">
      <w:pPr>
        <w:jc w:val="both"/>
      </w:pPr>
      <w:r w:rsidRPr="006D7089">
        <w:t>La matrice de contraintes que les entreprises doivent gérer gagne sans cesse en complexité. Pressions externes, restrictions budgétaires, changements rapides : autant de facteurs sur lesquels le système d</w:t>
      </w:r>
      <w:r>
        <w:t>’</w:t>
      </w:r>
      <w:r w:rsidRPr="006D7089">
        <w:t>information doit s</w:t>
      </w:r>
      <w:r>
        <w:t>’</w:t>
      </w:r>
      <w:r w:rsidRPr="006D7089">
        <w:t>aligner, toujours en un temps record, tout en maintenant une qualité de service irréprochable et une haute disponibilité.</w:t>
      </w:r>
      <w:r>
        <w:t xml:space="preserve"> L’alignement de l’IT avec les enjeux métiers n’a jamais été si nécessaire ainsi nos clients doivent faire face à des multiples contraintes:</w:t>
      </w:r>
    </w:p>
    <w:p w:rsidR="00F13520" w:rsidRDefault="004A5FDF" w:rsidP="008F16E8">
      <w:pPr>
        <w:numPr>
          <w:ilvl w:val="0"/>
          <w:numId w:val="1"/>
        </w:numPr>
        <w:spacing w:after="0" w:line="240" w:lineRule="auto"/>
        <w:ind w:left="540"/>
        <w:jc w:val="both"/>
        <w:rPr>
          <w:szCs w:val="24"/>
        </w:rPr>
      </w:pPr>
      <w:r>
        <w:rPr>
          <w:b/>
          <w:szCs w:val="24"/>
        </w:rPr>
        <w:t xml:space="preserve">Maintenance </w:t>
      </w:r>
      <w:r w:rsidR="00655E16">
        <w:rPr>
          <w:b/>
          <w:szCs w:val="24"/>
        </w:rPr>
        <w:t>des applications et des solutions en « silos »</w:t>
      </w:r>
      <w:r w:rsidR="008F16E8">
        <w:rPr>
          <w:b/>
          <w:szCs w:val="24"/>
        </w:rPr>
        <w:t> :</w:t>
      </w:r>
      <w:r w:rsidR="008F16E8">
        <w:rPr>
          <w:szCs w:val="24"/>
        </w:rPr>
        <w:t xml:space="preserve"> d</w:t>
      </w:r>
      <w:r>
        <w:rPr>
          <w:szCs w:val="24"/>
        </w:rPr>
        <w:t>e nombreux projets ont été conçus et mis en œuvre comme des projets autonomes, sur des plateformes diverses, en suivant des standards différents. L’interopérabilité s’en trouve souvent compromise.</w:t>
      </w:r>
    </w:p>
    <w:p w:rsidR="00BC18B7" w:rsidRPr="00BC18B7" w:rsidRDefault="004A5FDF" w:rsidP="008F16E8">
      <w:pPr>
        <w:numPr>
          <w:ilvl w:val="0"/>
          <w:numId w:val="1"/>
        </w:numPr>
        <w:spacing w:before="60" w:after="120" w:line="240" w:lineRule="auto"/>
        <w:ind w:left="540"/>
        <w:jc w:val="both"/>
        <w:rPr>
          <w:szCs w:val="24"/>
        </w:rPr>
      </w:pPr>
      <w:r w:rsidRPr="00BC18B7">
        <w:rPr>
          <w:b/>
          <w:szCs w:val="24"/>
        </w:rPr>
        <w:t xml:space="preserve">Faire face à de nouveaux </w:t>
      </w:r>
      <w:r w:rsidR="00475DCF" w:rsidRPr="00BC18B7">
        <w:rPr>
          <w:b/>
          <w:szCs w:val="24"/>
        </w:rPr>
        <w:t>enjeux</w:t>
      </w:r>
      <w:r w:rsidRPr="00BC18B7">
        <w:rPr>
          <w:b/>
          <w:szCs w:val="24"/>
        </w:rPr>
        <w:t xml:space="preserve"> métier</w:t>
      </w:r>
      <w:r w:rsidR="008F16E8" w:rsidRPr="00BC18B7">
        <w:rPr>
          <w:b/>
          <w:szCs w:val="24"/>
        </w:rPr>
        <w:t> :</w:t>
      </w:r>
      <w:r w:rsidR="00BC18B7" w:rsidRPr="00BC18B7">
        <w:rPr>
          <w:b/>
          <w:szCs w:val="24"/>
        </w:rPr>
        <w:t xml:space="preserve"> </w:t>
      </w:r>
      <w:r w:rsidR="00B01C7E">
        <w:rPr>
          <w:szCs w:val="24"/>
        </w:rPr>
        <w:t>a</w:t>
      </w:r>
      <w:r w:rsidR="00BC18B7" w:rsidRPr="00BC18B7">
        <w:rPr>
          <w:szCs w:val="24"/>
        </w:rPr>
        <w:t xml:space="preserve">ccéder à l’information, intégrer les donnés et gérer différentes sources d’information dans des environnements souvent </w:t>
      </w:r>
      <w:r w:rsidR="00B01C7E">
        <w:rPr>
          <w:szCs w:val="24"/>
        </w:rPr>
        <w:t>hétérogènes : autant de problématiques</w:t>
      </w:r>
      <w:r w:rsidR="00BC18B7" w:rsidRPr="00BC18B7">
        <w:rPr>
          <w:szCs w:val="24"/>
        </w:rPr>
        <w:t xml:space="preserve"> auxquel</w:t>
      </w:r>
      <w:r w:rsidR="00B01C7E">
        <w:rPr>
          <w:szCs w:val="24"/>
        </w:rPr>
        <w:t>le</w:t>
      </w:r>
      <w:r w:rsidR="00BC18B7" w:rsidRPr="00BC18B7">
        <w:rPr>
          <w:szCs w:val="24"/>
        </w:rPr>
        <w:t>s sont confrontées les directions informatiques aujourd’hui. Dans notre monde connecté, les données et les systèmes qui les gèrent doivent être disponibles à tout moment et accessibles à tous : clients, employés et partenaires.</w:t>
      </w:r>
    </w:p>
    <w:p w:rsidR="00F13520" w:rsidRPr="00BC18B7" w:rsidRDefault="004A5FDF" w:rsidP="008F16E8">
      <w:pPr>
        <w:numPr>
          <w:ilvl w:val="0"/>
          <w:numId w:val="1"/>
        </w:numPr>
        <w:spacing w:before="60" w:after="120" w:line="240" w:lineRule="auto"/>
        <w:ind w:left="540"/>
        <w:jc w:val="both"/>
        <w:rPr>
          <w:szCs w:val="24"/>
        </w:rPr>
      </w:pPr>
      <w:r w:rsidRPr="00BC18B7">
        <w:rPr>
          <w:b/>
          <w:szCs w:val="24"/>
        </w:rPr>
        <w:t>Gestion des actifs et des coûts</w:t>
      </w:r>
      <w:r w:rsidR="008F16E8" w:rsidRPr="00BC18B7">
        <w:rPr>
          <w:b/>
          <w:szCs w:val="24"/>
        </w:rPr>
        <w:t> :</w:t>
      </w:r>
      <w:r w:rsidR="008F16E8" w:rsidRPr="00BC18B7">
        <w:rPr>
          <w:szCs w:val="24"/>
        </w:rPr>
        <w:t xml:space="preserve"> l</w:t>
      </w:r>
      <w:r w:rsidRPr="00BC18B7">
        <w:rPr>
          <w:szCs w:val="24"/>
        </w:rPr>
        <w:t>es organisations travaillent souvent avec différents fournisseurs de logiciels et gèrent un grand nombre de contrats de licences, ce qui complique la décision d’achat et la prévision des budgets. Elles ont aussi des difficultés pour vérifier que les produits sous licence sont correctement installés et à jour.</w:t>
      </w:r>
    </w:p>
    <w:p w:rsidR="00F13520" w:rsidRPr="00292CF3" w:rsidRDefault="004A5FDF">
      <w:pPr>
        <w:pStyle w:val="Heading2"/>
        <w:rPr>
          <w:rFonts w:cs="Times New Roman"/>
          <w:bCs w:val="0"/>
          <w:iCs w:val="0"/>
          <w:caps/>
          <w:color w:val="4F81BD"/>
          <w:kern w:val="32"/>
          <w:sz w:val="24"/>
          <w:szCs w:val="24"/>
          <w:lang w:val="fr-FR"/>
        </w:rPr>
      </w:pPr>
      <w:r w:rsidRPr="00292CF3">
        <w:rPr>
          <w:rFonts w:cs="Times New Roman"/>
          <w:bCs w:val="0"/>
          <w:iCs w:val="0"/>
          <w:caps/>
          <w:color w:val="4F81BD"/>
          <w:kern w:val="32"/>
          <w:sz w:val="24"/>
          <w:szCs w:val="24"/>
          <w:lang w:val="fr-FR"/>
        </w:rPr>
        <w:t xml:space="preserve">Solution : </w:t>
      </w:r>
      <w:r w:rsidR="00A608C5" w:rsidRPr="00292CF3">
        <w:rPr>
          <w:rFonts w:cs="Times New Roman"/>
          <w:bCs w:val="0"/>
          <w:iCs w:val="0"/>
          <w:caps/>
          <w:color w:val="4F81BD"/>
          <w:kern w:val="32"/>
          <w:sz w:val="24"/>
          <w:szCs w:val="24"/>
          <w:lang w:val="fr-FR"/>
        </w:rPr>
        <w:t>La plate-forme Applicative Microsoft</w:t>
      </w:r>
    </w:p>
    <w:p w:rsidR="00C111D2" w:rsidRPr="00C111D2" w:rsidRDefault="00C111D2" w:rsidP="00C111D2">
      <w:pPr>
        <w:spacing w:line="280" w:lineRule="auto"/>
        <w:jc w:val="both"/>
        <w:rPr>
          <w:szCs w:val="24"/>
        </w:rPr>
      </w:pPr>
      <w:r w:rsidRPr="00C111D2">
        <w:rPr>
          <w:szCs w:val="24"/>
        </w:rPr>
        <w:t xml:space="preserve">Une plate-forme applicative est un ensemble de briques intégrées servant de fondations pour assembler et rendre opérationnel le système d’information de l’entreprise. Chez Microsoft, nous adhérons à cette définition. Toutefois, nous voyons pour la plate-forme applicative un rôle plus large : bâtir, intégrer, gérer et faire interopérer les applications selon les principes des architectures orientées services (SOA). </w:t>
      </w:r>
      <w:r>
        <w:rPr>
          <w:szCs w:val="24"/>
        </w:rPr>
        <w:t xml:space="preserve">Au travers des différents composants </w:t>
      </w:r>
      <w:r w:rsidR="00BC18B7">
        <w:rPr>
          <w:szCs w:val="24"/>
        </w:rPr>
        <w:t>de sa  plate-forme applicative intégrée</w:t>
      </w:r>
      <w:r w:rsidR="00B01C7E">
        <w:rPr>
          <w:szCs w:val="24"/>
        </w:rPr>
        <w:t>,</w:t>
      </w:r>
      <w:r w:rsidR="00BC18B7">
        <w:rPr>
          <w:szCs w:val="24"/>
        </w:rPr>
        <w:t xml:space="preserve"> Microsoft répond</w:t>
      </w:r>
      <w:r>
        <w:rPr>
          <w:szCs w:val="24"/>
        </w:rPr>
        <w:t xml:space="preserve"> aux enjeux de  la gestion et l’analyse  des données, l’intégration d’applications et l’orchestration de processus, le web de nouvelle génération, et l’industrialisation du développement des applications.</w:t>
      </w:r>
    </w:p>
    <w:p w:rsidR="00F13520" w:rsidRDefault="004A5FDF" w:rsidP="008F16E8">
      <w:pPr>
        <w:spacing w:line="280" w:lineRule="auto"/>
        <w:jc w:val="both"/>
        <w:rPr>
          <w:szCs w:val="24"/>
        </w:rPr>
      </w:pPr>
      <w:r>
        <w:rPr>
          <w:szCs w:val="24"/>
        </w:rPr>
        <w:t xml:space="preserve">Voici les produits faisant partie de la </w:t>
      </w:r>
      <w:r w:rsidR="00B01C7E">
        <w:rPr>
          <w:szCs w:val="24"/>
        </w:rPr>
        <w:t>plateforme applicative Microsoft</w:t>
      </w:r>
      <w:r>
        <w:rPr>
          <w:szCs w:val="24"/>
        </w:rPr>
        <w:t> :</w:t>
      </w:r>
    </w:p>
    <w:p w:rsidR="00F13520" w:rsidRDefault="004A5FDF">
      <w:pPr>
        <w:pStyle w:val="ListParagraph"/>
        <w:numPr>
          <w:ilvl w:val="0"/>
          <w:numId w:val="3"/>
        </w:numPr>
        <w:rPr>
          <w:lang w:val="fr-FR"/>
        </w:rPr>
      </w:pPr>
      <w:r>
        <w:rPr>
          <w:lang w:val="fr-FR"/>
        </w:rPr>
        <w:t>Microsoft SQL Server®</w:t>
      </w:r>
      <w:r w:rsidR="00C111D2">
        <w:rPr>
          <w:lang w:val="fr-FR"/>
        </w:rPr>
        <w:t xml:space="preserve"> plate-forme de gestion et d’analyse de données (Business Intelligence). En plus du SGBDR, SQL Server intègre en standard : un serveur de rapports (Reporting Services), un moteur OLAP et datamining (Analysis Services), un ETL (Integration Services)</w:t>
      </w:r>
      <w:r>
        <w:rPr>
          <w:lang w:val="fr-FR"/>
        </w:rPr>
        <w:tab/>
      </w:r>
    </w:p>
    <w:p w:rsidR="00F13520" w:rsidRDefault="004A5FDF">
      <w:pPr>
        <w:pStyle w:val="ListParagraph"/>
        <w:numPr>
          <w:ilvl w:val="0"/>
          <w:numId w:val="3"/>
        </w:numPr>
        <w:rPr>
          <w:lang w:val="fr-FR"/>
        </w:rPr>
      </w:pPr>
      <w:r>
        <w:rPr>
          <w:lang w:val="fr-FR"/>
        </w:rPr>
        <w:t>Microsoft BizTalk® Server</w:t>
      </w:r>
      <w:r w:rsidR="008F16E8">
        <w:rPr>
          <w:lang w:val="fr-FR"/>
        </w:rPr>
        <w:t>,</w:t>
      </w:r>
    </w:p>
    <w:p w:rsidR="00F13520" w:rsidRDefault="004A5FDF">
      <w:pPr>
        <w:pStyle w:val="ListParagraph"/>
        <w:numPr>
          <w:ilvl w:val="0"/>
          <w:numId w:val="3"/>
        </w:numPr>
        <w:rPr>
          <w:lang w:val="fr-FR"/>
        </w:rPr>
      </w:pPr>
      <w:r>
        <w:rPr>
          <w:lang w:val="fr-FR"/>
        </w:rPr>
        <w:t>Microsoft</w:t>
      </w:r>
      <w:r w:rsidR="00B01C7E">
        <w:rPr>
          <w:lang w:val="fr-FR"/>
        </w:rPr>
        <w:t xml:space="preserve"> Office SharePoint® Server,</w:t>
      </w:r>
    </w:p>
    <w:p w:rsidR="00F13520" w:rsidRPr="00475DCF" w:rsidRDefault="004A5FDF" w:rsidP="00A608C5">
      <w:pPr>
        <w:pStyle w:val="ListParagraph"/>
        <w:numPr>
          <w:ilvl w:val="0"/>
          <w:numId w:val="3"/>
        </w:numPr>
      </w:pPr>
      <w:r w:rsidRPr="008F16E8">
        <w:t>Microsoft Visual Studio® Team System</w:t>
      </w:r>
      <w:r w:rsidR="008F16E8" w:rsidRPr="008F16E8">
        <w:t>,</w:t>
      </w:r>
    </w:p>
    <w:p w:rsidR="00F13520" w:rsidRDefault="004A5FDF">
      <w:pPr>
        <w:pStyle w:val="ListParagraph"/>
        <w:numPr>
          <w:ilvl w:val="0"/>
          <w:numId w:val="3"/>
        </w:numPr>
        <w:rPr>
          <w:lang w:val="fr-FR"/>
        </w:rPr>
      </w:pPr>
      <w:r>
        <w:rPr>
          <w:lang w:val="fr-FR"/>
        </w:rPr>
        <w:t>Microsoft System Center Server Management Suite Enterprise (SMSE)</w:t>
      </w:r>
      <w:r w:rsidR="008F16E8">
        <w:rPr>
          <w:lang w:val="fr-FR"/>
        </w:rPr>
        <w:t>.</w:t>
      </w:r>
    </w:p>
    <w:p w:rsidR="00F13520" w:rsidRPr="00292CF3" w:rsidRDefault="008F16E8">
      <w:pPr>
        <w:pStyle w:val="Heading2"/>
        <w:rPr>
          <w:rFonts w:cs="Times New Roman"/>
          <w:bCs w:val="0"/>
          <w:iCs w:val="0"/>
          <w:caps/>
          <w:color w:val="4F81BD"/>
          <w:kern w:val="32"/>
          <w:sz w:val="24"/>
          <w:szCs w:val="24"/>
          <w:lang w:val="fr-FR"/>
        </w:rPr>
      </w:pPr>
      <w:r w:rsidRPr="00292CF3">
        <w:rPr>
          <w:rFonts w:cs="Times New Roman"/>
          <w:bCs w:val="0"/>
          <w:iCs w:val="0"/>
          <w:caps/>
          <w:color w:val="4F81BD"/>
          <w:kern w:val="32"/>
          <w:sz w:val="24"/>
          <w:szCs w:val="24"/>
          <w:lang w:val="fr-FR"/>
        </w:rPr>
        <w:lastRenderedPageBreak/>
        <w:t>Comment acheter ?</w:t>
      </w:r>
      <w:r w:rsidR="004A5FDF" w:rsidRPr="00292CF3">
        <w:rPr>
          <w:rFonts w:cs="Times New Roman"/>
          <w:bCs w:val="0"/>
          <w:iCs w:val="0"/>
          <w:caps/>
          <w:color w:val="4F81BD"/>
          <w:kern w:val="32"/>
          <w:sz w:val="24"/>
          <w:szCs w:val="24"/>
          <w:lang w:val="fr-FR"/>
        </w:rPr>
        <w:t xml:space="preserve"> </w:t>
      </w:r>
      <w:r w:rsidR="00B01C7E" w:rsidRPr="00292CF3">
        <w:rPr>
          <w:rFonts w:cs="Times New Roman"/>
          <w:bCs w:val="0"/>
          <w:iCs w:val="0"/>
          <w:caps/>
          <w:color w:val="4F81BD"/>
          <w:kern w:val="32"/>
          <w:sz w:val="24"/>
          <w:szCs w:val="24"/>
          <w:lang w:val="fr-FR"/>
        </w:rPr>
        <w:t>Choisissez le nouveau contrat de licence en volume « </w:t>
      </w:r>
      <w:r w:rsidR="004A5FDF" w:rsidRPr="00292CF3">
        <w:rPr>
          <w:rFonts w:cs="Times New Roman"/>
          <w:bCs w:val="0"/>
          <w:iCs w:val="0"/>
          <w:caps/>
          <w:color w:val="4F81BD"/>
          <w:kern w:val="32"/>
          <w:sz w:val="24"/>
          <w:szCs w:val="24"/>
          <w:lang w:val="fr-FR"/>
        </w:rPr>
        <w:t>Application Platform</w:t>
      </w:r>
      <w:r w:rsidR="00B01C7E" w:rsidRPr="00292CF3">
        <w:rPr>
          <w:rFonts w:cs="Times New Roman"/>
          <w:bCs w:val="0"/>
          <w:iCs w:val="0"/>
          <w:caps/>
          <w:color w:val="4F81BD"/>
          <w:kern w:val="32"/>
          <w:sz w:val="24"/>
          <w:szCs w:val="24"/>
          <w:lang w:val="fr-FR"/>
        </w:rPr>
        <w:t> » (APA)</w:t>
      </w:r>
    </w:p>
    <w:p w:rsidR="00F13520" w:rsidRDefault="004A5FDF">
      <w:pPr>
        <w:spacing w:line="280" w:lineRule="auto"/>
        <w:jc w:val="both"/>
        <w:rPr>
          <w:szCs w:val="24"/>
        </w:rPr>
      </w:pPr>
      <w:r>
        <w:rPr>
          <w:szCs w:val="24"/>
        </w:rPr>
        <w:t xml:space="preserve">Le contrat Application Platform </w:t>
      </w:r>
      <w:r w:rsidR="008F16E8">
        <w:rPr>
          <w:szCs w:val="24"/>
        </w:rPr>
        <w:t xml:space="preserve">de Microsoft </w:t>
      </w:r>
      <w:r w:rsidR="00BD3558">
        <w:rPr>
          <w:szCs w:val="24"/>
        </w:rPr>
        <w:t xml:space="preserve">est un contrat de 3 ans qui </w:t>
      </w:r>
      <w:r w:rsidR="008F16E8">
        <w:rPr>
          <w:szCs w:val="24"/>
        </w:rPr>
        <w:t>propose une gestion simple des licences incluses dans l’offre</w:t>
      </w:r>
      <w:r>
        <w:rPr>
          <w:szCs w:val="24"/>
        </w:rPr>
        <w:t xml:space="preserve"> </w:t>
      </w:r>
      <w:r w:rsidR="008F16E8">
        <w:rPr>
          <w:szCs w:val="24"/>
        </w:rPr>
        <w:t>« </w:t>
      </w:r>
      <w:r w:rsidR="00BC18B7">
        <w:rPr>
          <w:szCs w:val="24"/>
        </w:rPr>
        <w:t>Plate-forme Applicative</w:t>
      </w:r>
      <w:r w:rsidR="008F16E8">
        <w:rPr>
          <w:szCs w:val="24"/>
        </w:rPr>
        <w:t> »</w:t>
      </w:r>
      <w:r>
        <w:rPr>
          <w:szCs w:val="24"/>
        </w:rPr>
        <w:t>. Le contrat APA facilite la standardisation de vos applications sur la base d’un paiement annuel fixe pendant trois ans. Le contrat APA vous apporte :</w:t>
      </w:r>
    </w:p>
    <w:p w:rsidR="00F13520" w:rsidRDefault="004A5FDF">
      <w:pPr>
        <w:pStyle w:val="Heading4"/>
      </w:pPr>
      <w:r>
        <w:t>Flexibilité</w:t>
      </w:r>
    </w:p>
    <w:p w:rsidR="00F13520" w:rsidRDefault="004A5FDF" w:rsidP="008F16E8">
      <w:pPr>
        <w:pStyle w:val="Pupuce1"/>
        <w:jc w:val="both"/>
      </w:pPr>
      <w:r>
        <w:t xml:space="preserve">Tous les produits Application Platform que vous avez déjà déployés dans le cadre d’un Accord Entreprise ou </w:t>
      </w:r>
      <w:r w:rsidR="008F16E8">
        <w:t>Accord Entreprise</w:t>
      </w:r>
      <w:r>
        <w:t xml:space="preserve"> Souscription so</w:t>
      </w:r>
      <w:r w:rsidR="00B01C7E">
        <w:t xml:space="preserve">nt couverts par le contrat APA : </w:t>
      </w:r>
      <w:r>
        <w:t xml:space="preserve">serveurs, </w:t>
      </w:r>
      <w:r w:rsidR="00B01C7E">
        <w:t>licences d’accès client (CAL) et licences par processeurs</w:t>
      </w:r>
      <w:r>
        <w:t>.</w:t>
      </w:r>
    </w:p>
    <w:p w:rsidR="00F13520" w:rsidRDefault="004A5FDF" w:rsidP="008F16E8">
      <w:pPr>
        <w:pStyle w:val="Pupuce1"/>
        <w:jc w:val="both"/>
      </w:pPr>
      <w:r>
        <w:t xml:space="preserve">Vous bénéficiez d’un droit de déploiement illimité pour les produits APA dans toute votre entreprise pour un coût fixé à l’avance. Vous pouvez ainsi déployer les produits à votre rythme et ajouter n’importe quel produit </w:t>
      </w:r>
      <w:r w:rsidR="00B01C7E">
        <w:t xml:space="preserve">de la plateforme applicative Microsoft </w:t>
      </w:r>
      <w:r>
        <w:t>pendant la durée du contrat.</w:t>
      </w:r>
    </w:p>
    <w:p w:rsidR="00F13520" w:rsidRDefault="004A5FDF">
      <w:pPr>
        <w:pStyle w:val="Heading4"/>
      </w:pPr>
      <w:r>
        <w:t>Facilité d'administration</w:t>
      </w:r>
    </w:p>
    <w:p w:rsidR="00F13520" w:rsidRDefault="004A5FDF" w:rsidP="008F16E8">
      <w:pPr>
        <w:pStyle w:val="Pupuce1"/>
        <w:jc w:val="both"/>
      </w:pPr>
      <w:r>
        <w:t xml:space="preserve">Tous vos équipements sont </w:t>
      </w:r>
      <w:r w:rsidR="008F16E8">
        <w:t>assurés d’être en conformité logicielle, cette dernière étant intégrée au contrat Application Platform.</w:t>
      </w:r>
      <w:r>
        <w:t xml:space="preserve"> Vous n’avez plus à suivre les licences de chaque produit</w:t>
      </w:r>
      <w:r w:rsidR="00B01C7E">
        <w:t>,</w:t>
      </w:r>
      <w:r>
        <w:t xml:space="preserve"> </w:t>
      </w:r>
      <w:r w:rsidR="00B01C7E">
        <w:t>sur</w:t>
      </w:r>
      <w:r>
        <w:t xml:space="preserve"> chaque </w:t>
      </w:r>
      <w:r w:rsidR="00BC18B7">
        <w:t>machine</w:t>
      </w:r>
      <w:r>
        <w:t>.</w:t>
      </w:r>
    </w:p>
    <w:p w:rsidR="00F13520" w:rsidRDefault="004A5FDF" w:rsidP="008F16E8">
      <w:pPr>
        <w:pStyle w:val="Pupuce1"/>
        <w:jc w:val="both"/>
      </w:pPr>
      <w:r>
        <w:t xml:space="preserve">Vous bénéficiez du droit d’exécuter la dernière version de chaque produit sélectionné. Inutile de compter les licences chaque année ou de compléter par </w:t>
      </w:r>
      <w:r w:rsidR="008F16E8">
        <w:t>des</w:t>
      </w:r>
      <w:r>
        <w:t xml:space="preserve"> licence</w:t>
      </w:r>
      <w:r w:rsidR="008F16E8">
        <w:t>s</w:t>
      </w:r>
      <w:r>
        <w:t xml:space="preserve"> </w:t>
      </w:r>
      <w:r w:rsidR="008F16E8">
        <w:t>supplémentaires</w:t>
      </w:r>
      <w:r>
        <w:t xml:space="preserve"> pendant la durée du contrat. </w:t>
      </w:r>
    </w:p>
    <w:p w:rsidR="00F13520" w:rsidRDefault="004A5FDF" w:rsidP="008F16E8">
      <w:pPr>
        <w:pStyle w:val="Pupuce1"/>
        <w:jc w:val="both"/>
      </w:pPr>
      <w:r>
        <w:t>Un support et des services additionnels, comme de la formation et de l'aide au déploiement, sont disponibles via la Software Assurance pour améliorer la productivité et le retour sur investissement.</w:t>
      </w:r>
    </w:p>
    <w:p w:rsidR="00F13520" w:rsidRDefault="004A5FDF" w:rsidP="008F16E8">
      <w:pPr>
        <w:pStyle w:val="Heading4"/>
        <w:jc w:val="both"/>
      </w:pPr>
      <w:r>
        <w:t>Prévisibilité</w:t>
      </w:r>
    </w:p>
    <w:p w:rsidR="00F13520" w:rsidRDefault="004A5FDF" w:rsidP="00BD3558">
      <w:pPr>
        <w:pStyle w:val="Pupuce1"/>
        <w:jc w:val="both"/>
      </w:pPr>
      <w:r>
        <w:t xml:space="preserve">Le coût est déterminé à l’avance, en tenant compte d’une croissance estimée à partir des déploiements prévus sur les 3 ans du contrat. Ce </w:t>
      </w:r>
      <w:r w:rsidR="008F16E8">
        <w:t>coût ne sera pas modifié par d’éventuels</w:t>
      </w:r>
      <w:r>
        <w:t xml:space="preserve"> déploiements additionnels. </w:t>
      </w:r>
    </w:p>
    <w:p w:rsidR="00F13520" w:rsidRDefault="004A5FDF" w:rsidP="00BD3558">
      <w:pPr>
        <w:pStyle w:val="Pupuce1"/>
        <w:jc w:val="both"/>
      </w:pPr>
      <w:r>
        <w:t>Le règlement est planifié à des dates fixes tout au long du contrat. Le budget est plus simple à réaliser.</w:t>
      </w:r>
    </w:p>
    <w:p w:rsidR="00F13520" w:rsidRPr="00292CF3" w:rsidRDefault="004A5FDF" w:rsidP="00292CF3">
      <w:pPr>
        <w:pStyle w:val="Heading2"/>
        <w:rPr>
          <w:rFonts w:cs="Times New Roman"/>
          <w:bCs w:val="0"/>
          <w:iCs w:val="0"/>
          <w:caps/>
          <w:color w:val="4F81BD"/>
          <w:kern w:val="32"/>
          <w:sz w:val="24"/>
          <w:szCs w:val="24"/>
          <w:lang w:val="fr-FR"/>
        </w:rPr>
      </w:pPr>
      <w:r w:rsidRPr="00292CF3">
        <w:rPr>
          <w:rFonts w:cs="Times New Roman"/>
          <w:bCs w:val="0"/>
          <w:iCs w:val="0"/>
          <w:caps/>
          <w:color w:val="4F81BD"/>
          <w:kern w:val="32"/>
          <w:sz w:val="24"/>
          <w:szCs w:val="24"/>
          <w:lang w:val="fr-FR"/>
        </w:rPr>
        <w:t>Prix</w:t>
      </w:r>
    </w:p>
    <w:p w:rsidR="00BC18B7" w:rsidRDefault="004A5FDF" w:rsidP="00BD3558">
      <w:pPr>
        <w:spacing w:line="280" w:lineRule="auto"/>
        <w:jc w:val="both"/>
        <w:rPr>
          <w:szCs w:val="24"/>
        </w:rPr>
      </w:pPr>
      <w:r>
        <w:rPr>
          <w:szCs w:val="24"/>
        </w:rPr>
        <w:t xml:space="preserve">La cotisation annuelle est calculée à partir de vos déploiements actuels et tient compte des prévisions d’extension et de futurs déploiements dans les trois prochaines années. </w:t>
      </w:r>
    </w:p>
    <w:p w:rsidR="00BC18B7" w:rsidRDefault="00BC18B7" w:rsidP="00BD3558">
      <w:pPr>
        <w:spacing w:line="280" w:lineRule="auto"/>
        <w:jc w:val="both"/>
        <w:rPr>
          <w:szCs w:val="24"/>
        </w:rPr>
      </w:pPr>
      <w:r w:rsidRPr="00BD3558">
        <w:rPr>
          <w:szCs w:val="24"/>
        </w:rPr>
        <w:t xml:space="preserve">Pendant 3 ans vous ne payez que la Software Assurance, </w:t>
      </w:r>
      <w:r w:rsidR="00B01C7E" w:rsidRPr="00BD3558">
        <w:rPr>
          <w:szCs w:val="24"/>
        </w:rPr>
        <w:t xml:space="preserve">à l’issue de cette période vous pourrez renouveler votre contrat APA ou acheter vos licences en exerçant votre option d’achat (fixée au démarrage du contrat). </w:t>
      </w:r>
    </w:p>
    <w:p w:rsidR="00F13520" w:rsidRDefault="004A5FDF" w:rsidP="00BD3558">
      <w:pPr>
        <w:spacing w:line="280" w:lineRule="auto"/>
        <w:jc w:val="both"/>
        <w:rPr>
          <w:szCs w:val="24"/>
        </w:rPr>
      </w:pPr>
      <w:r>
        <w:rPr>
          <w:szCs w:val="24"/>
        </w:rPr>
        <w:t>V</w:t>
      </w:r>
      <w:r w:rsidR="008F16E8">
        <w:rPr>
          <w:szCs w:val="24"/>
        </w:rPr>
        <w:t xml:space="preserve">otre responsable de </w:t>
      </w:r>
      <w:r>
        <w:rPr>
          <w:szCs w:val="24"/>
        </w:rPr>
        <w:t xml:space="preserve">compte Microsoft ou votre partenaire Microsoft </w:t>
      </w:r>
      <w:r w:rsidR="00223154">
        <w:rPr>
          <w:szCs w:val="24"/>
        </w:rPr>
        <w:t>pourront vous aider à</w:t>
      </w:r>
      <w:r>
        <w:rPr>
          <w:szCs w:val="24"/>
        </w:rPr>
        <w:t xml:space="preserve"> déterminer les produits que v</w:t>
      </w:r>
      <w:r w:rsidR="00223154">
        <w:rPr>
          <w:szCs w:val="24"/>
        </w:rPr>
        <w:t>ous souhaitez mettre en place ainsi que</w:t>
      </w:r>
      <w:r>
        <w:rPr>
          <w:szCs w:val="24"/>
        </w:rPr>
        <w:t xml:space="preserve"> la cotisation annuelle</w:t>
      </w:r>
      <w:r w:rsidR="00223154">
        <w:rPr>
          <w:szCs w:val="24"/>
        </w:rPr>
        <w:t xml:space="preserve"> associée</w:t>
      </w:r>
      <w:r>
        <w:rPr>
          <w:szCs w:val="24"/>
        </w:rPr>
        <w:t>.</w:t>
      </w:r>
    </w:p>
    <w:p w:rsidR="00F13520" w:rsidRPr="00292CF3" w:rsidRDefault="004A5FDF" w:rsidP="00BD3558">
      <w:pPr>
        <w:pStyle w:val="Heading2"/>
        <w:jc w:val="both"/>
        <w:rPr>
          <w:rFonts w:cs="Times New Roman"/>
          <w:bCs w:val="0"/>
          <w:iCs w:val="0"/>
          <w:caps/>
          <w:color w:val="4F81BD"/>
          <w:kern w:val="32"/>
          <w:sz w:val="24"/>
          <w:szCs w:val="24"/>
          <w:lang w:val="fr-FR"/>
        </w:rPr>
      </w:pPr>
      <w:r w:rsidRPr="00292CF3">
        <w:rPr>
          <w:rFonts w:cs="Times New Roman"/>
          <w:bCs w:val="0"/>
          <w:iCs w:val="0"/>
          <w:caps/>
          <w:color w:val="4F81BD"/>
          <w:kern w:val="32"/>
          <w:sz w:val="24"/>
          <w:szCs w:val="24"/>
          <w:lang w:val="fr-FR"/>
        </w:rPr>
        <w:t>Services, support et préparation</w:t>
      </w:r>
    </w:p>
    <w:p w:rsidR="00F13520" w:rsidRDefault="004A5FDF" w:rsidP="00BD3558">
      <w:pPr>
        <w:spacing w:line="280" w:lineRule="auto"/>
        <w:jc w:val="both"/>
        <w:rPr>
          <w:szCs w:val="24"/>
        </w:rPr>
      </w:pPr>
      <w:r>
        <w:rPr>
          <w:szCs w:val="24"/>
        </w:rPr>
        <w:t xml:space="preserve">En plus des nombreux avantages que vous recevez par la couverture Microsoft Software Assurance, vous pouvez </w:t>
      </w:r>
      <w:r w:rsidR="00566288">
        <w:rPr>
          <w:szCs w:val="24"/>
        </w:rPr>
        <w:t>disposer de</w:t>
      </w:r>
      <w:r>
        <w:rPr>
          <w:szCs w:val="24"/>
        </w:rPr>
        <w:t xml:space="preserve"> services supplémentaires comme</w:t>
      </w:r>
      <w:r w:rsidR="00566288">
        <w:rPr>
          <w:szCs w:val="24"/>
        </w:rPr>
        <w:t xml:space="preserve"> : du support technique, accès aux ressources TechNet… Pour plus d’informations rendez-vous sur le site : </w:t>
      </w:r>
      <w:hyperlink r:id="rId7" w:history="1">
        <w:r w:rsidR="00566288" w:rsidRPr="00496C06">
          <w:rPr>
            <w:rStyle w:val="Hyperlink"/>
            <w:szCs w:val="24"/>
          </w:rPr>
          <w:t>http://www.microsoft.com/france/acheter/sa</w:t>
        </w:r>
      </w:hyperlink>
      <w:r w:rsidR="00566288">
        <w:rPr>
          <w:szCs w:val="24"/>
        </w:rPr>
        <w:t xml:space="preserve"> .</w:t>
      </w:r>
    </w:p>
    <w:p w:rsidR="00F13520" w:rsidRPr="00292CF3" w:rsidRDefault="004A5FDF" w:rsidP="00BD3558">
      <w:pPr>
        <w:pStyle w:val="Heading2"/>
        <w:jc w:val="both"/>
        <w:rPr>
          <w:rFonts w:cs="Times New Roman"/>
          <w:bCs w:val="0"/>
          <w:iCs w:val="0"/>
          <w:caps/>
          <w:color w:val="4F81BD"/>
          <w:kern w:val="32"/>
          <w:sz w:val="24"/>
          <w:szCs w:val="24"/>
          <w:lang w:val="fr-FR"/>
        </w:rPr>
      </w:pPr>
      <w:r w:rsidRPr="00292CF3">
        <w:rPr>
          <w:rFonts w:cs="Times New Roman"/>
          <w:bCs w:val="0"/>
          <w:iCs w:val="0"/>
          <w:caps/>
          <w:color w:val="4F81BD"/>
          <w:kern w:val="32"/>
          <w:sz w:val="24"/>
          <w:szCs w:val="24"/>
          <w:lang w:val="fr-FR"/>
        </w:rPr>
        <w:t xml:space="preserve">Comment </w:t>
      </w:r>
      <w:r w:rsidR="00566288" w:rsidRPr="00292CF3">
        <w:rPr>
          <w:rFonts w:cs="Times New Roman"/>
          <w:bCs w:val="0"/>
          <w:iCs w:val="0"/>
          <w:caps/>
          <w:color w:val="4F81BD"/>
          <w:kern w:val="32"/>
          <w:sz w:val="24"/>
          <w:szCs w:val="24"/>
          <w:lang w:val="fr-FR"/>
        </w:rPr>
        <w:t>participer au programme APA ?</w:t>
      </w:r>
    </w:p>
    <w:p w:rsidR="00F13520" w:rsidRDefault="004A5FDF" w:rsidP="0067554F">
      <w:pPr>
        <w:spacing w:line="280" w:lineRule="auto"/>
        <w:jc w:val="both"/>
        <w:rPr>
          <w:szCs w:val="24"/>
        </w:rPr>
      </w:pPr>
      <w:r>
        <w:rPr>
          <w:szCs w:val="24"/>
        </w:rPr>
        <w:t xml:space="preserve">Contactez le responsable de votre compte chez Microsoft ou votre partenaire Microsoft pour </w:t>
      </w:r>
      <w:r w:rsidR="00566288">
        <w:rPr>
          <w:szCs w:val="24"/>
        </w:rPr>
        <w:t xml:space="preserve">convenir d’une réunion spécifique sur le sujet et </w:t>
      </w:r>
      <w:r>
        <w:rPr>
          <w:szCs w:val="24"/>
        </w:rPr>
        <w:t>en apprendre davantage sur ce programme</w:t>
      </w:r>
      <w:r w:rsidR="00BD3558">
        <w:rPr>
          <w:szCs w:val="24"/>
        </w:rPr>
        <w:t xml:space="preserve"> et connaitre les conditions d’éligibilité</w:t>
      </w:r>
      <w:r>
        <w:rPr>
          <w:szCs w:val="24"/>
        </w:rPr>
        <w:t xml:space="preserve">. </w:t>
      </w:r>
    </w:p>
    <w:sectPr w:rsidR="00F13520" w:rsidSect="0067554F">
      <w:headerReference w:type="default" r:id="rId8"/>
      <w:footerReference w:type="default" r:id="rId9"/>
      <w:headerReference w:type="first" r:id="rId10"/>
      <w:footerReference w:type="first" r:id="rId11"/>
      <w:pgSz w:w="11907" w:h="16840" w:code="9"/>
      <w:pgMar w:top="106" w:right="1021" w:bottom="851" w:left="1134" w:header="431" w:footer="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399" w:rsidRDefault="00844399">
      <w:pPr>
        <w:spacing w:after="0" w:line="240" w:lineRule="auto"/>
        <w:rPr>
          <w:szCs w:val="24"/>
        </w:rPr>
      </w:pPr>
      <w:r>
        <w:rPr>
          <w:szCs w:val="24"/>
        </w:rPr>
        <w:separator/>
      </w:r>
    </w:p>
  </w:endnote>
  <w:endnote w:type="continuationSeparator" w:id="1">
    <w:p w:rsidR="00844399" w:rsidRDefault="00844399">
      <w:pPr>
        <w:spacing w:after="0" w:line="240" w:lineRule="auto"/>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20" w:rsidRPr="008F16E8" w:rsidRDefault="00B21CF7">
    <w:pPr>
      <w:pStyle w:val="Footer"/>
      <w:tabs>
        <w:tab w:val="right" w:pos="9360"/>
      </w:tabs>
      <w:rPr>
        <w:color w:val="808080"/>
        <w:lang w:val="fr-FR"/>
      </w:rPr>
    </w:pPr>
    <w:r>
      <w:rPr>
        <w:rStyle w:val="PageNumber"/>
        <w:color w:val="808080"/>
        <w:sz w:val="18"/>
      </w:rPr>
      <w:fldChar w:fldCharType="begin"/>
    </w:r>
    <w:r w:rsidR="004A5FDF" w:rsidRPr="008F16E8">
      <w:rPr>
        <w:rStyle w:val="PageNumber"/>
        <w:color w:val="808080"/>
        <w:sz w:val="18"/>
        <w:lang w:val="fr-FR"/>
      </w:rPr>
      <w:instrText xml:space="preserve"> PAGE </w:instrText>
    </w:r>
    <w:r>
      <w:rPr>
        <w:rStyle w:val="PageNumber"/>
        <w:color w:val="808080"/>
        <w:sz w:val="18"/>
      </w:rPr>
      <w:fldChar w:fldCharType="separate"/>
    </w:r>
    <w:r w:rsidR="0067554F">
      <w:rPr>
        <w:rStyle w:val="PageNumber"/>
        <w:noProof/>
        <w:color w:val="808080"/>
        <w:sz w:val="18"/>
        <w:lang w:val="fr-FR"/>
      </w:rPr>
      <w:t>2</w:t>
    </w:r>
    <w:r>
      <w:rPr>
        <w:rStyle w:val="PageNumber"/>
        <w:color w:val="808080"/>
        <w:sz w:val="18"/>
      </w:rPr>
      <w:fldChar w:fldCharType="end"/>
    </w:r>
    <w:r w:rsidR="004A5FDF" w:rsidRPr="008F16E8">
      <w:rPr>
        <w:rStyle w:val="PageNumber"/>
        <w:color w:val="808080"/>
        <w:sz w:val="18"/>
        <w:lang w:val="fr-FR"/>
      </w:rPr>
      <w:t xml:space="preserve">       </w:t>
    </w:r>
    <w:r w:rsidR="004A5FDF" w:rsidRPr="008F16E8">
      <w:rPr>
        <w:noProof/>
        <w:color w:val="808080"/>
        <w:lang w:val="fr-FR"/>
      </w:rPr>
      <w:t>© 2008 Microsoft Corporation.</w:t>
    </w:r>
    <w:r w:rsidR="004A5FDF" w:rsidRPr="008F16E8">
      <w:rPr>
        <w:color w:val="808080"/>
        <w:lang w:val="fr-FR"/>
      </w:rPr>
      <w:t xml:space="preserve"> </w:t>
    </w:r>
    <w:r w:rsidR="004A5FDF" w:rsidRPr="008F16E8">
      <w:rPr>
        <w:noProof/>
        <w:color w:val="808080"/>
        <w:lang w:val="fr-FR"/>
      </w:rPr>
      <w:t>Tous droits réservés.</w:t>
    </w:r>
    <w:r w:rsidR="004A5FDF" w:rsidRPr="008F16E8">
      <w:rPr>
        <w:color w:val="808080"/>
        <w:lang w:val="fr-FR"/>
      </w:rPr>
      <w:t xml:space="preserve">  </w:t>
    </w:r>
  </w:p>
  <w:p w:rsidR="00F13520" w:rsidRPr="008F16E8" w:rsidRDefault="004A5FDF">
    <w:pPr>
      <w:pStyle w:val="Footer"/>
      <w:tabs>
        <w:tab w:val="right" w:pos="9360"/>
      </w:tabs>
      <w:rPr>
        <w:color w:val="808080"/>
        <w:lang w:val="fr-FR"/>
      </w:rPr>
    </w:pPr>
    <w:r>
      <w:rPr>
        <w:noProof/>
        <w:snapToGrid/>
        <w:lang w:val="fr-FR"/>
      </w:rPr>
      <w:drawing>
        <wp:anchor distT="0" distB="0" distL="114300" distR="114300" simplePos="0" relativeHeight="251658240" behindDoc="1" locked="0" layoutInCell="1" allowOverlap="1">
          <wp:simplePos x="0" y="0"/>
          <wp:positionH relativeFrom="column">
            <wp:posOffset>-867600</wp:posOffset>
          </wp:positionH>
          <wp:positionV relativeFrom="paragraph">
            <wp:posOffset>286330</wp:posOffset>
          </wp:positionV>
          <wp:extent cx="7781180" cy="365760"/>
          <wp:effectExtent l="19050" t="0" r="0" b="0"/>
          <wp:wrapNone/>
          <wp:docPr id="2" name="Picture 2" descr="Customer_DataShee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tomer_DataSheet_Footer.png"/>
                  <pic:cNvPicPr>
                    <a:picLocks noChangeAspect="1" noChangeArrowheads="1"/>
                  </pic:cNvPicPr>
                </pic:nvPicPr>
                <pic:blipFill>
                  <a:blip r:embed="rId1"/>
                  <a:srcRect/>
                  <a:stretch>
                    <a:fillRect/>
                  </a:stretch>
                </pic:blipFill>
                <pic:spPr bwMode="auto">
                  <a:xfrm>
                    <a:off x="0" y="0"/>
                    <a:ext cx="7781180" cy="365760"/>
                  </a:xfrm>
                  <a:prstGeom prst="rect">
                    <a:avLst/>
                  </a:prstGeom>
                  <a:noFill/>
                  <a:ln w="9525">
                    <a:noFill/>
                    <a:miter lim="800000"/>
                    <a:headEnd/>
                    <a:tailEnd/>
                  </a:ln>
                </pic:spPr>
              </pic:pic>
            </a:graphicData>
          </a:graphic>
        </wp:anchor>
      </w:drawing>
    </w:r>
    <w:r w:rsidRPr="008F16E8">
      <w:rPr>
        <w:noProof/>
        <w:color w:val="808080"/>
        <w:lang w:val="fr-FR"/>
      </w:rPr>
      <w:t>Ce document est fourni uniquement à titre indicatif. Microsoft n’apporte aucune garantie, expresse ou implicite, dans ce document.</w:t>
    </w:r>
    <w:r w:rsidRPr="008F16E8">
      <w:rPr>
        <w:color w:val="808080"/>
        <w:lang w:val="fr-FR"/>
      </w:rPr>
      <w:t xml:space="preserve"> </w:t>
    </w:r>
  </w:p>
  <w:p w:rsidR="00F13520" w:rsidRPr="008F16E8" w:rsidRDefault="004A5FDF">
    <w:pPr>
      <w:pStyle w:val="Footer"/>
      <w:tabs>
        <w:tab w:val="clear" w:pos="4320"/>
        <w:tab w:val="clear" w:pos="8640"/>
        <w:tab w:val="right" w:pos="9360"/>
      </w:tabs>
      <w:rPr>
        <w:color w:val="808080"/>
        <w:lang w:val="fr-FR"/>
      </w:rPr>
    </w:pPr>
    <w:r w:rsidRPr="008F16E8">
      <w:rPr>
        <w:rStyle w:val="PageNumber"/>
        <w:color w:val="808080"/>
        <w:sz w:val="18"/>
        <w:lang w:val="fr-F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20" w:rsidRPr="0067554F" w:rsidRDefault="0067554F">
    <w:pPr>
      <w:pStyle w:val="Footer"/>
      <w:rPr>
        <w:b/>
        <w:color w:val="FFFFFF" w:themeColor="background1"/>
      </w:rPr>
    </w:pPr>
    <w:r w:rsidRPr="0067554F">
      <w:rPr>
        <w:b/>
        <w:noProof/>
        <w:snapToGrid/>
        <w:color w:val="FFFFFF" w:themeColor="background1"/>
        <w:lang w:val="fr-FR"/>
      </w:rPr>
      <w:drawing>
        <wp:anchor distT="0" distB="0" distL="114300" distR="114300" simplePos="0" relativeHeight="251661312" behindDoc="1" locked="0" layoutInCell="1" allowOverlap="1">
          <wp:simplePos x="0" y="0"/>
          <wp:positionH relativeFrom="column">
            <wp:posOffset>-717550</wp:posOffset>
          </wp:positionH>
          <wp:positionV relativeFrom="paragraph">
            <wp:posOffset>-60960</wp:posOffset>
          </wp:positionV>
          <wp:extent cx="7780655" cy="365760"/>
          <wp:effectExtent l="19050" t="0" r="0" b="0"/>
          <wp:wrapNone/>
          <wp:docPr id="5" name="Picture 2" descr="Customer_DataShee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tomer_DataSheet_Footer.png"/>
                  <pic:cNvPicPr>
                    <a:picLocks noChangeAspect="1" noChangeArrowheads="1"/>
                  </pic:cNvPicPr>
                </pic:nvPicPr>
                <pic:blipFill>
                  <a:blip r:embed="rId1"/>
                  <a:srcRect/>
                  <a:stretch>
                    <a:fillRect/>
                  </a:stretch>
                </pic:blipFill>
                <pic:spPr bwMode="auto">
                  <a:xfrm>
                    <a:off x="0" y="0"/>
                    <a:ext cx="7780655" cy="365760"/>
                  </a:xfrm>
                  <a:prstGeom prst="rect">
                    <a:avLst/>
                  </a:prstGeom>
                  <a:noFill/>
                  <a:ln w="9525">
                    <a:noFill/>
                    <a:miter lim="800000"/>
                    <a:headEnd/>
                    <a:tailEnd/>
                  </a:ln>
                </pic:spPr>
              </pic:pic>
            </a:graphicData>
          </a:graphic>
        </wp:anchor>
      </w:drawing>
    </w:r>
    <w:r w:rsidR="00B21CF7" w:rsidRPr="0067554F">
      <w:rPr>
        <w:rStyle w:val="PageNumber"/>
        <w:b/>
        <w:color w:val="FFFFFF" w:themeColor="background1"/>
        <w:sz w:val="18"/>
      </w:rPr>
      <w:fldChar w:fldCharType="begin"/>
    </w:r>
    <w:r w:rsidR="004A5FDF" w:rsidRPr="0067554F">
      <w:rPr>
        <w:rStyle w:val="PageNumber"/>
        <w:b/>
        <w:color w:val="FFFFFF" w:themeColor="background1"/>
        <w:sz w:val="18"/>
      </w:rPr>
      <w:instrText xml:space="preserve"> PAGE </w:instrText>
    </w:r>
    <w:r w:rsidR="00B21CF7" w:rsidRPr="0067554F">
      <w:rPr>
        <w:rStyle w:val="PageNumber"/>
        <w:b/>
        <w:color w:val="FFFFFF" w:themeColor="background1"/>
        <w:sz w:val="18"/>
      </w:rPr>
      <w:fldChar w:fldCharType="separate"/>
    </w:r>
    <w:r>
      <w:rPr>
        <w:rStyle w:val="PageNumber"/>
        <w:b/>
        <w:noProof/>
        <w:color w:val="FFFFFF" w:themeColor="background1"/>
        <w:sz w:val="18"/>
      </w:rPr>
      <w:t>1</w:t>
    </w:r>
    <w:r w:rsidR="00B21CF7" w:rsidRPr="0067554F">
      <w:rPr>
        <w:rStyle w:val="PageNumber"/>
        <w:b/>
        <w:color w:val="FFFFFF" w:themeColor="background1"/>
        <w:sz w:val="18"/>
      </w:rPr>
      <w:fldChar w:fldCharType="end"/>
    </w:r>
    <w:r w:rsidR="004A5FDF" w:rsidRPr="0067554F">
      <w:rPr>
        <w:b/>
        <w:noProof/>
        <w:snapToGrid/>
        <w:color w:val="FFFFFF" w:themeColor="background1"/>
        <w:lang w:val="fr-FR"/>
      </w:rPr>
      <w:drawing>
        <wp:anchor distT="0" distB="0" distL="114300" distR="114300" simplePos="0" relativeHeight="251659264" behindDoc="1" locked="0" layoutInCell="1" allowOverlap="1">
          <wp:simplePos x="0" y="0"/>
          <wp:positionH relativeFrom="column">
            <wp:posOffset>-914400</wp:posOffset>
          </wp:positionH>
          <wp:positionV relativeFrom="paragraph">
            <wp:posOffset>238760</wp:posOffset>
          </wp:positionV>
          <wp:extent cx="7772400" cy="361950"/>
          <wp:effectExtent l="19050" t="0" r="0" b="0"/>
          <wp:wrapNone/>
          <wp:docPr id="4" name="Picture 4" descr="Customer_DataShee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tomer_DataSheet_Footer.png"/>
                  <pic:cNvPicPr>
                    <a:picLocks noChangeAspect="1" noChangeArrowheads="1"/>
                  </pic:cNvPicPr>
                </pic:nvPicPr>
                <pic:blipFill>
                  <a:blip r:embed="rId1"/>
                  <a:srcRect/>
                  <a:stretch>
                    <a:fillRect/>
                  </a:stretch>
                </pic:blipFill>
                <pic:spPr bwMode="auto">
                  <a:xfrm>
                    <a:off x="0" y="0"/>
                    <a:ext cx="7772400" cy="3619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399" w:rsidRDefault="00844399">
      <w:pPr>
        <w:spacing w:after="0" w:line="240" w:lineRule="auto"/>
        <w:rPr>
          <w:szCs w:val="24"/>
        </w:rPr>
      </w:pPr>
      <w:r>
        <w:rPr>
          <w:szCs w:val="24"/>
        </w:rPr>
        <w:separator/>
      </w:r>
    </w:p>
  </w:footnote>
  <w:footnote w:type="continuationSeparator" w:id="1">
    <w:p w:rsidR="00844399" w:rsidRDefault="00844399">
      <w:pPr>
        <w:spacing w:after="0" w:line="240" w:lineRule="auto"/>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20" w:rsidRDefault="004A5FDF">
    <w:pPr>
      <w:pStyle w:val="Header"/>
      <w:spacing w:after="1440"/>
    </w:pPr>
    <w:r>
      <w:rPr>
        <w:noProof/>
        <w:snapToGrid/>
        <w:lang w:val="fr-FR"/>
      </w:rPr>
      <w:drawing>
        <wp:anchor distT="0" distB="0" distL="114300" distR="114300" simplePos="0" relativeHeight="251656192" behindDoc="1" locked="0" layoutInCell="1" allowOverlap="1">
          <wp:simplePos x="0" y="0"/>
          <wp:positionH relativeFrom="column">
            <wp:posOffset>-920750</wp:posOffset>
          </wp:positionH>
          <wp:positionV relativeFrom="paragraph">
            <wp:posOffset>-299720</wp:posOffset>
          </wp:positionV>
          <wp:extent cx="7772400" cy="110490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772400" cy="11049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20" w:rsidRDefault="004A5FDF">
    <w:pPr>
      <w:pStyle w:val="Header"/>
    </w:pPr>
    <w:r>
      <w:rPr>
        <w:noProof/>
        <w:snapToGrid/>
        <w:lang w:val="fr-FR"/>
      </w:rPr>
      <w:drawing>
        <wp:anchor distT="0" distB="0" distL="114300" distR="114300" simplePos="0" relativeHeight="251657216" behindDoc="1" locked="0" layoutInCell="1" allowOverlap="1">
          <wp:simplePos x="0" y="0"/>
          <wp:positionH relativeFrom="column">
            <wp:posOffset>-716942</wp:posOffset>
          </wp:positionH>
          <wp:positionV relativeFrom="paragraph">
            <wp:posOffset>-281636</wp:posOffset>
          </wp:positionV>
          <wp:extent cx="7575412" cy="1327868"/>
          <wp:effectExtent l="19050" t="0" r="6488" b="0"/>
          <wp:wrapNone/>
          <wp:docPr id="3" name="Picture 0" descr="Customer_DataSheet_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ustomer_DataSheet_Title.png"/>
                  <pic:cNvPicPr>
                    <a:picLocks noChangeAspect="1" noChangeArrowheads="1"/>
                  </pic:cNvPicPr>
                </pic:nvPicPr>
                <pic:blipFill>
                  <a:blip r:embed="rId1"/>
                  <a:srcRect/>
                  <a:stretch>
                    <a:fillRect/>
                  </a:stretch>
                </pic:blipFill>
                <pic:spPr bwMode="auto">
                  <a:xfrm>
                    <a:off x="0" y="0"/>
                    <a:ext cx="7575412" cy="1327868"/>
                  </a:xfrm>
                  <a:prstGeom prst="rect">
                    <a:avLst/>
                  </a:prstGeom>
                  <a:noFill/>
                  <a:ln w="9525">
                    <a:noFill/>
                    <a:miter lim="800000"/>
                    <a:headEnd/>
                    <a:tailEnd/>
                  </a:ln>
                </pic:spPr>
              </pic:pic>
            </a:graphicData>
          </a:graphic>
        </wp:anchor>
      </w:drawing>
    </w:r>
  </w:p>
  <w:p w:rsidR="00F13520" w:rsidRPr="00EC0BF7" w:rsidRDefault="008F16E8" w:rsidP="0067554F">
    <w:pPr>
      <w:pStyle w:val="Header"/>
      <w:spacing w:before="120" w:after="500"/>
      <w:rPr>
        <w:color w:val="FFFFFF"/>
        <w:sz w:val="44"/>
        <w:lang w:val="fr-FR"/>
      </w:rPr>
    </w:pPr>
    <w:r w:rsidRPr="00EC0BF7">
      <w:rPr>
        <w:noProof/>
        <w:color w:val="FFFFFF"/>
        <w:sz w:val="44"/>
        <w:lang w:val="fr-FR"/>
      </w:rPr>
      <w:t>L’offre</w:t>
    </w:r>
    <w:r w:rsidR="004A5FDF" w:rsidRPr="00EC0BF7">
      <w:rPr>
        <w:noProof/>
        <w:color w:val="FFFFFF"/>
        <w:sz w:val="44"/>
        <w:lang w:val="fr-FR"/>
      </w:rPr>
      <w:t xml:space="preserve"> </w:t>
    </w:r>
    <w:r w:rsidRPr="00EC0BF7">
      <w:rPr>
        <w:noProof/>
        <w:color w:val="FFFFFF"/>
        <w:sz w:val="44"/>
        <w:lang w:val="fr-FR"/>
      </w:rPr>
      <w:t>“</w:t>
    </w:r>
    <w:r w:rsidR="004A5FDF" w:rsidRPr="00EC0BF7">
      <w:rPr>
        <w:noProof/>
        <w:color w:val="FFFFFF"/>
        <w:sz w:val="44"/>
        <w:lang w:val="fr-FR"/>
      </w:rPr>
      <w:t>Application Platform</w:t>
    </w:r>
    <w:r w:rsidRPr="00EC0BF7">
      <w:rPr>
        <w:noProof/>
        <w:color w:val="FFFFFF"/>
        <w:sz w:val="44"/>
        <w:lang w:val="fr-FR"/>
      </w:rPr>
      <w:t>” Microsoft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B45018"/>
    <w:lvl w:ilvl="0">
      <w:start w:val="1"/>
      <w:numFmt w:val="decimal"/>
      <w:lvlText w:val="%1."/>
      <w:lvlJc w:val="left"/>
      <w:pPr>
        <w:tabs>
          <w:tab w:val="num" w:pos="1492"/>
        </w:tabs>
        <w:ind w:left="1492" w:hanging="360"/>
      </w:pPr>
    </w:lvl>
  </w:abstractNum>
  <w:abstractNum w:abstractNumId="1">
    <w:nsid w:val="FFFFFF7D"/>
    <w:multiLevelType w:val="singleLevel"/>
    <w:tmpl w:val="B9C8DFC8"/>
    <w:lvl w:ilvl="0">
      <w:start w:val="1"/>
      <w:numFmt w:val="decimal"/>
      <w:lvlText w:val="%1."/>
      <w:lvlJc w:val="left"/>
      <w:pPr>
        <w:tabs>
          <w:tab w:val="num" w:pos="1209"/>
        </w:tabs>
        <w:ind w:left="1209" w:hanging="360"/>
      </w:pPr>
    </w:lvl>
  </w:abstractNum>
  <w:abstractNum w:abstractNumId="2">
    <w:nsid w:val="FFFFFF7E"/>
    <w:multiLevelType w:val="singleLevel"/>
    <w:tmpl w:val="5D607E60"/>
    <w:lvl w:ilvl="0">
      <w:start w:val="1"/>
      <w:numFmt w:val="decimal"/>
      <w:lvlText w:val="%1."/>
      <w:lvlJc w:val="left"/>
      <w:pPr>
        <w:tabs>
          <w:tab w:val="num" w:pos="926"/>
        </w:tabs>
        <w:ind w:left="926" w:hanging="360"/>
      </w:pPr>
    </w:lvl>
  </w:abstractNum>
  <w:abstractNum w:abstractNumId="3">
    <w:nsid w:val="FFFFFF7F"/>
    <w:multiLevelType w:val="singleLevel"/>
    <w:tmpl w:val="9C501F9C"/>
    <w:lvl w:ilvl="0">
      <w:start w:val="1"/>
      <w:numFmt w:val="decimal"/>
      <w:lvlText w:val="%1."/>
      <w:lvlJc w:val="left"/>
      <w:pPr>
        <w:tabs>
          <w:tab w:val="num" w:pos="643"/>
        </w:tabs>
        <w:ind w:left="643" w:hanging="360"/>
      </w:pPr>
    </w:lvl>
  </w:abstractNum>
  <w:abstractNum w:abstractNumId="4">
    <w:nsid w:val="FFFFFF80"/>
    <w:multiLevelType w:val="singleLevel"/>
    <w:tmpl w:val="4002FE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22F0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5CC4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CE5B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E3C0C34"/>
    <w:lvl w:ilvl="0">
      <w:start w:val="1"/>
      <w:numFmt w:val="decimal"/>
      <w:lvlText w:val="%1."/>
      <w:lvlJc w:val="left"/>
      <w:pPr>
        <w:tabs>
          <w:tab w:val="num" w:pos="360"/>
        </w:tabs>
        <w:ind w:left="360" w:hanging="360"/>
      </w:pPr>
    </w:lvl>
  </w:abstractNum>
  <w:abstractNum w:abstractNumId="9">
    <w:nsid w:val="FFFFFF89"/>
    <w:multiLevelType w:val="singleLevel"/>
    <w:tmpl w:val="C7407132"/>
    <w:lvl w:ilvl="0">
      <w:start w:val="1"/>
      <w:numFmt w:val="bullet"/>
      <w:lvlText w:val=""/>
      <w:lvlJc w:val="left"/>
      <w:pPr>
        <w:tabs>
          <w:tab w:val="num" w:pos="360"/>
        </w:tabs>
        <w:ind w:left="360" w:hanging="360"/>
      </w:pPr>
      <w:rPr>
        <w:rFonts w:ascii="Symbol" w:hAnsi="Symbol" w:hint="default"/>
      </w:rPr>
    </w:lvl>
  </w:abstractNum>
  <w:abstractNum w:abstractNumId="10">
    <w:nsid w:val="0CDB6A85"/>
    <w:multiLevelType w:val="hybridMultilevel"/>
    <w:tmpl w:val="00FADC12"/>
    <w:lvl w:ilvl="0" w:tplc="185CC774">
      <w:start w:val="1"/>
      <w:numFmt w:val="bullet"/>
      <w:pStyle w:val="Pupuce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BA4FD4"/>
    <w:multiLevelType w:val="hybridMultilevel"/>
    <w:tmpl w:val="733A0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775EE3"/>
    <w:multiLevelType w:val="hybridMultilevel"/>
    <w:tmpl w:val="F76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C439F6"/>
    <w:multiLevelType w:val="hybridMultilevel"/>
    <w:tmpl w:val="C906A42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2"/>
  </w:num>
  <w:num w:numId="2">
    <w:abstractNumId w:val="10"/>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1024"/>
  <w:stylePaneSortMethod w:val="00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13520"/>
    <w:rsid w:val="000C5553"/>
    <w:rsid w:val="00223154"/>
    <w:rsid w:val="00292CF3"/>
    <w:rsid w:val="003864A9"/>
    <w:rsid w:val="00475DCF"/>
    <w:rsid w:val="004A5FDF"/>
    <w:rsid w:val="00566288"/>
    <w:rsid w:val="00597906"/>
    <w:rsid w:val="00655E16"/>
    <w:rsid w:val="0067554F"/>
    <w:rsid w:val="00836A5B"/>
    <w:rsid w:val="00844399"/>
    <w:rsid w:val="008F16E8"/>
    <w:rsid w:val="00A608C5"/>
    <w:rsid w:val="00B01C7E"/>
    <w:rsid w:val="00B21CF7"/>
    <w:rsid w:val="00BC18B7"/>
    <w:rsid w:val="00BD3558"/>
    <w:rsid w:val="00C111D2"/>
    <w:rsid w:val="00CA6B66"/>
    <w:rsid w:val="00EC0BF7"/>
    <w:rsid w:val="00F13520"/>
    <w:rsid w:val="00F655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520"/>
    <w:pPr>
      <w:spacing w:after="100" w:line="276" w:lineRule="auto"/>
    </w:pPr>
    <w:rPr>
      <w:rFonts w:cs="Times New Roman"/>
      <w:snapToGrid w:val="0"/>
      <w:sz w:val="22"/>
      <w:szCs w:val="22"/>
    </w:rPr>
  </w:style>
  <w:style w:type="paragraph" w:styleId="Heading1">
    <w:name w:val="heading 1"/>
    <w:basedOn w:val="Normal"/>
    <w:next w:val="Normal"/>
    <w:link w:val="Heading1Char"/>
    <w:uiPriority w:val="99"/>
    <w:qFormat/>
    <w:rsid w:val="00F13520"/>
    <w:pPr>
      <w:keepNext/>
      <w:spacing w:before="240" w:after="60" w:line="240" w:lineRule="auto"/>
      <w:outlineLvl w:val="0"/>
    </w:pPr>
    <w:rPr>
      <w:rFonts w:ascii="Arial" w:hAnsi="Arial" w:cs="Arial"/>
      <w:b/>
      <w:bCs/>
      <w:caps/>
      <w:color w:val="4F81BD"/>
      <w:kern w:val="32"/>
      <w:sz w:val="32"/>
      <w:szCs w:val="32"/>
      <w:lang w:val="en-US"/>
    </w:rPr>
  </w:style>
  <w:style w:type="paragraph" w:styleId="Heading2">
    <w:name w:val="heading 2"/>
    <w:basedOn w:val="Normal"/>
    <w:next w:val="Normal"/>
    <w:link w:val="Heading2Char"/>
    <w:uiPriority w:val="99"/>
    <w:qFormat/>
    <w:rsid w:val="00F13520"/>
    <w:pPr>
      <w:keepNext/>
      <w:spacing w:before="240" w:after="60" w:line="240" w:lineRule="auto"/>
      <w:outlineLvl w:val="1"/>
    </w:pPr>
    <w:rPr>
      <w:rFonts w:ascii="Arial" w:hAnsi="Arial" w:cs="Arial"/>
      <w:b/>
      <w:bCs/>
      <w:iCs/>
      <w:sz w:val="28"/>
      <w:szCs w:val="28"/>
      <w:lang w:val="en-US"/>
    </w:rPr>
  </w:style>
  <w:style w:type="paragraph" w:styleId="Heading4">
    <w:name w:val="heading 4"/>
    <w:basedOn w:val="Normal"/>
    <w:next w:val="Normal"/>
    <w:link w:val="Heading4Char"/>
    <w:uiPriority w:val="9"/>
    <w:unhideWhenUsed/>
    <w:qFormat/>
    <w:rsid w:val="00F13520"/>
    <w:pPr>
      <w:spacing w:before="60" w:after="0" w:line="281" w:lineRule="auto"/>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520"/>
    <w:rPr>
      <w:rFonts w:asciiTheme="majorHAnsi" w:eastAsiaTheme="majorEastAsia" w:hAnsiTheme="majorHAnsi" w:cstheme="majorBidi"/>
      <w:b/>
      <w:bCs/>
      <w:snapToGrid w:val="0"/>
      <w:kern w:val="32"/>
      <w:sz w:val="32"/>
      <w:szCs w:val="32"/>
    </w:rPr>
  </w:style>
  <w:style w:type="character" w:customStyle="1" w:styleId="Heading2Char">
    <w:name w:val="Heading 2 Char"/>
    <w:basedOn w:val="DefaultParagraphFont"/>
    <w:link w:val="Heading2"/>
    <w:uiPriority w:val="9"/>
    <w:semiHidden/>
    <w:rsid w:val="00F13520"/>
    <w:rPr>
      <w:rFonts w:asciiTheme="majorHAnsi" w:eastAsiaTheme="majorEastAsia" w:hAnsiTheme="majorHAnsi" w:cstheme="majorBidi"/>
      <w:b/>
      <w:bCs/>
      <w:i/>
      <w:iCs/>
      <w:snapToGrid w:val="0"/>
      <w:sz w:val="28"/>
      <w:szCs w:val="28"/>
    </w:rPr>
  </w:style>
  <w:style w:type="paragraph" w:styleId="Header">
    <w:name w:val="header"/>
    <w:basedOn w:val="Normal"/>
    <w:link w:val="HeaderChar"/>
    <w:uiPriority w:val="99"/>
    <w:rsid w:val="00F13520"/>
    <w:pPr>
      <w:tabs>
        <w:tab w:val="center" w:pos="4320"/>
        <w:tab w:val="right" w:pos="8640"/>
      </w:tabs>
      <w:spacing w:after="120" w:line="240" w:lineRule="auto"/>
    </w:pPr>
    <w:rPr>
      <w:rFonts w:ascii="Arial" w:hAnsi="Arial"/>
      <w:szCs w:val="24"/>
      <w:lang w:val="en-US"/>
    </w:rPr>
  </w:style>
  <w:style w:type="character" w:customStyle="1" w:styleId="HeaderChar">
    <w:name w:val="Header Char"/>
    <w:basedOn w:val="DefaultParagraphFont"/>
    <w:link w:val="Header"/>
    <w:uiPriority w:val="99"/>
    <w:semiHidden/>
    <w:rsid w:val="00F13520"/>
    <w:rPr>
      <w:rFonts w:cs="Times New Roman"/>
      <w:snapToGrid w:val="0"/>
      <w:sz w:val="22"/>
      <w:szCs w:val="22"/>
    </w:rPr>
  </w:style>
  <w:style w:type="paragraph" w:styleId="Footer">
    <w:name w:val="footer"/>
    <w:basedOn w:val="Normal"/>
    <w:link w:val="FooterChar"/>
    <w:uiPriority w:val="99"/>
    <w:rsid w:val="00F13520"/>
    <w:pPr>
      <w:tabs>
        <w:tab w:val="center" w:pos="4320"/>
        <w:tab w:val="right" w:pos="8640"/>
      </w:tabs>
      <w:spacing w:after="120" w:line="240" w:lineRule="auto"/>
    </w:pPr>
    <w:rPr>
      <w:rFonts w:ascii="Arial" w:hAnsi="Arial"/>
      <w:sz w:val="18"/>
      <w:szCs w:val="24"/>
      <w:lang w:val="en-US"/>
    </w:rPr>
  </w:style>
  <w:style w:type="character" w:customStyle="1" w:styleId="FooterChar">
    <w:name w:val="Footer Char"/>
    <w:basedOn w:val="DefaultParagraphFont"/>
    <w:link w:val="Footer"/>
    <w:uiPriority w:val="99"/>
    <w:semiHidden/>
    <w:rsid w:val="00F13520"/>
    <w:rPr>
      <w:rFonts w:cs="Times New Roman"/>
      <w:snapToGrid w:val="0"/>
      <w:sz w:val="22"/>
      <w:szCs w:val="22"/>
    </w:rPr>
  </w:style>
  <w:style w:type="character" w:styleId="PageNumber">
    <w:name w:val="page number"/>
    <w:basedOn w:val="DefaultParagraphFont"/>
    <w:uiPriority w:val="99"/>
    <w:rsid w:val="00F13520"/>
    <w:rPr>
      <w:rFonts w:ascii="Arial" w:hAnsi="Arial" w:cs="Times New Roman"/>
      <w:sz w:val="16"/>
    </w:rPr>
  </w:style>
  <w:style w:type="character" w:styleId="Hyperlink">
    <w:name w:val="Hyperlink"/>
    <w:basedOn w:val="DefaultParagraphFont"/>
    <w:uiPriority w:val="99"/>
    <w:rsid w:val="00F13520"/>
    <w:rPr>
      <w:rFonts w:cs="Times New Roman"/>
      <w:color w:val="0000FF"/>
      <w:u w:val="single"/>
    </w:rPr>
  </w:style>
  <w:style w:type="paragraph" w:styleId="ListParagraph">
    <w:name w:val="List Paragraph"/>
    <w:basedOn w:val="Normal"/>
    <w:uiPriority w:val="99"/>
    <w:qFormat/>
    <w:rsid w:val="00F13520"/>
    <w:pPr>
      <w:spacing w:after="120" w:line="240" w:lineRule="auto"/>
      <w:ind w:left="720"/>
      <w:contextualSpacing/>
    </w:pPr>
    <w:rPr>
      <w:szCs w:val="24"/>
      <w:lang w:val="en-US"/>
    </w:rPr>
  </w:style>
  <w:style w:type="character" w:styleId="FootnoteReference">
    <w:name w:val="footnote reference"/>
    <w:basedOn w:val="DefaultParagraphFont"/>
    <w:uiPriority w:val="99"/>
    <w:rsid w:val="00F13520"/>
    <w:rPr>
      <w:rFonts w:cs="Times New Roman"/>
      <w:vertAlign w:val="superscript"/>
    </w:rPr>
  </w:style>
  <w:style w:type="character" w:customStyle="1" w:styleId="Heading4Char">
    <w:name w:val="Heading 4 Char"/>
    <w:basedOn w:val="DefaultParagraphFont"/>
    <w:link w:val="Heading4"/>
    <w:uiPriority w:val="9"/>
    <w:rsid w:val="00F13520"/>
    <w:rPr>
      <w:rFonts w:cs="Times New Roman"/>
      <w:b/>
      <w:snapToGrid w:val="0"/>
      <w:sz w:val="22"/>
      <w:szCs w:val="24"/>
    </w:rPr>
  </w:style>
  <w:style w:type="paragraph" w:customStyle="1" w:styleId="Pupuce1">
    <w:name w:val="Pupuce1"/>
    <w:qFormat/>
    <w:rsid w:val="00F13520"/>
    <w:pPr>
      <w:numPr>
        <w:numId w:val="2"/>
      </w:numPr>
      <w:ind w:left="544" w:hanging="357"/>
    </w:pPr>
    <w:rPr>
      <w:rFonts w:cs="Times New Roman"/>
      <w:snapToGrid w:val="0"/>
      <w:sz w:val="22"/>
      <w:szCs w:val="24"/>
    </w:rPr>
  </w:style>
</w:styles>
</file>

<file path=word/webSettings.xml><?xml version="1.0" encoding="utf-8"?>
<w:webSettings xmlns:r="http://schemas.openxmlformats.org/officeDocument/2006/relationships" xmlns:w="http://schemas.openxmlformats.org/wordprocessingml/2006/main">
  <w:divs>
    <w:div w:id="1312755547">
      <w:bodyDiv w:val="1"/>
      <w:marLeft w:val="0"/>
      <w:marRight w:val="0"/>
      <w:marTop w:val="0"/>
      <w:marBottom w:val="100"/>
      <w:divBdr>
        <w:top w:val="none" w:sz="0" w:space="0" w:color="auto"/>
        <w:left w:val="none" w:sz="0" w:space="0" w:color="auto"/>
        <w:bottom w:val="none" w:sz="0" w:space="0" w:color="auto"/>
        <w:right w:val="none" w:sz="0" w:space="0" w:color="auto"/>
      </w:divBdr>
      <w:divsChild>
        <w:div w:id="929896805">
          <w:marLeft w:val="0"/>
          <w:marRight w:val="0"/>
          <w:marTop w:val="0"/>
          <w:marBottom w:val="0"/>
          <w:divBdr>
            <w:top w:val="none" w:sz="0" w:space="0" w:color="auto"/>
            <w:left w:val="none" w:sz="0" w:space="0" w:color="auto"/>
            <w:bottom w:val="none" w:sz="0" w:space="0" w:color="auto"/>
            <w:right w:val="none" w:sz="0" w:space="0" w:color="auto"/>
          </w:divBdr>
          <w:divsChild>
            <w:div w:id="1867673616">
              <w:marLeft w:val="0"/>
              <w:marRight w:val="0"/>
              <w:marTop w:val="100"/>
              <w:marBottom w:val="100"/>
              <w:divBdr>
                <w:top w:val="single" w:sz="4" w:space="0" w:color="878C92"/>
                <w:left w:val="single" w:sz="4" w:space="0" w:color="878C92"/>
                <w:bottom w:val="single" w:sz="4" w:space="0" w:color="878C92"/>
                <w:right w:val="single" w:sz="4" w:space="0" w:color="878C92"/>
              </w:divBdr>
              <w:divsChild>
                <w:div w:id="740179882">
                  <w:marLeft w:val="0"/>
                  <w:marRight w:val="0"/>
                  <w:marTop w:val="0"/>
                  <w:marBottom w:val="0"/>
                  <w:divBdr>
                    <w:top w:val="none" w:sz="0" w:space="0" w:color="auto"/>
                    <w:left w:val="none" w:sz="0" w:space="0" w:color="auto"/>
                    <w:bottom w:val="none" w:sz="0" w:space="0" w:color="auto"/>
                    <w:right w:val="none" w:sz="0" w:space="0" w:color="auto"/>
                  </w:divBdr>
                  <w:divsChild>
                    <w:div w:id="482822103">
                      <w:marLeft w:val="100"/>
                      <w:marRight w:val="0"/>
                      <w:marTop w:val="0"/>
                      <w:marBottom w:val="0"/>
                      <w:divBdr>
                        <w:top w:val="single" w:sz="4" w:space="0" w:color="9A2B2A"/>
                        <w:left w:val="single" w:sz="4" w:space="0" w:color="9A2B2A"/>
                        <w:bottom w:val="single" w:sz="4" w:space="0" w:color="9A2B2A"/>
                        <w:right w:val="single" w:sz="4" w:space="0" w:color="9A2B2A"/>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crosoft.com/france/acheter/s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1014</Words>
  <Characters>5583</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INFOSTART</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c:creator>
  <cp:lastModifiedBy>Mathieu Bourreau</cp:lastModifiedBy>
  <cp:revision>2</cp:revision>
  <dcterms:created xsi:type="dcterms:W3CDTF">2009-02-25T22:10:00Z</dcterms:created>
  <dcterms:modified xsi:type="dcterms:W3CDTF">2009-02-25T22:10:00Z</dcterms:modified>
</cp:coreProperties>
</file>