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263" w:rsidRPr="00437808" w:rsidRDefault="00E83263" w:rsidP="00A179D9">
      <w:pPr>
        <w:pStyle w:val="Title"/>
      </w:pPr>
      <w:r w:rsidRPr="00437808">
        <w:t>Microsoft Forefront Client Security</w:t>
      </w:r>
    </w:p>
    <w:p w:rsidR="00604FC5" w:rsidRPr="00437808" w:rsidRDefault="00E83263" w:rsidP="00A179D9">
      <w:pPr>
        <w:pStyle w:val="Title"/>
      </w:pPr>
      <w:r w:rsidRPr="00437808">
        <w:t>TCO Analysis</w:t>
      </w:r>
    </w:p>
    <w:p w:rsidR="00A179D9" w:rsidRPr="00437808" w:rsidRDefault="00A179D9" w:rsidP="00A179D9"/>
    <w:p w:rsidR="00A179D9" w:rsidRPr="00437808" w:rsidRDefault="00A179D9" w:rsidP="00A179D9"/>
    <w:p w:rsidR="00A179D9" w:rsidRPr="00437808" w:rsidRDefault="00A179D9" w:rsidP="00A179D9"/>
    <w:p w:rsidR="00A179D9" w:rsidRPr="00437808" w:rsidRDefault="00A179D9" w:rsidP="00C942E6">
      <w:pPr>
        <w:pBdr>
          <w:top w:val="single" w:sz="4" w:space="2" w:color="auto"/>
        </w:pBdr>
        <w:rPr>
          <w:b/>
        </w:rPr>
      </w:pPr>
      <w:r w:rsidRPr="00437808">
        <w:rPr>
          <w:b/>
        </w:rPr>
        <w:t>Abstract</w:t>
      </w:r>
    </w:p>
    <w:p w:rsidR="00A34905" w:rsidRPr="00437808" w:rsidRDefault="00A34905" w:rsidP="00A34905">
      <w:pPr>
        <w:spacing w:after="0"/>
      </w:pPr>
      <w:r w:rsidRPr="00437808">
        <w:t>Organizations are constantly challeng</w:t>
      </w:r>
      <w:r w:rsidR="00D35E1D">
        <w:t>e</w:t>
      </w:r>
      <w:r w:rsidRPr="00437808">
        <w:t>d to fortify and exte</w:t>
      </w:r>
      <w:r w:rsidR="00EE0D6C" w:rsidRPr="00437808">
        <w:t xml:space="preserve">nd security solutions to reduce </w:t>
      </w:r>
      <w:r w:rsidRPr="00437808">
        <w:t xml:space="preserve">productivity, asset, and information losses. Microsoft® Forefront™ Client Security helps enterprises meet these challenges by reducing vulnerabilities and lowering total cost of ownership (TCO). This paper summarizes TCO findings from a </w:t>
      </w:r>
      <w:r w:rsidR="005A2F2D">
        <w:t xml:space="preserve">survey of </w:t>
      </w:r>
      <w:r w:rsidR="00350E78">
        <w:t xml:space="preserve">select </w:t>
      </w:r>
      <w:r w:rsidR="005A2F2D">
        <w:t>FCS customers.</w:t>
      </w:r>
    </w:p>
    <w:p w:rsidR="00A34905" w:rsidRPr="00437808" w:rsidRDefault="00A34905" w:rsidP="00A179D9">
      <w:pPr>
        <w:pBdr>
          <w:bottom w:val="single" w:sz="4" w:space="1" w:color="auto"/>
        </w:pBdr>
      </w:pPr>
    </w:p>
    <w:p w:rsidR="00A179D9" w:rsidRPr="00437808" w:rsidRDefault="00F20243" w:rsidP="00A179D9">
      <w:pPr>
        <w:pBdr>
          <w:bottom w:val="single" w:sz="4" w:space="1" w:color="auto"/>
        </w:pBdr>
      </w:pPr>
      <w:r w:rsidRPr="00437808">
        <w:t>June</w:t>
      </w:r>
      <w:r w:rsidR="00A179D9" w:rsidRPr="00437808">
        <w:t xml:space="preserve"> 2008</w:t>
      </w:r>
    </w:p>
    <w:p w:rsidR="00A179D9" w:rsidRPr="00437808" w:rsidRDefault="00A179D9" w:rsidP="00A179D9">
      <w:pPr>
        <w:jc w:val="right"/>
      </w:pPr>
    </w:p>
    <w:p w:rsidR="00A179D9" w:rsidRPr="00437808" w:rsidRDefault="006A485B" w:rsidP="00A179D9">
      <w:pPr>
        <w:jc w:val="right"/>
      </w:pPr>
      <w:r w:rsidRPr="00437808">
        <w:rPr>
          <w:noProof/>
        </w:rPr>
        <w:drawing>
          <wp:inline distT="0" distB="0" distL="0" distR="0">
            <wp:extent cx="3710940" cy="1042035"/>
            <wp:effectExtent l="19050" t="0" r="3810" b="0"/>
            <wp:docPr id="3" name="Picture 3" descr="https://brandtools.partners.extranet.microsoft.com/NR/rdonlyres/777429BD-C11A-4EBC-8074-B339439CBF83/9814/Forefront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randtools.partners.extranet.microsoft.com/NR/rdonlyres/777429BD-C11A-4EBC-8074-B339439CBF83/9814/Forefront_h_rgb.png"/>
                    <pic:cNvPicPr>
                      <a:picLocks noChangeAspect="1" noChangeArrowheads="1"/>
                    </pic:cNvPicPr>
                  </pic:nvPicPr>
                  <pic:blipFill>
                    <a:blip r:embed="rId8"/>
                    <a:srcRect/>
                    <a:stretch>
                      <a:fillRect/>
                    </a:stretch>
                  </pic:blipFill>
                  <pic:spPr bwMode="auto">
                    <a:xfrm>
                      <a:off x="0" y="0"/>
                      <a:ext cx="3710940" cy="1042035"/>
                    </a:xfrm>
                    <a:prstGeom prst="rect">
                      <a:avLst/>
                    </a:prstGeom>
                    <a:noFill/>
                    <a:ln w="9525">
                      <a:noFill/>
                      <a:miter lim="800000"/>
                      <a:headEnd/>
                      <a:tailEnd/>
                    </a:ln>
                  </pic:spPr>
                </pic:pic>
              </a:graphicData>
            </a:graphic>
          </wp:inline>
        </w:drawing>
      </w:r>
    </w:p>
    <w:p w:rsidR="00A179D9" w:rsidRPr="00437808" w:rsidRDefault="00A179D9">
      <w:r w:rsidRPr="00437808">
        <w:br w:type="page"/>
      </w:r>
    </w:p>
    <w:p w:rsidR="00A179D9" w:rsidRPr="00437808" w:rsidRDefault="00960531" w:rsidP="00960531">
      <w:pPr>
        <w:rPr>
          <w:rFonts w:asciiTheme="majorHAnsi" w:hAnsiTheme="majorHAnsi"/>
          <w:b/>
          <w:color w:val="365F91" w:themeColor="accent1" w:themeShade="BF"/>
          <w:sz w:val="28"/>
          <w:szCs w:val="28"/>
        </w:rPr>
      </w:pPr>
      <w:r w:rsidRPr="00437808">
        <w:rPr>
          <w:rFonts w:asciiTheme="majorHAnsi" w:hAnsiTheme="majorHAnsi"/>
          <w:b/>
          <w:color w:val="365F91" w:themeColor="accent1" w:themeShade="BF"/>
          <w:sz w:val="28"/>
          <w:szCs w:val="28"/>
        </w:rPr>
        <w:lastRenderedPageBreak/>
        <w:t>Table of Contents</w:t>
      </w:r>
    </w:p>
    <w:p w:rsidR="00C75C9B" w:rsidRPr="00C75C9B" w:rsidRDefault="007F7745">
      <w:pPr>
        <w:pStyle w:val="TOC1"/>
        <w:tabs>
          <w:tab w:val="right" w:pos="9062"/>
        </w:tabs>
        <w:rPr>
          <w:rFonts w:ascii="Times New Roman" w:hAnsi="Times New Roman" w:cs="Times New Roman"/>
          <w:b w:val="0"/>
          <w:bCs w:val="0"/>
          <w:noProof/>
          <w:sz w:val="22"/>
          <w:szCs w:val="22"/>
        </w:rPr>
      </w:pPr>
      <w:r w:rsidRPr="007F7745">
        <w:rPr>
          <w:rFonts w:ascii="Times New Roman" w:hAnsi="Times New Roman" w:cs="Times New Roman"/>
          <w:bCs w:val="0"/>
          <w:caps/>
        </w:rPr>
        <w:fldChar w:fldCharType="begin"/>
      </w:r>
      <w:r w:rsidR="00523952" w:rsidRPr="00C75C9B">
        <w:rPr>
          <w:rFonts w:ascii="Times New Roman" w:hAnsi="Times New Roman" w:cs="Times New Roman"/>
          <w:bCs w:val="0"/>
          <w:caps/>
        </w:rPr>
        <w:instrText xml:space="preserve"> TOC \o "1-2" \h \z \u </w:instrText>
      </w:r>
      <w:r w:rsidRPr="007F7745">
        <w:rPr>
          <w:rFonts w:ascii="Times New Roman" w:hAnsi="Times New Roman" w:cs="Times New Roman"/>
          <w:bCs w:val="0"/>
          <w:caps/>
        </w:rPr>
        <w:fldChar w:fldCharType="separate"/>
      </w:r>
      <w:hyperlink w:anchor="_Toc200164797" w:history="1">
        <w:r w:rsidR="00C75C9B" w:rsidRPr="00C75C9B">
          <w:rPr>
            <w:rStyle w:val="Hyperlink"/>
            <w:rFonts w:ascii="Times New Roman" w:hAnsi="Times New Roman" w:cs="Times New Roman"/>
            <w:noProof/>
          </w:rPr>
          <w:t>Executive Summary</w:t>
        </w:r>
        <w:r w:rsidR="00C75C9B" w:rsidRPr="00C75C9B">
          <w:rPr>
            <w:rFonts w:ascii="Times New Roman" w:hAnsi="Times New Roman" w:cs="Times New Roman"/>
            <w:noProof/>
            <w:webHidden/>
          </w:rPr>
          <w:tab/>
        </w:r>
        <w:r w:rsidRPr="00C75C9B">
          <w:rPr>
            <w:rFonts w:ascii="Times New Roman" w:hAnsi="Times New Roman" w:cs="Times New Roman"/>
            <w:noProof/>
            <w:webHidden/>
          </w:rPr>
          <w:fldChar w:fldCharType="begin"/>
        </w:r>
        <w:r w:rsidR="00C75C9B" w:rsidRPr="00C75C9B">
          <w:rPr>
            <w:rFonts w:ascii="Times New Roman" w:hAnsi="Times New Roman" w:cs="Times New Roman"/>
            <w:noProof/>
            <w:webHidden/>
          </w:rPr>
          <w:instrText xml:space="preserve"> PAGEREF _Toc200164797 \h </w:instrText>
        </w:r>
        <w:r w:rsidRPr="00C75C9B">
          <w:rPr>
            <w:rFonts w:ascii="Times New Roman" w:hAnsi="Times New Roman" w:cs="Times New Roman"/>
            <w:noProof/>
            <w:webHidden/>
          </w:rPr>
        </w:r>
        <w:r w:rsidRPr="00C75C9B">
          <w:rPr>
            <w:rFonts w:ascii="Times New Roman" w:hAnsi="Times New Roman" w:cs="Times New Roman"/>
            <w:noProof/>
            <w:webHidden/>
          </w:rPr>
          <w:fldChar w:fldCharType="separate"/>
        </w:r>
        <w:r w:rsidR="00C75C9B" w:rsidRPr="00C75C9B">
          <w:rPr>
            <w:rFonts w:ascii="Times New Roman" w:hAnsi="Times New Roman" w:cs="Times New Roman"/>
            <w:noProof/>
            <w:webHidden/>
          </w:rPr>
          <w:t>3</w:t>
        </w:r>
        <w:r w:rsidRPr="00C75C9B">
          <w:rPr>
            <w:rFonts w:ascii="Times New Roman" w:hAnsi="Times New Roman" w:cs="Times New Roman"/>
            <w:noProof/>
            <w:webHidden/>
          </w:rPr>
          <w:fldChar w:fldCharType="end"/>
        </w:r>
      </w:hyperlink>
    </w:p>
    <w:p w:rsidR="00C75C9B" w:rsidRPr="00C75C9B" w:rsidRDefault="007F7745">
      <w:pPr>
        <w:pStyle w:val="TOC1"/>
        <w:tabs>
          <w:tab w:val="right" w:pos="9062"/>
        </w:tabs>
        <w:rPr>
          <w:rFonts w:ascii="Times New Roman" w:hAnsi="Times New Roman" w:cs="Times New Roman"/>
          <w:b w:val="0"/>
          <w:bCs w:val="0"/>
          <w:noProof/>
          <w:sz w:val="22"/>
          <w:szCs w:val="22"/>
        </w:rPr>
      </w:pPr>
      <w:hyperlink w:anchor="_Toc200164798" w:history="1">
        <w:r w:rsidR="00C75C9B" w:rsidRPr="00C75C9B">
          <w:rPr>
            <w:rStyle w:val="Hyperlink"/>
            <w:rFonts w:ascii="Times New Roman" w:hAnsi="Times New Roman" w:cs="Times New Roman"/>
            <w:noProof/>
          </w:rPr>
          <w:t>Internet Exposure Presents Serious Desktop Security Threats</w:t>
        </w:r>
        <w:r w:rsidR="00C75C9B" w:rsidRPr="00C75C9B">
          <w:rPr>
            <w:rFonts w:ascii="Times New Roman" w:hAnsi="Times New Roman" w:cs="Times New Roman"/>
            <w:noProof/>
            <w:webHidden/>
          </w:rPr>
          <w:tab/>
        </w:r>
        <w:r w:rsidRPr="00C75C9B">
          <w:rPr>
            <w:rFonts w:ascii="Times New Roman" w:hAnsi="Times New Roman" w:cs="Times New Roman"/>
            <w:noProof/>
            <w:webHidden/>
          </w:rPr>
          <w:fldChar w:fldCharType="begin"/>
        </w:r>
        <w:r w:rsidR="00C75C9B" w:rsidRPr="00C75C9B">
          <w:rPr>
            <w:rFonts w:ascii="Times New Roman" w:hAnsi="Times New Roman" w:cs="Times New Roman"/>
            <w:noProof/>
            <w:webHidden/>
          </w:rPr>
          <w:instrText xml:space="preserve"> PAGEREF _Toc200164798 \h </w:instrText>
        </w:r>
        <w:r w:rsidRPr="00C75C9B">
          <w:rPr>
            <w:rFonts w:ascii="Times New Roman" w:hAnsi="Times New Roman" w:cs="Times New Roman"/>
            <w:noProof/>
            <w:webHidden/>
          </w:rPr>
        </w:r>
        <w:r w:rsidRPr="00C75C9B">
          <w:rPr>
            <w:rFonts w:ascii="Times New Roman" w:hAnsi="Times New Roman" w:cs="Times New Roman"/>
            <w:noProof/>
            <w:webHidden/>
          </w:rPr>
          <w:fldChar w:fldCharType="separate"/>
        </w:r>
        <w:r w:rsidR="00C75C9B" w:rsidRPr="00C75C9B">
          <w:rPr>
            <w:rFonts w:ascii="Times New Roman" w:hAnsi="Times New Roman" w:cs="Times New Roman"/>
            <w:noProof/>
            <w:webHidden/>
          </w:rPr>
          <w:t>4</w:t>
        </w:r>
        <w:r w:rsidRPr="00C75C9B">
          <w:rPr>
            <w:rFonts w:ascii="Times New Roman" w:hAnsi="Times New Roman" w:cs="Times New Roman"/>
            <w:noProof/>
            <w:webHidden/>
          </w:rPr>
          <w:fldChar w:fldCharType="end"/>
        </w:r>
      </w:hyperlink>
    </w:p>
    <w:p w:rsidR="00C75C9B" w:rsidRPr="00C75C9B" w:rsidRDefault="007F7745">
      <w:pPr>
        <w:pStyle w:val="TOC2"/>
        <w:tabs>
          <w:tab w:val="right" w:pos="9062"/>
        </w:tabs>
        <w:rPr>
          <w:rFonts w:ascii="Times New Roman" w:hAnsi="Times New Roman" w:cs="Times New Roman"/>
          <w:i w:val="0"/>
          <w:iCs w:val="0"/>
          <w:noProof/>
          <w:sz w:val="22"/>
          <w:szCs w:val="22"/>
        </w:rPr>
      </w:pPr>
      <w:hyperlink w:anchor="_Toc200164799" w:history="1">
        <w:r w:rsidR="00C75C9B" w:rsidRPr="00C75C9B">
          <w:rPr>
            <w:rStyle w:val="Hyperlink"/>
            <w:rFonts w:ascii="Times New Roman" w:hAnsi="Times New Roman" w:cs="Times New Roman"/>
            <w:noProof/>
          </w:rPr>
          <w:t>Existing Products Lack Critical Features</w:t>
        </w:r>
        <w:r w:rsidR="00C75C9B" w:rsidRPr="00C75C9B">
          <w:rPr>
            <w:rFonts w:ascii="Times New Roman" w:hAnsi="Times New Roman" w:cs="Times New Roman"/>
            <w:noProof/>
            <w:webHidden/>
          </w:rPr>
          <w:tab/>
        </w:r>
        <w:r w:rsidRPr="00C75C9B">
          <w:rPr>
            <w:rFonts w:ascii="Times New Roman" w:hAnsi="Times New Roman" w:cs="Times New Roman"/>
            <w:noProof/>
            <w:webHidden/>
          </w:rPr>
          <w:fldChar w:fldCharType="begin"/>
        </w:r>
        <w:r w:rsidR="00C75C9B" w:rsidRPr="00C75C9B">
          <w:rPr>
            <w:rFonts w:ascii="Times New Roman" w:hAnsi="Times New Roman" w:cs="Times New Roman"/>
            <w:noProof/>
            <w:webHidden/>
          </w:rPr>
          <w:instrText xml:space="preserve"> PAGEREF _Toc200164799 \h </w:instrText>
        </w:r>
        <w:r w:rsidRPr="00C75C9B">
          <w:rPr>
            <w:rFonts w:ascii="Times New Roman" w:hAnsi="Times New Roman" w:cs="Times New Roman"/>
            <w:noProof/>
            <w:webHidden/>
          </w:rPr>
        </w:r>
        <w:r w:rsidRPr="00C75C9B">
          <w:rPr>
            <w:rFonts w:ascii="Times New Roman" w:hAnsi="Times New Roman" w:cs="Times New Roman"/>
            <w:noProof/>
            <w:webHidden/>
          </w:rPr>
          <w:fldChar w:fldCharType="separate"/>
        </w:r>
        <w:r w:rsidR="00C75C9B" w:rsidRPr="00C75C9B">
          <w:rPr>
            <w:rFonts w:ascii="Times New Roman" w:hAnsi="Times New Roman" w:cs="Times New Roman"/>
            <w:noProof/>
            <w:webHidden/>
          </w:rPr>
          <w:t>5</w:t>
        </w:r>
        <w:r w:rsidRPr="00C75C9B">
          <w:rPr>
            <w:rFonts w:ascii="Times New Roman" w:hAnsi="Times New Roman" w:cs="Times New Roman"/>
            <w:noProof/>
            <w:webHidden/>
          </w:rPr>
          <w:fldChar w:fldCharType="end"/>
        </w:r>
      </w:hyperlink>
    </w:p>
    <w:p w:rsidR="00C75C9B" w:rsidRPr="00C75C9B" w:rsidRDefault="007F7745">
      <w:pPr>
        <w:pStyle w:val="TOC1"/>
        <w:tabs>
          <w:tab w:val="right" w:pos="9062"/>
        </w:tabs>
        <w:rPr>
          <w:rFonts w:ascii="Times New Roman" w:hAnsi="Times New Roman" w:cs="Times New Roman"/>
          <w:b w:val="0"/>
          <w:bCs w:val="0"/>
          <w:noProof/>
          <w:sz w:val="22"/>
          <w:szCs w:val="22"/>
        </w:rPr>
      </w:pPr>
      <w:hyperlink w:anchor="_Toc200164800" w:history="1">
        <w:r w:rsidR="00C75C9B" w:rsidRPr="00C75C9B">
          <w:rPr>
            <w:rStyle w:val="Hyperlink"/>
            <w:rFonts w:ascii="Times New Roman" w:hAnsi="Times New Roman" w:cs="Times New Roman"/>
            <w:noProof/>
          </w:rPr>
          <w:t>A Proven Solution and Measurable TCO Reduction</w:t>
        </w:r>
        <w:r w:rsidR="00C75C9B" w:rsidRPr="00C75C9B">
          <w:rPr>
            <w:rFonts w:ascii="Times New Roman" w:hAnsi="Times New Roman" w:cs="Times New Roman"/>
            <w:noProof/>
            <w:webHidden/>
          </w:rPr>
          <w:tab/>
        </w:r>
        <w:r w:rsidRPr="00C75C9B">
          <w:rPr>
            <w:rFonts w:ascii="Times New Roman" w:hAnsi="Times New Roman" w:cs="Times New Roman"/>
            <w:noProof/>
            <w:webHidden/>
          </w:rPr>
          <w:fldChar w:fldCharType="begin"/>
        </w:r>
        <w:r w:rsidR="00C75C9B" w:rsidRPr="00C75C9B">
          <w:rPr>
            <w:rFonts w:ascii="Times New Roman" w:hAnsi="Times New Roman" w:cs="Times New Roman"/>
            <w:noProof/>
            <w:webHidden/>
          </w:rPr>
          <w:instrText xml:space="preserve"> PAGEREF _Toc200164800 \h </w:instrText>
        </w:r>
        <w:r w:rsidRPr="00C75C9B">
          <w:rPr>
            <w:rFonts w:ascii="Times New Roman" w:hAnsi="Times New Roman" w:cs="Times New Roman"/>
            <w:noProof/>
            <w:webHidden/>
          </w:rPr>
        </w:r>
        <w:r w:rsidRPr="00C75C9B">
          <w:rPr>
            <w:rFonts w:ascii="Times New Roman" w:hAnsi="Times New Roman" w:cs="Times New Roman"/>
            <w:noProof/>
            <w:webHidden/>
          </w:rPr>
          <w:fldChar w:fldCharType="separate"/>
        </w:r>
        <w:r w:rsidR="00C75C9B" w:rsidRPr="00C75C9B">
          <w:rPr>
            <w:rFonts w:ascii="Times New Roman" w:hAnsi="Times New Roman" w:cs="Times New Roman"/>
            <w:noProof/>
            <w:webHidden/>
          </w:rPr>
          <w:t>6</w:t>
        </w:r>
        <w:r w:rsidRPr="00C75C9B">
          <w:rPr>
            <w:rFonts w:ascii="Times New Roman" w:hAnsi="Times New Roman" w:cs="Times New Roman"/>
            <w:noProof/>
            <w:webHidden/>
          </w:rPr>
          <w:fldChar w:fldCharType="end"/>
        </w:r>
      </w:hyperlink>
    </w:p>
    <w:p w:rsidR="00C75C9B" w:rsidRPr="00C75C9B" w:rsidRDefault="007F7745">
      <w:pPr>
        <w:pStyle w:val="TOC2"/>
        <w:tabs>
          <w:tab w:val="right" w:pos="9062"/>
        </w:tabs>
        <w:rPr>
          <w:rFonts w:ascii="Times New Roman" w:hAnsi="Times New Roman" w:cs="Times New Roman"/>
          <w:i w:val="0"/>
          <w:iCs w:val="0"/>
          <w:noProof/>
          <w:sz w:val="22"/>
          <w:szCs w:val="22"/>
        </w:rPr>
      </w:pPr>
      <w:hyperlink w:anchor="_Toc200164801" w:history="1">
        <w:r w:rsidR="00C75C9B" w:rsidRPr="00C75C9B">
          <w:rPr>
            <w:rStyle w:val="Hyperlink"/>
            <w:rFonts w:ascii="Times New Roman" w:hAnsi="Times New Roman" w:cs="Times New Roman"/>
            <w:noProof/>
          </w:rPr>
          <w:t>Forefront Client Security Eliminates Threats</w:t>
        </w:r>
        <w:r w:rsidR="00C75C9B" w:rsidRPr="00C75C9B">
          <w:rPr>
            <w:rFonts w:ascii="Times New Roman" w:hAnsi="Times New Roman" w:cs="Times New Roman"/>
            <w:noProof/>
            <w:webHidden/>
          </w:rPr>
          <w:tab/>
        </w:r>
        <w:r w:rsidRPr="00C75C9B">
          <w:rPr>
            <w:rFonts w:ascii="Times New Roman" w:hAnsi="Times New Roman" w:cs="Times New Roman"/>
            <w:noProof/>
            <w:webHidden/>
          </w:rPr>
          <w:fldChar w:fldCharType="begin"/>
        </w:r>
        <w:r w:rsidR="00C75C9B" w:rsidRPr="00C75C9B">
          <w:rPr>
            <w:rFonts w:ascii="Times New Roman" w:hAnsi="Times New Roman" w:cs="Times New Roman"/>
            <w:noProof/>
            <w:webHidden/>
          </w:rPr>
          <w:instrText xml:space="preserve"> PAGEREF _Toc200164801 \h </w:instrText>
        </w:r>
        <w:r w:rsidRPr="00C75C9B">
          <w:rPr>
            <w:rFonts w:ascii="Times New Roman" w:hAnsi="Times New Roman" w:cs="Times New Roman"/>
            <w:noProof/>
            <w:webHidden/>
          </w:rPr>
        </w:r>
        <w:r w:rsidRPr="00C75C9B">
          <w:rPr>
            <w:rFonts w:ascii="Times New Roman" w:hAnsi="Times New Roman" w:cs="Times New Roman"/>
            <w:noProof/>
            <w:webHidden/>
          </w:rPr>
          <w:fldChar w:fldCharType="separate"/>
        </w:r>
        <w:r w:rsidR="00C75C9B" w:rsidRPr="00C75C9B">
          <w:rPr>
            <w:rFonts w:ascii="Times New Roman" w:hAnsi="Times New Roman" w:cs="Times New Roman"/>
            <w:noProof/>
            <w:webHidden/>
          </w:rPr>
          <w:t>7</w:t>
        </w:r>
        <w:r w:rsidRPr="00C75C9B">
          <w:rPr>
            <w:rFonts w:ascii="Times New Roman" w:hAnsi="Times New Roman" w:cs="Times New Roman"/>
            <w:noProof/>
            <w:webHidden/>
          </w:rPr>
          <w:fldChar w:fldCharType="end"/>
        </w:r>
      </w:hyperlink>
    </w:p>
    <w:p w:rsidR="00C75C9B" w:rsidRPr="00C75C9B" w:rsidRDefault="007F7745">
      <w:pPr>
        <w:pStyle w:val="TOC1"/>
        <w:tabs>
          <w:tab w:val="right" w:pos="9062"/>
        </w:tabs>
        <w:rPr>
          <w:rFonts w:ascii="Times New Roman" w:hAnsi="Times New Roman" w:cs="Times New Roman"/>
          <w:b w:val="0"/>
          <w:bCs w:val="0"/>
          <w:noProof/>
          <w:sz w:val="22"/>
          <w:szCs w:val="22"/>
        </w:rPr>
      </w:pPr>
      <w:hyperlink w:anchor="_Toc200164802" w:history="1">
        <w:r w:rsidR="00C75C9B" w:rsidRPr="00C75C9B">
          <w:rPr>
            <w:rStyle w:val="Hyperlink"/>
            <w:rFonts w:ascii="Times New Roman" w:hAnsi="Times New Roman" w:cs="Times New Roman"/>
            <w:noProof/>
          </w:rPr>
          <w:t>Unified Protection</w:t>
        </w:r>
        <w:r w:rsidR="00C75C9B" w:rsidRPr="00C75C9B">
          <w:rPr>
            <w:rFonts w:ascii="Times New Roman" w:hAnsi="Times New Roman" w:cs="Times New Roman"/>
            <w:noProof/>
            <w:webHidden/>
          </w:rPr>
          <w:tab/>
        </w:r>
        <w:r w:rsidRPr="00C75C9B">
          <w:rPr>
            <w:rFonts w:ascii="Times New Roman" w:hAnsi="Times New Roman" w:cs="Times New Roman"/>
            <w:noProof/>
            <w:webHidden/>
          </w:rPr>
          <w:fldChar w:fldCharType="begin"/>
        </w:r>
        <w:r w:rsidR="00C75C9B" w:rsidRPr="00C75C9B">
          <w:rPr>
            <w:rFonts w:ascii="Times New Roman" w:hAnsi="Times New Roman" w:cs="Times New Roman"/>
            <w:noProof/>
            <w:webHidden/>
          </w:rPr>
          <w:instrText xml:space="preserve"> PAGEREF _Toc200164802 \h </w:instrText>
        </w:r>
        <w:r w:rsidRPr="00C75C9B">
          <w:rPr>
            <w:rFonts w:ascii="Times New Roman" w:hAnsi="Times New Roman" w:cs="Times New Roman"/>
            <w:noProof/>
            <w:webHidden/>
          </w:rPr>
        </w:r>
        <w:r w:rsidRPr="00C75C9B">
          <w:rPr>
            <w:rFonts w:ascii="Times New Roman" w:hAnsi="Times New Roman" w:cs="Times New Roman"/>
            <w:noProof/>
            <w:webHidden/>
          </w:rPr>
          <w:fldChar w:fldCharType="separate"/>
        </w:r>
        <w:r w:rsidR="00C75C9B" w:rsidRPr="00C75C9B">
          <w:rPr>
            <w:rFonts w:ascii="Times New Roman" w:hAnsi="Times New Roman" w:cs="Times New Roman"/>
            <w:noProof/>
            <w:webHidden/>
          </w:rPr>
          <w:t>8</w:t>
        </w:r>
        <w:r w:rsidRPr="00C75C9B">
          <w:rPr>
            <w:rFonts w:ascii="Times New Roman" w:hAnsi="Times New Roman" w:cs="Times New Roman"/>
            <w:noProof/>
            <w:webHidden/>
          </w:rPr>
          <w:fldChar w:fldCharType="end"/>
        </w:r>
      </w:hyperlink>
    </w:p>
    <w:p w:rsidR="00C75C9B" w:rsidRPr="00C75C9B" w:rsidRDefault="007F7745">
      <w:pPr>
        <w:pStyle w:val="TOC2"/>
        <w:tabs>
          <w:tab w:val="right" w:pos="9062"/>
        </w:tabs>
        <w:rPr>
          <w:rFonts w:ascii="Times New Roman" w:hAnsi="Times New Roman" w:cs="Times New Roman"/>
          <w:i w:val="0"/>
          <w:iCs w:val="0"/>
          <w:noProof/>
          <w:sz w:val="22"/>
          <w:szCs w:val="22"/>
        </w:rPr>
      </w:pPr>
      <w:hyperlink w:anchor="_Toc200164803" w:history="1">
        <w:r w:rsidR="00C75C9B" w:rsidRPr="00C75C9B">
          <w:rPr>
            <w:rStyle w:val="Hyperlink"/>
            <w:rFonts w:ascii="Times New Roman" w:hAnsi="Times New Roman" w:cs="Times New Roman"/>
            <w:noProof/>
          </w:rPr>
          <w:t>Security Issue Reduction</w:t>
        </w:r>
        <w:r w:rsidR="00C75C9B" w:rsidRPr="00C75C9B">
          <w:rPr>
            <w:rFonts w:ascii="Times New Roman" w:hAnsi="Times New Roman" w:cs="Times New Roman"/>
            <w:noProof/>
            <w:webHidden/>
          </w:rPr>
          <w:tab/>
        </w:r>
        <w:r w:rsidRPr="00C75C9B">
          <w:rPr>
            <w:rFonts w:ascii="Times New Roman" w:hAnsi="Times New Roman" w:cs="Times New Roman"/>
            <w:noProof/>
            <w:webHidden/>
          </w:rPr>
          <w:fldChar w:fldCharType="begin"/>
        </w:r>
        <w:r w:rsidR="00C75C9B" w:rsidRPr="00C75C9B">
          <w:rPr>
            <w:rFonts w:ascii="Times New Roman" w:hAnsi="Times New Roman" w:cs="Times New Roman"/>
            <w:noProof/>
            <w:webHidden/>
          </w:rPr>
          <w:instrText xml:space="preserve"> PAGEREF _Toc200164803 \h </w:instrText>
        </w:r>
        <w:r w:rsidRPr="00C75C9B">
          <w:rPr>
            <w:rFonts w:ascii="Times New Roman" w:hAnsi="Times New Roman" w:cs="Times New Roman"/>
            <w:noProof/>
            <w:webHidden/>
          </w:rPr>
        </w:r>
        <w:r w:rsidRPr="00C75C9B">
          <w:rPr>
            <w:rFonts w:ascii="Times New Roman" w:hAnsi="Times New Roman" w:cs="Times New Roman"/>
            <w:noProof/>
            <w:webHidden/>
          </w:rPr>
          <w:fldChar w:fldCharType="separate"/>
        </w:r>
        <w:r w:rsidR="00C75C9B" w:rsidRPr="00C75C9B">
          <w:rPr>
            <w:rFonts w:ascii="Times New Roman" w:hAnsi="Times New Roman" w:cs="Times New Roman"/>
            <w:noProof/>
            <w:webHidden/>
          </w:rPr>
          <w:t>8</w:t>
        </w:r>
        <w:r w:rsidRPr="00C75C9B">
          <w:rPr>
            <w:rFonts w:ascii="Times New Roman" w:hAnsi="Times New Roman" w:cs="Times New Roman"/>
            <w:noProof/>
            <w:webHidden/>
          </w:rPr>
          <w:fldChar w:fldCharType="end"/>
        </w:r>
      </w:hyperlink>
    </w:p>
    <w:p w:rsidR="00C75C9B" w:rsidRPr="00C75C9B" w:rsidRDefault="007F7745">
      <w:pPr>
        <w:pStyle w:val="TOC1"/>
        <w:tabs>
          <w:tab w:val="right" w:pos="9062"/>
        </w:tabs>
        <w:rPr>
          <w:rFonts w:ascii="Times New Roman" w:hAnsi="Times New Roman" w:cs="Times New Roman"/>
          <w:b w:val="0"/>
          <w:bCs w:val="0"/>
          <w:noProof/>
          <w:sz w:val="22"/>
          <w:szCs w:val="22"/>
        </w:rPr>
      </w:pPr>
      <w:hyperlink w:anchor="_Toc200164804" w:history="1">
        <w:r w:rsidR="00C75C9B" w:rsidRPr="00C75C9B">
          <w:rPr>
            <w:rStyle w:val="Hyperlink"/>
            <w:rFonts w:ascii="Times New Roman" w:hAnsi="Times New Roman" w:cs="Times New Roman"/>
            <w:noProof/>
          </w:rPr>
          <w:t>Simplified Administration</w:t>
        </w:r>
        <w:r w:rsidR="00C75C9B" w:rsidRPr="00C75C9B">
          <w:rPr>
            <w:rFonts w:ascii="Times New Roman" w:hAnsi="Times New Roman" w:cs="Times New Roman"/>
            <w:noProof/>
            <w:webHidden/>
          </w:rPr>
          <w:tab/>
        </w:r>
        <w:r w:rsidRPr="00C75C9B">
          <w:rPr>
            <w:rFonts w:ascii="Times New Roman" w:hAnsi="Times New Roman" w:cs="Times New Roman"/>
            <w:noProof/>
            <w:webHidden/>
          </w:rPr>
          <w:fldChar w:fldCharType="begin"/>
        </w:r>
        <w:r w:rsidR="00C75C9B" w:rsidRPr="00C75C9B">
          <w:rPr>
            <w:rFonts w:ascii="Times New Roman" w:hAnsi="Times New Roman" w:cs="Times New Roman"/>
            <w:noProof/>
            <w:webHidden/>
          </w:rPr>
          <w:instrText xml:space="preserve"> PAGEREF _Toc200164804 \h </w:instrText>
        </w:r>
        <w:r w:rsidRPr="00C75C9B">
          <w:rPr>
            <w:rFonts w:ascii="Times New Roman" w:hAnsi="Times New Roman" w:cs="Times New Roman"/>
            <w:noProof/>
            <w:webHidden/>
          </w:rPr>
        </w:r>
        <w:r w:rsidRPr="00C75C9B">
          <w:rPr>
            <w:rFonts w:ascii="Times New Roman" w:hAnsi="Times New Roman" w:cs="Times New Roman"/>
            <w:noProof/>
            <w:webHidden/>
          </w:rPr>
          <w:fldChar w:fldCharType="separate"/>
        </w:r>
        <w:r w:rsidR="00C75C9B" w:rsidRPr="00C75C9B">
          <w:rPr>
            <w:rFonts w:ascii="Times New Roman" w:hAnsi="Times New Roman" w:cs="Times New Roman"/>
            <w:noProof/>
            <w:webHidden/>
          </w:rPr>
          <w:t>10</w:t>
        </w:r>
        <w:r w:rsidRPr="00C75C9B">
          <w:rPr>
            <w:rFonts w:ascii="Times New Roman" w:hAnsi="Times New Roman" w:cs="Times New Roman"/>
            <w:noProof/>
            <w:webHidden/>
          </w:rPr>
          <w:fldChar w:fldCharType="end"/>
        </w:r>
      </w:hyperlink>
    </w:p>
    <w:p w:rsidR="00C75C9B" w:rsidRPr="00C75C9B" w:rsidRDefault="007F7745">
      <w:pPr>
        <w:pStyle w:val="TOC2"/>
        <w:tabs>
          <w:tab w:val="right" w:pos="9062"/>
        </w:tabs>
        <w:rPr>
          <w:rFonts w:ascii="Times New Roman" w:hAnsi="Times New Roman" w:cs="Times New Roman"/>
          <w:i w:val="0"/>
          <w:iCs w:val="0"/>
          <w:noProof/>
          <w:sz w:val="22"/>
          <w:szCs w:val="22"/>
        </w:rPr>
      </w:pPr>
      <w:hyperlink w:anchor="_Toc200164805" w:history="1">
        <w:r w:rsidR="00C75C9B" w:rsidRPr="00C75C9B">
          <w:rPr>
            <w:rStyle w:val="Hyperlink"/>
            <w:rFonts w:ascii="Times New Roman" w:hAnsi="Times New Roman" w:cs="Times New Roman"/>
            <w:noProof/>
          </w:rPr>
          <w:t>Reduced IT Management Cost</w:t>
        </w:r>
        <w:r w:rsidR="00C75C9B" w:rsidRPr="00C75C9B">
          <w:rPr>
            <w:rFonts w:ascii="Times New Roman" w:hAnsi="Times New Roman" w:cs="Times New Roman"/>
            <w:noProof/>
            <w:webHidden/>
          </w:rPr>
          <w:tab/>
        </w:r>
        <w:r w:rsidRPr="00C75C9B">
          <w:rPr>
            <w:rFonts w:ascii="Times New Roman" w:hAnsi="Times New Roman" w:cs="Times New Roman"/>
            <w:noProof/>
            <w:webHidden/>
          </w:rPr>
          <w:fldChar w:fldCharType="begin"/>
        </w:r>
        <w:r w:rsidR="00C75C9B" w:rsidRPr="00C75C9B">
          <w:rPr>
            <w:rFonts w:ascii="Times New Roman" w:hAnsi="Times New Roman" w:cs="Times New Roman"/>
            <w:noProof/>
            <w:webHidden/>
          </w:rPr>
          <w:instrText xml:space="preserve"> PAGEREF _Toc200164805 \h </w:instrText>
        </w:r>
        <w:r w:rsidRPr="00C75C9B">
          <w:rPr>
            <w:rFonts w:ascii="Times New Roman" w:hAnsi="Times New Roman" w:cs="Times New Roman"/>
            <w:noProof/>
            <w:webHidden/>
          </w:rPr>
        </w:r>
        <w:r w:rsidRPr="00C75C9B">
          <w:rPr>
            <w:rFonts w:ascii="Times New Roman" w:hAnsi="Times New Roman" w:cs="Times New Roman"/>
            <w:noProof/>
            <w:webHidden/>
          </w:rPr>
          <w:fldChar w:fldCharType="separate"/>
        </w:r>
        <w:r w:rsidR="00C75C9B" w:rsidRPr="00C75C9B">
          <w:rPr>
            <w:rFonts w:ascii="Times New Roman" w:hAnsi="Times New Roman" w:cs="Times New Roman"/>
            <w:noProof/>
            <w:webHidden/>
          </w:rPr>
          <w:t>10</w:t>
        </w:r>
        <w:r w:rsidRPr="00C75C9B">
          <w:rPr>
            <w:rFonts w:ascii="Times New Roman" w:hAnsi="Times New Roman" w:cs="Times New Roman"/>
            <w:noProof/>
            <w:webHidden/>
          </w:rPr>
          <w:fldChar w:fldCharType="end"/>
        </w:r>
      </w:hyperlink>
    </w:p>
    <w:p w:rsidR="00C75C9B" w:rsidRPr="00C75C9B" w:rsidRDefault="007F7745">
      <w:pPr>
        <w:pStyle w:val="TOC1"/>
        <w:tabs>
          <w:tab w:val="right" w:pos="9062"/>
        </w:tabs>
        <w:rPr>
          <w:rFonts w:ascii="Times New Roman" w:hAnsi="Times New Roman" w:cs="Times New Roman"/>
          <w:b w:val="0"/>
          <w:bCs w:val="0"/>
          <w:noProof/>
          <w:sz w:val="22"/>
          <w:szCs w:val="22"/>
        </w:rPr>
      </w:pPr>
      <w:hyperlink w:anchor="_Toc200164806" w:history="1">
        <w:r w:rsidR="00C75C9B" w:rsidRPr="00C75C9B">
          <w:rPr>
            <w:rStyle w:val="Hyperlink"/>
            <w:rFonts w:ascii="Times New Roman" w:hAnsi="Times New Roman" w:cs="Times New Roman"/>
            <w:noProof/>
          </w:rPr>
          <w:t>Visibility and Control</w:t>
        </w:r>
        <w:r w:rsidR="00C75C9B" w:rsidRPr="00C75C9B">
          <w:rPr>
            <w:rFonts w:ascii="Times New Roman" w:hAnsi="Times New Roman" w:cs="Times New Roman"/>
            <w:noProof/>
            <w:webHidden/>
          </w:rPr>
          <w:tab/>
        </w:r>
        <w:r w:rsidRPr="00C75C9B">
          <w:rPr>
            <w:rFonts w:ascii="Times New Roman" w:hAnsi="Times New Roman" w:cs="Times New Roman"/>
            <w:noProof/>
            <w:webHidden/>
          </w:rPr>
          <w:fldChar w:fldCharType="begin"/>
        </w:r>
        <w:r w:rsidR="00C75C9B" w:rsidRPr="00C75C9B">
          <w:rPr>
            <w:rFonts w:ascii="Times New Roman" w:hAnsi="Times New Roman" w:cs="Times New Roman"/>
            <w:noProof/>
            <w:webHidden/>
          </w:rPr>
          <w:instrText xml:space="preserve"> PAGEREF _Toc200164806 \h </w:instrText>
        </w:r>
        <w:r w:rsidRPr="00C75C9B">
          <w:rPr>
            <w:rFonts w:ascii="Times New Roman" w:hAnsi="Times New Roman" w:cs="Times New Roman"/>
            <w:noProof/>
            <w:webHidden/>
          </w:rPr>
        </w:r>
        <w:r w:rsidRPr="00C75C9B">
          <w:rPr>
            <w:rFonts w:ascii="Times New Roman" w:hAnsi="Times New Roman" w:cs="Times New Roman"/>
            <w:noProof/>
            <w:webHidden/>
          </w:rPr>
          <w:fldChar w:fldCharType="separate"/>
        </w:r>
        <w:r w:rsidR="00C75C9B" w:rsidRPr="00C75C9B">
          <w:rPr>
            <w:rFonts w:ascii="Times New Roman" w:hAnsi="Times New Roman" w:cs="Times New Roman"/>
            <w:noProof/>
            <w:webHidden/>
          </w:rPr>
          <w:t>12</w:t>
        </w:r>
        <w:r w:rsidRPr="00C75C9B">
          <w:rPr>
            <w:rFonts w:ascii="Times New Roman" w:hAnsi="Times New Roman" w:cs="Times New Roman"/>
            <w:noProof/>
            <w:webHidden/>
          </w:rPr>
          <w:fldChar w:fldCharType="end"/>
        </w:r>
      </w:hyperlink>
    </w:p>
    <w:p w:rsidR="00C75C9B" w:rsidRPr="00C75C9B" w:rsidRDefault="007F7745">
      <w:pPr>
        <w:pStyle w:val="TOC2"/>
        <w:tabs>
          <w:tab w:val="right" w:pos="9062"/>
        </w:tabs>
        <w:rPr>
          <w:rFonts w:ascii="Times New Roman" w:hAnsi="Times New Roman" w:cs="Times New Roman"/>
          <w:i w:val="0"/>
          <w:iCs w:val="0"/>
          <w:noProof/>
          <w:sz w:val="22"/>
          <w:szCs w:val="22"/>
        </w:rPr>
      </w:pPr>
      <w:hyperlink w:anchor="_Toc200164807" w:history="1">
        <w:r w:rsidR="00C75C9B" w:rsidRPr="00C75C9B">
          <w:rPr>
            <w:rStyle w:val="Hyperlink"/>
            <w:rFonts w:ascii="Times New Roman" w:hAnsi="Times New Roman" w:cs="Times New Roman"/>
            <w:noProof/>
          </w:rPr>
          <w:t>Visibility and Control Provides IT Impressive New Tools</w:t>
        </w:r>
        <w:r w:rsidR="00C75C9B" w:rsidRPr="00C75C9B">
          <w:rPr>
            <w:rFonts w:ascii="Times New Roman" w:hAnsi="Times New Roman" w:cs="Times New Roman"/>
            <w:noProof/>
            <w:webHidden/>
          </w:rPr>
          <w:tab/>
        </w:r>
        <w:r w:rsidRPr="00C75C9B">
          <w:rPr>
            <w:rFonts w:ascii="Times New Roman" w:hAnsi="Times New Roman" w:cs="Times New Roman"/>
            <w:noProof/>
            <w:webHidden/>
          </w:rPr>
          <w:fldChar w:fldCharType="begin"/>
        </w:r>
        <w:r w:rsidR="00C75C9B" w:rsidRPr="00C75C9B">
          <w:rPr>
            <w:rFonts w:ascii="Times New Roman" w:hAnsi="Times New Roman" w:cs="Times New Roman"/>
            <w:noProof/>
            <w:webHidden/>
          </w:rPr>
          <w:instrText xml:space="preserve"> PAGEREF _Toc200164807 \h </w:instrText>
        </w:r>
        <w:r w:rsidRPr="00C75C9B">
          <w:rPr>
            <w:rFonts w:ascii="Times New Roman" w:hAnsi="Times New Roman" w:cs="Times New Roman"/>
            <w:noProof/>
            <w:webHidden/>
          </w:rPr>
        </w:r>
        <w:r w:rsidRPr="00C75C9B">
          <w:rPr>
            <w:rFonts w:ascii="Times New Roman" w:hAnsi="Times New Roman" w:cs="Times New Roman"/>
            <w:noProof/>
            <w:webHidden/>
          </w:rPr>
          <w:fldChar w:fldCharType="separate"/>
        </w:r>
        <w:r w:rsidR="00C75C9B" w:rsidRPr="00C75C9B">
          <w:rPr>
            <w:rFonts w:ascii="Times New Roman" w:hAnsi="Times New Roman" w:cs="Times New Roman"/>
            <w:noProof/>
            <w:webHidden/>
          </w:rPr>
          <w:t>12</w:t>
        </w:r>
        <w:r w:rsidRPr="00C75C9B">
          <w:rPr>
            <w:rFonts w:ascii="Times New Roman" w:hAnsi="Times New Roman" w:cs="Times New Roman"/>
            <w:noProof/>
            <w:webHidden/>
          </w:rPr>
          <w:fldChar w:fldCharType="end"/>
        </w:r>
      </w:hyperlink>
    </w:p>
    <w:p w:rsidR="00C75C9B" w:rsidRPr="00C75C9B" w:rsidRDefault="007F7745">
      <w:pPr>
        <w:pStyle w:val="TOC1"/>
        <w:tabs>
          <w:tab w:val="right" w:pos="9062"/>
        </w:tabs>
        <w:rPr>
          <w:rFonts w:ascii="Times New Roman" w:hAnsi="Times New Roman" w:cs="Times New Roman"/>
          <w:b w:val="0"/>
          <w:bCs w:val="0"/>
          <w:noProof/>
          <w:sz w:val="22"/>
          <w:szCs w:val="22"/>
        </w:rPr>
      </w:pPr>
      <w:hyperlink w:anchor="_Toc200164808" w:history="1">
        <w:r w:rsidR="00C75C9B" w:rsidRPr="00C75C9B">
          <w:rPr>
            <w:rStyle w:val="Hyperlink"/>
            <w:rFonts w:ascii="Times New Roman" w:hAnsi="Times New Roman" w:cs="Times New Roman"/>
            <w:noProof/>
          </w:rPr>
          <w:t>Forefront Client Security Costs and Deployment</w:t>
        </w:r>
        <w:r w:rsidR="00C75C9B" w:rsidRPr="00C75C9B">
          <w:rPr>
            <w:rFonts w:ascii="Times New Roman" w:hAnsi="Times New Roman" w:cs="Times New Roman"/>
            <w:noProof/>
            <w:webHidden/>
          </w:rPr>
          <w:tab/>
        </w:r>
        <w:r w:rsidRPr="00C75C9B">
          <w:rPr>
            <w:rFonts w:ascii="Times New Roman" w:hAnsi="Times New Roman" w:cs="Times New Roman"/>
            <w:noProof/>
            <w:webHidden/>
          </w:rPr>
          <w:fldChar w:fldCharType="begin"/>
        </w:r>
        <w:r w:rsidR="00C75C9B" w:rsidRPr="00C75C9B">
          <w:rPr>
            <w:rFonts w:ascii="Times New Roman" w:hAnsi="Times New Roman" w:cs="Times New Roman"/>
            <w:noProof/>
            <w:webHidden/>
          </w:rPr>
          <w:instrText xml:space="preserve"> PAGEREF _Toc200164808 \h </w:instrText>
        </w:r>
        <w:r w:rsidRPr="00C75C9B">
          <w:rPr>
            <w:rFonts w:ascii="Times New Roman" w:hAnsi="Times New Roman" w:cs="Times New Roman"/>
            <w:noProof/>
            <w:webHidden/>
          </w:rPr>
        </w:r>
        <w:r w:rsidRPr="00C75C9B">
          <w:rPr>
            <w:rFonts w:ascii="Times New Roman" w:hAnsi="Times New Roman" w:cs="Times New Roman"/>
            <w:noProof/>
            <w:webHidden/>
          </w:rPr>
          <w:fldChar w:fldCharType="separate"/>
        </w:r>
        <w:r w:rsidR="00C75C9B" w:rsidRPr="00C75C9B">
          <w:rPr>
            <w:rFonts w:ascii="Times New Roman" w:hAnsi="Times New Roman" w:cs="Times New Roman"/>
            <w:noProof/>
            <w:webHidden/>
          </w:rPr>
          <w:t>15</w:t>
        </w:r>
        <w:r w:rsidRPr="00C75C9B">
          <w:rPr>
            <w:rFonts w:ascii="Times New Roman" w:hAnsi="Times New Roman" w:cs="Times New Roman"/>
            <w:noProof/>
            <w:webHidden/>
          </w:rPr>
          <w:fldChar w:fldCharType="end"/>
        </w:r>
      </w:hyperlink>
    </w:p>
    <w:p w:rsidR="00C75C9B" w:rsidRPr="00C75C9B" w:rsidRDefault="007F7745">
      <w:pPr>
        <w:pStyle w:val="TOC2"/>
        <w:tabs>
          <w:tab w:val="right" w:pos="9062"/>
        </w:tabs>
        <w:rPr>
          <w:rFonts w:ascii="Times New Roman" w:hAnsi="Times New Roman" w:cs="Times New Roman"/>
          <w:i w:val="0"/>
          <w:iCs w:val="0"/>
          <w:noProof/>
          <w:sz w:val="22"/>
          <w:szCs w:val="22"/>
        </w:rPr>
      </w:pPr>
      <w:hyperlink w:anchor="_Toc200164809" w:history="1">
        <w:r w:rsidR="00C75C9B" w:rsidRPr="00C75C9B">
          <w:rPr>
            <w:rStyle w:val="Hyperlink"/>
            <w:rFonts w:ascii="Times New Roman" w:hAnsi="Times New Roman" w:cs="Times New Roman"/>
            <w:noProof/>
          </w:rPr>
          <w:t>Licensing, Hardware and Deployment Costs</w:t>
        </w:r>
        <w:r w:rsidR="00C75C9B" w:rsidRPr="00C75C9B">
          <w:rPr>
            <w:rFonts w:ascii="Times New Roman" w:hAnsi="Times New Roman" w:cs="Times New Roman"/>
            <w:noProof/>
            <w:webHidden/>
          </w:rPr>
          <w:tab/>
        </w:r>
        <w:r w:rsidRPr="00C75C9B">
          <w:rPr>
            <w:rFonts w:ascii="Times New Roman" w:hAnsi="Times New Roman" w:cs="Times New Roman"/>
            <w:noProof/>
            <w:webHidden/>
          </w:rPr>
          <w:fldChar w:fldCharType="begin"/>
        </w:r>
        <w:r w:rsidR="00C75C9B" w:rsidRPr="00C75C9B">
          <w:rPr>
            <w:rFonts w:ascii="Times New Roman" w:hAnsi="Times New Roman" w:cs="Times New Roman"/>
            <w:noProof/>
            <w:webHidden/>
          </w:rPr>
          <w:instrText xml:space="preserve"> PAGEREF _Toc200164809 \h </w:instrText>
        </w:r>
        <w:r w:rsidRPr="00C75C9B">
          <w:rPr>
            <w:rFonts w:ascii="Times New Roman" w:hAnsi="Times New Roman" w:cs="Times New Roman"/>
            <w:noProof/>
            <w:webHidden/>
          </w:rPr>
        </w:r>
        <w:r w:rsidRPr="00C75C9B">
          <w:rPr>
            <w:rFonts w:ascii="Times New Roman" w:hAnsi="Times New Roman" w:cs="Times New Roman"/>
            <w:noProof/>
            <w:webHidden/>
          </w:rPr>
          <w:fldChar w:fldCharType="separate"/>
        </w:r>
        <w:r w:rsidR="00C75C9B" w:rsidRPr="00C75C9B">
          <w:rPr>
            <w:rFonts w:ascii="Times New Roman" w:hAnsi="Times New Roman" w:cs="Times New Roman"/>
            <w:noProof/>
            <w:webHidden/>
          </w:rPr>
          <w:t>15</w:t>
        </w:r>
        <w:r w:rsidRPr="00C75C9B">
          <w:rPr>
            <w:rFonts w:ascii="Times New Roman" w:hAnsi="Times New Roman" w:cs="Times New Roman"/>
            <w:noProof/>
            <w:webHidden/>
          </w:rPr>
          <w:fldChar w:fldCharType="end"/>
        </w:r>
      </w:hyperlink>
    </w:p>
    <w:p w:rsidR="00C75C9B" w:rsidRPr="00C75C9B" w:rsidRDefault="007F7745">
      <w:pPr>
        <w:pStyle w:val="TOC2"/>
        <w:tabs>
          <w:tab w:val="right" w:pos="9062"/>
        </w:tabs>
        <w:rPr>
          <w:rFonts w:ascii="Times New Roman" w:hAnsi="Times New Roman" w:cs="Times New Roman"/>
          <w:i w:val="0"/>
          <w:iCs w:val="0"/>
          <w:noProof/>
          <w:sz w:val="22"/>
          <w:szCs w:val="22"/>
        </w:rPr>
      </w:pPr>
      <w:hyperlink w:anchor="_Toc200164810" w:history="1">
        <w:r w:rsidR="00C75C9B" w:rsidRPr="00C75C9B">
          <w:rPr>
            <w:rStyle w:val="Hyperlink"/>
            <w:rFonts w:ascii="Times New Roman" w:hAnsi="Times New Roman" w:cs="Times New Roman"/>
            <w:noProof/>
          </w:rPr>
          <w:t>Virtualization</w:t>
        </w:r>
        <w:r w:rsidR="00C75C9B" w:rsidRPr="00C75C9B">
          <w:rPr>
            <w:rFonts w:ascii="Times New Roman" w:hAnsi="Times New Roman" w:cs="Times New Roman"/>
            <w:noProof/>
            <w:webHidden/>
          </w:rPr>
          <w:tab/>
        </w:r>
        <w:r w:rsidRPr="00C75C9B">
          <w:rPr>
            <w:rFonts w:ascii="Times New Roman" w:hAnsi="Times New Roman" w:cs="Times New Roman"/>
            <w:noProof/>
            <w:webHidden/>
          </w:rPr>
          <w:fldChar w:fldCharType="begin"/>
        </w:r>
        <w:r w:rsidR="00C75C9B" w:rsidRPr="00C75C9B">
          <w:rPr>
            <w:rFonts w:ascii="Times New Roman" w:hAnsi="Times New Roman" w:cs="Times New Roman"/>
            <w:noProof/>
            <w:webHidden/>
          </w:rPr>
          <w:instrText xml:space="preserve"> PAGEREF _Toc200164810 \h </w:instrText>
        </w:r>
        <w:r w:rsidRPr="00C75C9B">
          <w:rPr>
            <w:rFonts w:ascii="Times New Roman" w:hAnsi="Times New Roman" w:cs="Times New Roman"/>
            <w:noProof/>
            <w:webHidden/>
          </w:rPr>
        </w:r>
        <w:r w:rsidRPr="00C75C9B">
          <w:rPr>
            <w:rFonts w:ascii="Times New Roman" w:hAnsi="Times New Roman" w:cs="Times New Roman"/>
            <w:noProof/>
            <w:webHidden/>
          </w:rPr>
          <w:fldChar w:fldCharType="separate"/>
        </w:r>
        <w:r w:rsidR="00C75C9B" w:rsidRPr="00C75C9B">
          <w:rPr>
            <w:rFonts w:ascii="Times New Roman" w:hAnsi="Times New Roman" w:cs="Times New Roman"/>
            <w:noProof/>
            <w:webHidden/>
          </w:rPr>
          <w:t>16</w:t>
        </w:r>
        <w:r w:rsidRPr="00C75C9B">
          <w:rPr>
            <w:rFonts w:ascii="Times New Roman" w:hAnsi="Times New Roman" w:cs="Times New Roman"/>
            <w:noProof/>
            <w:webHidden/>
          </w:rPr>
          <w:fldChar w:fldCharType="end"/>
        </w:r>
      </w:hyperlink>
    </w:p>
    <w:p w:rsidR="00C75C9B" w:rsidRPr="00C75C9B" w:rsidRDefault="007F7745">
      <w:pPr>
        <w:pStyle w:val="TOC1"/>
        <w:tabs>
          <w:tab w:val="right" w:pos="9062"/>
        </w:tabs>
        <w:rPr>
          <w:rFonts w:ascii="Times New Roman" w:hAnsi="Times New Roman" w:cs="Times New Roman"/>
          <w:b w:val="0"/>
          <w:bCs w:val="0"/>
          <w:noProof/>
          <w:sz w:val="22"/>
          <w:szCs w:val="22"/>
        </w:rPr>
      </w:pPr>
      <w:hyperlink w:anchor="_Toc200164811" w:history="1">
        <w:r w:rsidR="00C75C9B" w:rsidRPr="00C75C9B">
          <w:rPr>
            <w:rStyle w:val="Hyperlink"/>
            <w:rFonts w:ascii="Times New Roman" w:hAnsi="Times New Roman" w:cs="Times New Roman"/>
            <w:noProof/>
          </w:rPr>
          <w:t>Conclusion</w:t>
        </w:r>
        <w:r w:rsidR="00C75C9B" w:rsidRPr="00C75C9B">
          <w:rPr>
            <w:rFonts w:ascii="Times New Roman" w:hAnsi="Times New Roman" w:cs="Times New Roman"/>
            <w:noProof/>
            <w:webHidden/>
          </w:rPr>
          <w:tab/>
        </w:r>
        <w:r w:rsidRPr="00C75C9B">
          <w:rPr>
            <w:rFonts w:ascii="Times New Roman" w:hAnsi="Times New Roman" w:cs="Times New Roman"/>
            <w:noProof/>
            <w:webHidden/>
          </w:rPr>
          <w:fldChar w:fldCharType="begin"/>
        </w:r>
        <w:r w:rsidR="00C75C9B" w:rsidRPr="00C75C9B">
          <w:rPr>
            <w:rFonts w:ascii="Times New Roman" w:hAnsi="Times New Roman" w:cs="Times New Roman"/>
            <w:noProof/>
            <w:webHidden/>
          </w:rPr>
          <w:instrText xml:space="preserve"> PAGEREF _Toc200164811 \h </w:instrText>
        </w:r>
        <w:r w:rsidRPr="00C75C9B">
          <w:rPr>
            <w:rFonts w:ascii="Times New Roman" w:hAnsi="Times New Roman" w:cs="Times New Roman"/>
            <w:noProof/>
            <w:webHidden/>
          </w:rPr>
        </w:r>
        <w:r w:rsidRPr="00C75C9B">
          <w:rPr>
            <w:rFonts w:ascii="Times New Roman" w:hAnsi="Times New Roman" w:cs="Times New Roman"/>
            <w:noProof/>
            <w:webHidden/>
          </w:rPr>
          <w:fldChar w:fldCharType="separate"/>
        </w:r>
        <w:r w:rsidR="00C75C9B" w:rsidRPr="00C75C9B">
          <w:rPr>
            <w:rFonts w:ascii="Times New Roman" w:hAnsi="Times New Roman" w:cs="Times New Roman"/>
            <w:noProof/>
            <w:webHidden/>
          </w:rPr>
          <w:t>18</w:t>
        </w:r>
        <w:r w:rsidRPr="00C75C9B">
          <w:rPr>
            <w:rFonts w:ascii="Times New Roman" w:hAnsi="Times New Roman" w:cs="Times New Roman"/>
            <w:noProof/>
            <w:webHidden/>
          </w:rPr>
          <w:fldChar w:fldCharType="end"/>
        </w:r>
      </w:hyperlink>
    </w:p>
    <w:p w:rsidR="00C75C9B" w:rsidRPr="00C75C9B" w:rsidRDefault="007F7745">
      <w:pPr>
        <w:pStyle w:val="TOC1"/>
        <w:tabs>
          <w:tab w:val="right" w:pos="9062"/>
        </w:tabs>
        <w:rPr>
          <w:rFonts w:ascii="Times New Roman" w:hAnsi="Times New Roman" w:cs="Times New Roman"/>
          <w:b w:val="0"/>
          <w:bCs w:val="0"/>
          <w:noProof/>
          <w:sz w:val="22"/>
          <w:szCs w:val="22"/>
        </w:rPr>
      </w:pPr>
      <w:hyperlink w:anchor="_Toc200164812" w:history="1">
        <w:r w:rsidR="00C75C9B" w:rsidRPr="00C75C9B">
          <w:rPr>
            <w:rStyle w:val="Hyperlink"/>
            <w:rFonts w:ascii="Times New Roman" w:hAnsi="Times New Roman" w:cs="Times New Roman"/>
            <w:noProof/>
          </w:rPr>
          <w:t>Appendix A: Study Details and Methodology</w:t>
        </w:r>
        <w:r w:rsidR="00C75C9B" w:rsidRPr="00C75C9B">
          <w:rPr>
            <w:rFonts w:ascii="Times New Roman" w:hAnsi="Times New Roman" w:cs="Times New Roman"/>
            <w:noProof/>
            <w:webHidden/>
          </w:rPr>
          <w:tab/>
        </w:r>
        <w:r w:rsidRPr="00C75C9B">
          <w:rPr>
            <w:rFonts w:ascii="Times New Roman" w:hAnsi="Times New Roman" w:cs="Times New Roman"/>
            <w:noProof/>
            <w:webHidden/>
          </w:rPr>
          <w:fldChar w:fldCharType="begin"/>
        </w:r>
        <w:r w:rsidR="00C75C9B" w:rsidRPr="00C75C9B">
          <w:rPr>
            <w:rFonts w:ascii="Times New Roman" w:hAnsi="Times New Roman" w:cs="Times New Roman"/>
            <w:noProof/>
            <w:webHidden/>
          </w:rPr>
          <w:instrText xml:space="preserve"> PAGEREF _Toc200164812 \h </w:instrText>
        </w:r>
        <w:r w:rsidRPr="00C75C9B">
          <w:rPr>
            <w:rFonts w:ascii="Times New Roman" w:hAnsi="Times New Roman" w:cs="Times New Roman"/>
            <w:noProof/>
            <w:webHidden/>
          </w:rPr>
        </w:r>
        <w:r w:rsidRPr="00C75C9B">
          <w:rPr>
            <w:rFonts w:ascii="Times New Roman" w:hAnsi="Times New Roman" w:cs="Times New Roman"/>
            <w:noProof/>
            <w:webHidden/>
          </w:rPr>
          <w:fldChar w:fldCharType="separate"/>
        </w:r>
        <w:r w:rsidR="00C75C9B" w:rsidRPr="00C75C9B">
          <w:rPr>
            <w:rFonts w:ascii="Times New Roman" w:hAnsi="Times New Roman" w:cs="Times New Roman"/>
            <w:noProof/>
            <w:webHidden/>
          </w:rPr>
          <w:t>19</w:t>
        </w:r>
        <w:r w:rsidRPr="00C75C9B">
          <w:rPr>
            <w:rFonts w:ascii="Times New Roman" w:hAnsi="Times New Roman" w:cs="Times New Roman"/>
            <w:noProof/>
            <w:webHidden/>
          </w:rPr>
          <w:fldChar w:fldCharType="end"/>
        </w:r>
      </w:hyperlink>
    </w:p>
    <w:p w:rsidR="00C75C9B" w:rsidRPr="00C75C9B" w:rsidRDefault="007F7745">
      <w:pPr>
        <w:pStyle w:val="TOC1"/>
        <w:tabs>
          <w:tab w:val="right" w:pos="9062"/>
        </w:tabs>
        <w:rPr>
          <w:rFonts w:ascii="Times New Roman" w:hAnsi="Times New Roman" w:cs="Times New Roman"/>
          <w:b w:val="0"/>
          <w:bCs w:val="0"/>
          <w:noProof/>
          <w:sz w:val="22"/>
          <w:szCs w:val="22"/>
        </w:rPr>
      </w:pPr>
      <w:hyperlink w:anchor="_Toc200164813" w:history="1">
        <w:r w:rsidR="00C75C9B" w:rsidRPr="00C75C9B">
          <w:rPr>
            <w:rStyle w:val="Hyperlink"/>
            <w:rFonts w:ascii="Times New Roman" w:hAnsi="Times New Roman" w:cs="Times New Roman"/>
            <w:noProof/>
          </w:rPr>
          <w:t>Appendix B: Study Participants</w:t>
        </w:r>
        <w:r w:rsidR="00C75C9B" w:rsidRPr="00C75C9B">
          <w:rPr>
            <w:rFonts w:ascii="Times New Roman" w:hAnsi="Times New Roman" w:cs="Times New Roman"/>
            <w:noProof/>
            <w:webHidden/>
          </w:rPr>
          <w:tab/>
        </w:r>
        <w:r w:rsidRPr="00C75C9B">
          <w:rPr>
            <w:rFonts w:ascii="Times New Roman" w:hAnsi="Times New Roman" w:cs="Times New Roman"/>
            <w:noProof/>
            <w:webHidden/>
          </w:rPr>
          <w:fldChar w:fldCharType="begin"/>
        </w:r>
        <w:r w:rsidR="00C75C9B" w:rsidRPr="00C75C9B">
          <w:rPr>
            <w:rFonts w:ascii="Times New Roman" w:hAnsi="Times New Roman" w:cs="Times New Roman"/>
            <w:noProof/>
            <w:webHidden/>
          </w:rPr>
          <w:instrText xml:space="preserve"> PAGEREF _Toc200164813 \h </w:instrText>
        </w:r>
        <w:r w:rsidRPr="00C75C9B">
          <w:rPr>
            <w:rFonts w:ascii="Times New Roman" w:hAnsi="Times New Roman" w:cs="Times New Roman"/>
            <w:noProof/>
            <w:webHidden/>
          </w:rPr>
        </w:r>
        <w:r w:rsidRPr="00C75C9B">
          <w:rPr>
            <w:rFonts w:ascii="Times New Roman" w:hAnsi="Times New Roman" w:cs="Times New Roman"/>
            <w:noProof/>
            <w:webHidden/>
          </w:rPr>
          <w:fldChar w:fldCharType="separate"/>
        </w:r>
        <w:r w:rsidR="00C75C9B" w:rsidRPr="00C75C9B">
          <w:rPr>
            <w:rFonts w:ascii="Times New Roman" w:hAnsi="Times New Roman" w:cs="Times New Roman"/>
            <w:noProof/>
            <w:webHidden/>
          </w:rPr>
          <w:t>20</w:t>
        </w:r>
        <w:r w:rsidRPr="00C75C9B">
          <w:rPr>
            <w:rFonts w:ascii="Times New Roman" w:hAnsi="Times New Roman" w:cs="Times New Roman"/>
            <w:noProof/>
            <w:webHidden/>
          </w:rPr>
          <w:fldChar w:fldCharType="end"/>
        </w:r>
      </w:hyperlink>
    </w:p>
    <w:p w:rsidR="005E33D8" w:rsidRPr="00437808" w:rsidRDefault="007F7745">
      <w:r w:rsidRPr="00C75C9B">
        <w:rPr>
          <w:rFonts w:ascii="Times New Roman" w:hAnsi="Times New Roman" w:cs="Times New Roman"/>
          <w:bCs/>
          <w:caps/>
          <w:sz w:val="20"/>
          <w:szCs w:val="20"/>
        </w:rPr>
        <w:fldChar w:fldCharType="end"/>
      </w:r>
    </w:p>
    <w:p w:rsidR="005E33D8" w:rsidRPr="00437808" w:rsidRDefault="005E33D8">
      <w:pPr>
        <w:sectPr w:rsidR="005E33D8" w:rsidRPr="00437808" w:rsidSect="008B7859">
          <w:headerReference w:type="even" r:id="rId9"/>
          <w:headerReference w:type="default" r:id="rId10"/>
          <w:footerReference w:type="even" r:id="rId11"/>
          <w:footerReference w:type="default" r:id="rId12"/>
          <w:headerReference w:type="first" r:id="rId13"/>
          <w:footerReference w:type="first" r:id="rId14"/>
          <w:pgSz w:w="12240" w:h="15840"/>
          <w:pgMar w:top="1440" w:right="1584" w:bottom="1440" w:left="1584" w:header="720" w:footer="720" w:gutter="0"/>
          <w:cols w:space="720"/>
          <w:docGrid w:linePitch="360"/>
        </w:sectPr>
      </w:pPr>
    </w:p>
    <w:p w:rsidR="00765DDB" w:rsidRPr="00437808" w:rsidRDefault="00960531" w:rsidP="00332B48">
      <w:pPr>
        <w:pStyle w:val="Heading1"/>
      </w:pPr>
      <w:bookmarkStart w:id="0" w:name="_Toc199040392"/>
      <w:bookmarkStart w:id="1" w:name="_Toc199040602"/>
      <w:bookmarkStart w:id="2" w:name="_Toc200164797"/>
      <w:r w:rsidRPr="00437808">
        <w:lastRenderedPageBreak/>
        <w:t>Executive Summary</w:t>
      </w:r>
      <w:bookmarkEnd w:id="0"/>
      <w:bookmarkEnd w:id="1"/>
      <w:bookmarkEnd w:id="2"/>
    </w:p>
    <w:tbl>
      <w:tblPr>
        <w:tblStyle w:val="TableGrid"/>
        <w:tblpPr w:leftFromText="187" w:rightFromText="187" w:vertAnchor="page" w:horzAnchor="margin" w:tblpXSpec="right" w:tblpY="187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tblPr>
      <w:tblGrid>
        <w:gridCol w:w="3946"/>
      </w:tblGrid>
      <w:tr w:rsidR="000E4B52" w:rsidRPr="00437808" w:rsidTr="000E4B52">
        <w:trPr>
          <w:trHeight w:val="1278"/>
        </w:trPr>
        <w:tc>
          <w:tcPr>
            <w:tcW w:w="3946" w:type="dxa"/>
            <w:shd w:val="clear" w:color="auto" w:fill="C6D9F1" w:themeFill="text2" w:themeFillTint="33"/>
          </w:tcPr>
          <w:p w:rsidR="000E4B52" w:rsidRPr="00437808" w:rsidRDefault="000E4B52" w:rsidP="000E4B52">
            <w:pPr>
              <w:spacing w:after="0"/>
              <w:rPr>
                <w:i/>
                <w:sz w:val="24"/>
              </w:rPr>
            </w:pPr>
            <w:r w:rsidRPr="00437808">
              <w:rPr>
                <w:i/>
                <w:sz w:val="24"/>
              </w:rPr>
              <w:t>“Confidently we can say ‘yes we’re protected, yes were up to date.’”</w:t>
            </w:r>
          </w:p>
          <w:p w:rsidR="000E4B52" w:rsidRPr="00437808" w:rsidRDefault="000E4B52" w:rsidP="000E4B52">
            <w:pPr>
              <w:spacing w:after="0"/>
              <w:rPr>
                <w:i/>
                <w:sz w:val="24"/>
              </w:rPr>
            </w:pPr>
            <w:r w:rsidRPr="00437808">
              <w:rPr>
                <w:i/>
              </w:rPr>
              <w:t>Tom Sammons, Server Desktop Team Leader, NRMA, Sydney, Australia</w:t>
            </w:r>
          </w:p>
        </w:tc>
      </w:tr>
    </w:tbl>
    <w:p w:rsidR="008C3717" w:rsidRPr="00437808" w:rsidRDefault="00EE0D6C" w:rsidP="008C3717">
      <w:r w:rsidRPr="00437808">
        <w:t>B</w:t>
      </w:r>
      <w:r w:rsidR="00FA4E7D" w:rsidRPr="00437808">
        <w:t>usinesse</w:t>
      </w:r>
      <w:r w:rsidR="00763298" w:rsidRPr="00437808">
        <w:t xml:space="preserve">s are continually exposed to security </w:t>
      </w:r>
      <w:r w:rsidR="00AF2B7B" w:rsidRPr="00437808">
        <w:t xml:space="preserve">threats. Viruses, </w:t>
      </w:r>
      <w:r w:rsidR="000C5AA6" w:rsidRPr="00437808">
        <w:t xml:space="preserve">spyware, </w:t>
      </w:r>
      <w:r w:rsidR="00AF2B7B" w:rsidRPr="00437808">
        <w:t xml:space="preserve">malware and directed attacks </w:t>
      </w:r>
      <w:r w:rsidRPr="00437808">
        <w:t>arise from inside and outside an organization’s network</w:t>
      </w:r>
      <w:r w:rsidR="00AF2B7B" w:rsidRPr="00437808">
        <w:t>. Some threats breach tight security on the corporate network, and some come in via laptops</w:t>
      </w:r>
      <w:r w:rsidR="004A7EBF" w:rsidRPr="00437808">
        <w:t xml:space="preserve"> and devices</w:t>
      </w:r>
      <w:r w:rsidR="00AF2B7B" w:rsidRPr="00437808">
        <w:t xml:space="preserve"> that h</w:t>
      </w:r>
      <w:r w:rsidR="004A7EBF" w:rsidRPr="00437808">
        <w:t>ave been out in the ‘real world.’</w:t>
      </w:r>
      <w:r w:rsidR="00AF2B7B" w:rsidRPr="00437808">
        <w:t xml:space="preserve"> </w:t>
      </w:r>
      <w:r w:rsidR="00BE3FBD" w:rsidRPr="00437808">
        <w:t>As a result, o</w:t>
      </w:r>
      <w:r w:rsidR="00282CCF" w:rsidRPr="00437808">
        <w:t>rganizations are constantly challenged to fortify and extend security solutions</w:t>
      </w:r>
      <w:r w:rsidR="00BE3FBD" w:rsidRPr="00437808">
        <w:t xml:space="preserve"> to</w:t>
      </w:r>
      <w:r w:rsidR="00282CCF" w:rsidRPr="00437808">
        <w:t xml:space="preserve"> reduce productivity</w:t>
      </w:r>
      <w:r w:rsidR="00F46F79" w:rsidRPr="00437808">
        <w:t>, asset, and information losses</w:t>
      </w:r>
      <w:r w:rsidR="00282CCF" w:rsidRPr="00437808">
        <w:t>.</w:t>
      </w:r>
      <w:r w:rsidR="00763298" w:rsidRPr="00437808">
        <w:t xml:space="preserve"> </w:t>
      </w:r>
    </w:p>
    <w:p w:rsidR="008C3717" w:rsidRPr="00437808" w:rsidRDefault="00F46F79" w:rsidP="008C3717">
      <w:r w:rsidRPr="00437808">
        <w:t xml:space="preserve">This white paper describes how </w:t>
      </w:r>
      <w:r w:rsidR="00A540B7" w:rsidRPr="00437808">
        <w:t>Microsoft</w:t>
      </w:r>
      <w:r w:rsidR="005D17BA" w:rsidRPr="00437808">
        <w:t>®</w:t>
      </w:r>
      <w:r w:rsidR="00A540B7" w:rsidRPr="00437808">
        <w:t xml:space="preserve"> </w:t>
      </w:r>
      <w:r w:rsidR="00F36058" w:rsidRPr="00437808">
        <w:t>Forefront</w:t>
      </w:r>
      <w:r w:rsidR="007F3678" w:rsidRPr="00437808">
        <w:t>™</w:t>
      </w:r>
      <w:r w:rsidR="00F36058" w:rsidRPr="00437808">
        <w:t xml:space="preserve"> Client Security </w:t>
      </w:r>
      <w:r w:rsidR="00421B97">
        <w:t xml:space="preserve">– a unified </w:t>
      </w:r>
      <w:r w:rsidR="008C427F" w:rsidRPr="00437808">
        <w:t>antivirus and antispyware solution that includes central</w:t>
      </w:r>
      <w:r w:rsidR="00AD0E10" w:rsidRPr="00437808">
        <w:t>ized</w:t>
      </w:r>
      <w:r w:rsidR="008C427F" w:rsidRPr="00437808">
        <w:t xml:space="preserve"> management and extensive reporting capabilities – </w:t>
      </w:r>
      <w:r w:rsidRPr="00437808">
        <w:t>helps enterprises meet these challenges by reducing</w:t>
      </w:r>
      <w:r w:rsidR="0086223E" w:rsidRPr="00437808">
        <w:t xml:space="preserve"> vulnerabilities and</w:t>
      </w:r>
      <w:r w:rsidRPr="00437808">
        <w:t xml:space="preserve"> lowering total cost of ownership (TCO). </w:t>
      </w:r>
      <w:r w:rsidR="009A322F" w:rsidRPr="00437808">
        <w:t xml:space="preserve">More specifically, </w:t>
      </w:r>
      <w:r w:rsidR="00501CC2" w:rsidRPr="00437808">
        <w:t>the paper summarizes TCO findings from a su</w:t>
      </w:r>
      <w:r w:rsidR="00EF5764" w:rsidRPr="00437808">
        <w:t>rvey of eight early adopters</w:t>
      </w:r>
      <w:r w:rsidR="0086223E" w:rsidRPr="00437808">
        <w:t xml:space="preserve">. </w:t>
      </w:r>
    </w:p>
    <w:tbl>
      <w:tblPr>
        <w:tblStyle w:val="TableforText"/>
        <w:tblpPr w:leftFromText="180" w:rightFromText="180" w:vertAnchor="text" w:horzAnchor="margin" w:tblpXSpec="right" w:tblpY="46"/>
        <w:tblOverlap w:val="never"/>
        <w:tblW w:w="5148" w:type="dxa"/>
        <w:tblLook w:val="04A0"/>
      </w:tblPr>
      <w:tblGrid>
        <w:gridCol w:w="5148"/>
      </w:tblGrid>
      <w:tr w:rsidR="000E4B52" w:rsidRPr="00437808" w:rsidTr="000E4B52">
        <w:trPr>
          <w:cnfStyle w:val="100000000000"/>
          <w:trHeight w:val="67"/>
        </w:trPr>
        <w:tc>
          <w:tcPr>
            <w:cnfStyle w:val="001000000000"/>
            <w:tcW w:w="5148" w:type="dxa"/>
          </w:tcPr>
          <w:p w:rsidR="000E4B52" w:rsidRPr="00437808" w:rsidRDefault="00523952" w:rsidP="000E4B52">
            <w:pPr>
              <w:tabs>
                <w:tab w:val="left" w:pos="1589"/>
              </w:tabs>
              <w:spacing w:after="0" w:line="276" w:lineRule="auto"/>
            </w:pPr>
            <w:r w:rsidRPr="00437808">
              <w:t xml:space="preserve">TCO </w:t>
            </w:r>
            <w:r w:rsidR="000E4B52" w:rsidRPr="00437808">
              <w:t>Highlights</w:t>
            </w:r>
            <w:r w:rsidR="000E4B52" w:rsidRPr="00437808">
              <w:tab/>
            </w:r>
          </w:p>
        </w:tc>
      </w:tr>
      <w:tr w:rsidR="000E4B52" w:rsidRPr="00437808" w:rsidTr="000E4B52">
        <w:trPr>
          <w:cnfStyle w:val="000000100000"/>
          <w:trHeight w:val="67"/>
        </w:trPr>
        <w:tc>
          <w:tcPr>
            <w:cnfStyle w:val="001000000000"/>
            <w:tcW w:w="5148" w:type="dxa"/>
          </w:tcPr>
          <w:p w:rsidR="000E4B52" w:rsidRPr="00437808" w:rsidRDefault="000E4B52" w:rsidP="000E4B52">
            <w:pPr>
              <w:spacing w:after="0" w:line="276" w:lineRule="auto"/>
            </w:pPr>
            <w:r w:rsidRPr="00437808">
              <w:t>85% average reduction in security issues</w:t>
            </w:r>
          </w:p>
        </w:tc>
      </w:tr>
      <w:tr w:rsidR="000E4B52" w:rsidRPr="00437808" w:rsidTr="000E4B52">
        <w:trPr>
          <w:cnfStyle w:val="000000010000"/>
          <w:trHeight w:val="67"/>
        </w:trPr>
        <w:tc>
          <w:tcPr>
            <w:cnfStyle w:val="001000000000"/>
            <w:tcW w:w="5148" w:type="dxa"/>
          </w:tcPr>
          <w:p w:rsidR="000E4B52" w:rsidRPr="00437808" w:rsidRDefault="000E4B52" w:rsidP="000E4B52">
            <w:pPr>
              <w:spacing w:after="0" w:line="276" w:lineRule="auto"/>
            </w:pPr>
            <w:r w:rsidRPr="00437808">
              <w:t>75% average security issue response time reduction</w:t>
            </w:r>
          </w:p>
        </w:tc>
      </w:tr>
      <w:tr w:rsidR="000E4B52" w:rsidRPr="00437808" w:rsidTr="000E4B52">
        <w:trPr>
          <w:cnfStyle w:val="000000100000"/>
          <w:trHeight w:val="67"/>
        </w:trPr>
        <w:tc>
          <w:tcPr>
            <w:cnfStyle w:val="001000000000"/>
            <w:tcW w:w="5148" w:type="dxa"/>
          </w:tcPr>
          <w:p w:rsidR="000E4B52" w:rsidRPr="00437808" w:rsidRDefault="000E4B52" w:rsidP="000E4B52">
            <w:pPr>
              <w:spacing w:after="0" w:line="240" w:lineRule="auto"/>
              <w:rPr>
                <w:b w:val="0"/>
                <w:bCs w:val="0"/>
              </w:rPr>
            </w:pPr>
            <w:r w:rsidRPr="00437808">
              <w:t>$24</w:t>
            </w:r>
            <w:r w:rsidR="00523952" w:rsidRPr="00437808">
              <w:t>.00</w:t>
            </w:r>
            <w:r w:rsidRPr="00437808">
              <w:t xml:space="preserve"> average annual TCO savings per desktop</w:t>
            </w:r>
          </w:p>
        </w:tc>
      </w:tr>
      <w:tr w:rsidR="000E4B52" w:rsidRPr="00437808" w:rsidTr="000E4B52">
        <w:trPr>
          <w:cnfStyle w:val="000000010000"/>
          <w:trHeight w:val="67"/>
        </w:trPr>
        <w:tc>
          <w:tcPr>
            <w:cnfStyle w:val="001000000000"/>
            <w:tcW w:w="5148" w:type="dxa"/>
          </w:tcPr>
          <w:p w:rsidR="000E4B52" w:rsidRPr="00437808" w:rsidRDefault="000E4B52" w:rsidP="000E4B52">
            <w:pPr>
              <w:spacing w:after="0" w:line="276" w:lineRule="auto"/>
            </w:pPr>
            <w:r w:rsidRPr="00437808">
              <w:t>Overall, user downtime significantly reduced</w:t>
            </w:r>
          </w:p>
        </w:tc>
      </w:tr>
    </w:tbl>
    <w:p w:rsidR="008C3717" w:rsidRPr="00437808" w:rsidRDefault="00523952" w:rsidP="008C3717">
      <w:r w:rsidRPr="00437808">
        <w:rPr>
          <w:noProof/>
        </w:rPr>
        <w:drawing>
          <wp:anchor distT="0" distB="0" distL="114300" distR="114300" simplePos="0" relativeHeight="251664384" behindDoc="0" locked="0" layoutInCell="1" allowOverlap="1">
            <wp:simplePos x="0" y="0"/>
            <wp:positionH relativeFrom="column">
              <wp:posOffset>1911350</wp:posOffset>
            </wp:positionH>
            <wp:positionV relativeFrom="paragraph">
              <wp:posOffset>3190875</wp:posOffset>
            </wp:positionV>
            <wp:extent cx="3870960" cy="1086485"/>
            <wp:effectExtent l="1905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srcRect/>
                    <a:stretch>
                      <a:fillRect/>
                    </a:stretch>
                  </pic:blipFill>
                  <pic:spPr bwMode="auto">
                    <a:xfrm>
                      <a:off x="0" y="0"/>
                      <a:ext cx="3870960" cy="1086485"/>
                    </a:xfrm>
                    <a:prstGeom prst="rect">
                      <a:avLst/>
                    </a:prstGeom>
                    <a:noFill/>
                    <a:ln w="9525">
                      <a:noFill/>
                      <a:miter lim="800000"/>
                      <a:headEnd/>
                      <a:tailEnd/>
                    </a:ln>
                  </pic:spPr>
                </pic:pic>
              </a:graphicData>
            </a:graphic>
          </wp:anchor>
        </w:drawing>
      </w:r>
      <w:r w:rsidR="007F7745">
        <w:rPr>
          <w:noProof/>
        </w:rPr>
        <w:pict>
          <v:shapetype id="_x0000_t202" coordsize="21600,21600" o:spt="202" path="m,l,21600r21600,l21600,xe">
            <v:stroke joinstyle="miter"/>
            <v:path gradientshapeok="t" o:connecttype="rect"/>
          </v:shapetype>
          <v:shape id="_x0000_s1033" type="#_x0000_t202" style="position:absolute;margin-left:150.85pt;margin-top:320.85pt;width:296.35pt;height:21pt;z-index:251658240;mso-position-horizontal-relative:text;mso-position-vertical-relative:text" filled="f" stroked="f">
            <v:textbox style="mso-next-textbox:#_x0000_s1033;mso-fit-shape-to-text:t" inset="0,0,0,0">
              <w:txbxContent>
                <w:p w:rsidR="00523952" w:rsidRDefault="00523952" w:rsidP="00501CC2">
                  <w:pPr>
                    <w:pStyle w:val="Caption"/>
                    <w:rPr>
                      <w:noProof/>
                    </w:rPr>
                  </w:pPr>
                  <w:r>
                    <w:t xml:space="preserve">Figure </w:t>
                  </w:r>
                  <w:fldSimple w:instr=" SEQ Figure \* ARABIC ">
                    <w:r>
                      <w:rPr>
                        <w:noProof/>
                      </w:rPr>
                      <w:t>1</w:t>
                    </w:r>
                  </w:fldSimple>
                  <w:r>
                    <w:t xml:space="preserve"> Summary of Costs and Benefits</w:t>
                  </w:r>
                </w:p>
              </w:txbxContent>
            </v:textbox>
            <w10:wrap type="square"/>
          </v:shape>
        </w:pict>
      </w:r>
      <w:r w:rsidR="00501CC2" w:rsidRPr="00437808">
        <w:t xml:space="preserve">Value Prism Consulting, a management consulting and financial analysis firm, </w:t>
      </w:r>
      <w:r w:rsidR="00DC044E" w:rsidRPr="00437808">
        <w:t xml:space="preserve">conducted </w:t>
      </w:r>
      <w:r w:rsidR="00EE0D6C" w:rsidRPr="00437808">
        <w:t xml:space="preserve">a </w:t>
      </w:r>
      <w:r w:rsidR="00DC044E" w:rsidRPr="00437808">
        <w:t xml:space="preserve">survey, measuring </w:t>
      </w:r>
      <w:r w:rsidR="00D1426E">
        <w:t xml:space="preserve">TCO </w:t>
      </w:r>
      <w:r w:rsidR="00D1426E" w:rsidRPr="00437808">
        <w:t>changes</w:t>
      </w:r>
      <w:r w:rsidR="00501CC2" w:rsidRPr="00437808">
        <w:t xml:space="preserve"> </w:t>
      </w:r>
      <w:r w:rsidR="00EE0D6C" w:rsidRPr="00437808">
        <w:t>with eight organizations that</w:t>
      </w:r>
      <w:r w:rsidR="00DC044E" w:rsidRPr="00437808">
        <w:t xml:space="preserve"> switched</w:t>
      </w:r>
      <w:r w:rsidR="00501CC2" w:rsidRPr="00437808">
        <w:t xml:space="preserve"> to Forefro</w:t>
      </w:r>
      <w:r w:rsidR="00DC044E" w:rsidRPr="00437808">
        <w:t xml:space="preserve">nt Client Security.  </w:t>
      </w:r>
      <w:r w:rsidR="00EF5764" w:rsidRPr="00437808">
        <w:t>Survey participants estimated an average of $24</w:t>
      </w:r>
      <w:r w:rsidRPr="00437808">
        <w:t>.00</w:t>
      </w:r>
      <w:r w:rsidR="00EF5764" w:rsidRPr="00437808">
        <w:t xml:space="preserve"> in savings per desktop based on reduced IT sec</w:t>
      </w:r>
      <w:r w:rsidR="00B45428" w:rsidRPr="00437808">
        <w:t>urity response time</w:t>
      </w:r>
      <w:r w:rsidR="00E83535" w:rsidRPr="00437808">
        <w:t>.</w:t>
      </w:r>
      <w:r w:rsidR="00B45428" w:rsidRPr="00437808">
        <w:t xml:space="preserve"> </w:t>
      </w:r>
      <w:r w:rsidR="00E83535" w:rsidRPr="00437808">
        <w:t xml:space="preserve">Although not quantified, significant </w:t>
      </w:r>
      <w:r w:rsidR="00B45428" w:rsidRPr="00437808">
        <w:t>end-user productivity</w:t>
      </w:r>
      <w:r w:rsidR="00E83535" w:rsidRPr="00437808">
        <w:t xml:space="preserve"> gains have </w:t>
      </w:r>
      <w:r w:rsidR="00CF2008" w:rsidRPr="00437808">
        <w:t xml:space="preserve">also </w:t>
      </w:r>
      <w:r w:rsidR="00E83535" w:rsidRPr="00437808">
        <w:t>been realized</w:t>
      </w:r>
      <w:r w:rsidR="00CF2008" w:rsidRPr="00437808">
        <w:t xml:space="preserve"> by several organizations</w:t>
      </w:r>
      <w:r w:rsidR="00B45428" w:rsidRPr="00437808">
        <w:t xml:space="preserve">. Overall, participants experienced </w:t>
      </w:r>
      <w:r w:rsidR="00EF5764" w:rsidRPr="00437808">
        <w:t xml:space="preserve">85% fewer security issues </w:t>
      </w:r>
      <w:r w:rsidR="00B45428" w:rsidRPr="00437808">
        <w:t xml:space="preserve">after installing the solution. </w:t>
      </w:r>
      <w:r w:rsidR="00EF5764" w:rsidRPr="00437808">
        <w:t xml:space="preserve">Several of the participating organizations encountered significant IT administration benefits of an additional $7.50 per desktop.  In </w:t>
      </w:r>
      <w:r w:rsidR="00B45428" w:rsidRPr="00437808">
        <w:t xml:space="preserve">addition, </w:t>
      </w:r>
      <w:r w:rsidR="00EE0D6C" w:rsidRPr="00437808">
        <w:t>participants</w:t>
      </w:r>
      <w:r w:rsidR="00EF5764" w:rsidRPr="00437808">
        <w:t xml:space="preserve"> expect significant benefits from Forefront Client Security</w:t>
      </w:r>
      <w:r w:rsidR="004A7EBF" w:rsidRPr="00437808">
        <w:t>’s unique</w:t>
      </w:r>
      <w:r w:rsidR="00EF5764" w:rsidRPr="00437808">
        <w:t xml:space="preserve"> reporting and</w:t>
      </w:r>
      <w:r w:rsidR="004A7EBF" w:rsidRPr="00437808">
        <w:t xml:space="preserve"> control features</w:t>
      </w:r>
      <w:r w:rsidR="00EF5764" w:rsidRPr="00437808">
        <w:t xml:space="preserve">. </w:t>
      </w:r>
      <w:r w:rsidR="00DC044E" w:rsidRPr="00437808">
        <w:t xml:space="preserve">Initial investment costs for the companies averaged </w:t>
      </w:r>
      <w:r w:rsidR="00501CC2" w:rsidRPr="00437808">
        <w:t>$16.50 per desktop</w:t>
      </w:r>
      <w:r w:rsidR="00DC044E" w:rsidRPr="00437808">
        <w:t xml:space="preserve">. </w:t>
      </w:r>
      <w:r w:rsidR="004A7EBF" w:rsidRPr="00437808">
        <w:t xml:space="preserve">These </w:t>
      </w:r>
      <w:r w:rsidR="00DC044E" w:rsidRPr="00437808">
        <w:t>Forefront Client Security deployment costs included</w:t>
      </w:r>
      <w:r w:rsidR="00501CC2" w:rsidRPr="00437808">
        <w:t xml:space="preserve"> deployment effort </w:t>
      </w:r>
      <w:r w:rsidR="00DC044E" w:rsidRPr="00437808">
        <w:t xml:space="preserve">as well as additional </w:t>
      </w:r>
      <w:r w:rsidR="00501CC2" w:rsidRPr="00437808">
        <w:t>software and hardware</w:t>
      </w:r>
      <w:r w:rsidR="00DC044E" w:rsidRPr="00437808">
        <w:t xml:space="preserve"> costs incurred</w:t>
      </w:r>
      <w:r w:rsidR="00EF5764" w:rsidRPr="00437808">
        <w:t>.</w:t>
      </w:r>
      <w:r w:rsidR="00501CC2" w:rsidRPr="00437808">
        <w:t xml:space="preserve"> </w:t>
      </w:r>
    </w:p>
    <w:p w:rsidR="00FF066F" w:rsidRPr="00437808" w:rsidRDefault="003F6643" w:rsidP="00FF066F">
      <w:pPr>
        <w:pStyle w:val="Heading1"/>
      </w:pPr>
      <w:bookmarkStart w:id="3" w:name="_Toc200164798"/>
      <w:r w:rsidRPr="00437808">
        <w:lastRenderedPageBreak/>
        <w:t xml:space="preserve">Internet Exposure Presents Serious </w:t>
      </w:r>
      <w:r w:rsidR="005003BD" w:rsidRPr="00437808">
        <w:t>Desktop</w:t>
      </w:r>
      <w:r w:rsidRPr="00437808">
        <w:t xml:space="preserve"> Security Threat</w:t>
      </w:r>
      <w:r w:rsidR="006F093E" w:rsidRPr="00437808">
        <w:t>s</w:t>
      </w:r>
      <w:bookmarkEnd w:id="3"/>
    </w:p>
    <w:p w:rsidR="001B30CB" w:rsidRPr="00437808" w:rsidRDefault="000C5AA6" w:rsidP="00D472C5">
      <w:r w:rsidRPr="00437808">
        <w:t xml:space="preserve">Over the past few years, enterprises have </w:t>
      </w:r>
      <w:r w:rsidR="009E3978" w:rsidRPr="00437808">
        <w:t>successfully</w:t>
      </w:r>
      <w:r w:rsidR="00CA7A0A" w:rsidRPr="00437808">
        <w:t xml:space="preserve"> curbed</w:t>
      </w:r>
      <w:r w:rsidR="00AB5549" w:rsidRPr="00437808">
        <w:t xml:space="preserve"> spam, Denial of Service (DoS), and virus-related security breaches. However, </w:t>
      </w:r>
      <w:r w:rsidRPr="00437808">
        <w:t>risks due to both internal and external Internet exposure have been growing considerably.</w:t>
      </w:r>
      <w:r w:rsidR="00AB5549" w:rsidRPr="00437808">
        <w:t xml:space="preserve"> </w:t>
      </w:r>
    </w:p>
    <w:p w:rsidR="001B30CB" w:rsidRPr="00437808" w:rsidRDefault="001B30CB" w:rsidP="00D472C5">
      <w:r w:rsidRPr="00437808">
        <w:t>There are several lines of defense in the corporate network, including network traffic security (such a</w:t>
      </w:r>
      <w:r w:rsidR="006F093E" w:rsidRPr="00437808">
        <w:t>n</w:t>
      </w:r>
      <w:r w:rsidRPr="00437808">
        <w:t xml:space="preserve"> email virus scanner, spam email blocker, Web Proxy server, and other network-based solutions).  Server solutions block many threats – such as many email viruses, ne</w:t>
      </w:r>
      <w:r w:rsidR="00107BA1" w:rsidRPr="00437808">
        <w:t>twork hacking</w:t>
      </w:r>
      <w:r w:rsidRPr="00437808">
        <w:t xml:space="preserve">, and other hazards.  However, business users receive information in different ways, such as from a client or business partner via CD- or DVD-ROM, USB-drive </w:t>
      </w:r>
      <w:r w:rsidR="00107BA1" w:rsidRPr="00437808">
        <w:t>or other physical data transfer. They also</w:t>
      </w:r>
      <w:r w:rsidRPr="00437808">
        <w:t xml:space="preserve"> </w:t>
      </w:r>
      <w:r w:rsidR="009E3978" w:rsidRPr="00437808">
        <w:t>download</w:t>
      </w:r>
      <w:r w:rsidRPr="00437808">
        <w:t xml:space="preserve"> viruses or spyware hidden in innocent-looking files or installers.  These are not always caught by network security solutions.  </w:t>
      </w:r>
    </w:p>
    <w:p w:rsidR="00E86F82" w:rsidRPr="00437808" w:rsidRDefault="00437808" w:rsidP="00D472C5">
      <w:r>
        <w:rPr>
          <w:noProof/>
        </w:rPr>
        <w:drawing>
          <wp:anchor distT="0" distB="0" distL="114300" distR="114300" simplePos="0" relativeHeight="251656192" behindDoc="0" locked="0" layoutInCell="1" allowOverlap="1">
            <wp:simplePos x="0" y="0"/>
            <wp:positionH relativeFrom="margin">
              <wp:posOffset>2609850</wp:posOffset>
            </wp:positionH>
            <wp:positionV relativeFrom="margin">
              <wp:posOffset>5236210</wp:posOffset>
            </wp:positionV>
            <wp:extent cx="3146425" cy="2286000"/>
            <wp:effectExtent l="19050" t="0" r="0"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l="2418" t="7477" r="5701"/>
                    <a:stretch>
                      <a:fillRect/>
                    </a:stretch>
                  </pic:blipFill>
                  <pic:spPr bwMode="auto">
                    <a:xfrm>
                      <a:off x="0" y="0"/>
                      <a:ext cx="3146425" cy="2286000"/>
                    </a:xfrm>
                    <a:prstGeom prst="rect">
                      <a:avLst/>
                    </a:prstGeom>
                    <a:noFill/>
                    <a:ln w="9525">
                      <a:noFill/>
                      <a:miter lim="800000"/>
                      <a:headEnd/>
                      <a:tailEnd/>
                    </a:ln>
                  </pic:spPr>
                </pic:pic>
              </a:graphicData>
            </a:graphic>
          </wp:anchor>
        </w:drawing>
      </w:r>
      <w:r w:rsidR="000E4B52" w:rsidRPr="00437808">
        <w:t>S</w:t>
      </w:r>
      <w:r w:rsidR="00AB5549" w:rsidRPr="00437808">
        <w:t xml:space="preserve">erver-side </w:t>
      </w:r>
      <w:r w:rsidR="009E3978" w:rsidRPr="00437808">
        <w:t>security</w:t>
      </w:r>
      <w:r w:rsidR="00AB5549" w:rsidRPr="00437808">
        <w:t xml:space="preserve"> solutions have been successful at managing some threats across firewalled networks</w:t>
      </w:r>
      <w:r w:rsidR="000E4B52" w:rsidRPr="00437808">
        <w:t xml:space="preserve">. However, </w:t>
      </w:r>
      <w:r w:rsidR="00AB5549" w:rsidRPr="00437808">
        <w:t xml:space="preserve">the </w:t>
      </w:r>
      <w:r w:rsidR="000E4B52" w:rsidRPr="00437808">
        <w:t>growth of mobile computing and wireless hotspots has</w:t>
      </w:r>
      <w:r w:rsidR="00AB5549" w:rsidRPr="00437808">
        <w:t xml:space="preserve"> presented organizations with new </w:t>
      </w:r>
      <w:r w:rsidR="00CA7A0A" w:rsidRPr="00437808">
        <w:t>vulnerabilities</w:t>
      </w:r>
      <w:r w:rsidR="00250811" w:rsidRPr="00437808">
        <w:t xml:space="preserve">. Traveling employees, for example, use laptops at </w:t>
      </w:r>
      <w:r w:rsidR="00AB5549" w:rsidRPr="00437808">
        <w:t xml:space="preserve">loosely secured café and hotel access points, open-access hotspots, and home office networks. </w:t>
      </w:r>
      <w:r w:rsidR="00CA7A0A" w:rsidRPr="00437808">
        <w:t xml:space="preserve">Security measures “in the wild” are </w:t>
      </w:r>
      <w:r w:rsidR="009E3978" w:rsidRPr="00437808">
        <w:t>haphazard</w:t>
      </w:r>
      <w:r w:rsidR="00CA7A0A" w:rsidRPr="00437808">
        <w:t xml:space="preserve"> at best. </w:t>
      </w:r>
      <w:r w:rsidR="00AB5549" w:rsidRPr="00437808">
        <w:t xml:space="preserve">All it takes is a one errant click on one slyly-crafted phishing link, and any </w:t>
      </w:r>
      <w:r w:rsidR="00250811" w:rsidRPr="00437808">
        <w:t xml:space="preserve">device </w:t>
      </w:r>
      <w:r w:rsidR="00AB5549" w:rsidRPr="00437808">
        <w:t>can be corrupted</w:t>
      </w:r>
      <w:r w:rsidR="006F093E" w:rsidRPr="00437808">
        <w:t>.</w:t>
      </w:r>
      <w:r w:rsidR="00CA7A0A" w:rsidRPr="00437808">
        <w:t xml:space="preserve"> Devices that use open networks are essentially an open archive of intelle</w:t>
      </w:r>
      <w:r w:rsidR="00022720" w:rsidRPr="00437808">
        <w:t>ctual property</w:t>
      </w:r>
      <w:r w:rsidR="00CA7A0A" w:rsidRPr="00437808">
        <w:t xml:space="preserve"> and </w:t>
      </w:r>
      <w:r w:rsidR="008649B6" w:rsidRPr="00437808">
        <w:t>confidential communications. L</w:t>
      </w:r>
      <w:r w:rsidR="00250811" w:rsidRPr="00437808">
        <w:t>aptop</w:t>
      </w:r>
      <w:r w:rsidR="008649B6" w:rsidRPr="00437808">
        <w:t xml:space="preserve">s that make it back behind the corporate firewall introduce vulnerabilities </w:t>
      </w:r>
      <w:r w:rsidR="00250811" w:rsidRPr="00437808">
        <w:t>to the corporate network.</w:t>
      </w:r>
    </w:p>
    <w:p w:rsidR="00BF0B85" w:rsidRPr="00437808" w:rsidRDefault="007F7745" w:rsidP="00D472C5">
      <w:r>
        <w:rPr>
          <w:noProof/>
        </w:rPr>
        <w:pict>
          <v:shape id="_x0000_s1034" type="#_x0000_t202" style="position:absolute;margin-left:211pt;margin-top:136.95pt;width:247.15pt;height:21.75pt;z-index:251661312" stroked="f">
            <v:textbox style="mso-next-textbox:#_x0000_s1034" inset="0,0,0,0">
              <w:txbxContent>
                <w:p w:rsidR="00523952" w:rsidRDefault="00523952" w:rsidP="00D472C5">
                  <w:pPr>
                    <w:pStyle w:val="Caption"/>
                    <w:rPr>
                      <w:noProof/>
                    </w:rPr>
                  </w:pPr>
                  <w:r>
                    <w:t xml:space="preserve">Figure </w:t>
                  </w:r>
                  <w:fldSimple w:instr=" SEQ Figure \* ARABIC ">
                    <w:r>
                      <w:rPr>
                        <w:noProof/>
                      </w:rPr>
                      <w:t>2</w:t>
                    </w:r>
                  </w:fldSimple>
                  <w:r>
                    <w:t xml:space="preserve"> Number of Industry-wide vulnerability disclosures, 2003-2007</w:t>
                  </w:r>
                </w:p>
              </w:txbxContent>
            </v:textbox>
            <w10:wrap type="square"/>
          </v:shape>
        </w:pict>
      </w:r>
      <w:r w:rsidR="00D472C5" w:rsidRPr="00437808">
        <w:t>According to a recent Microsoft Security Intelligence Report (July through December 2007)</w:t>
      </w:r>
      <w:r w:rsidR="00D472C5" w:rsidRPr="00437808">
        <w:rPr>
          <w:rStyle w:val="FootnoteReference"/>
        </w:rPr>
        <w:footnoteReference w:id="2"/>
      </w:r>
      <w:r w:rsidR="00D472C5" w:rsidRPr="00437808">
        <w:t>, industry-wide vulnerability disclosures have improved since 2006 (see figure 2).</w:t>
      </w:r>
      <w:r w:rsidR="00971B68" w:rsidRPr="00437808">
        <w:t xml:space="preserve"> However, mobile computing and Internet-exposure threats are growing as mobile work scenarios proliferate. </w:t>
      </w:r>
      <w:r w:rsidR="000C5AA6" w:rsidRPr="00437808">
        <w:t xml:space="preserve"> </w:t>
      </w:r>
    </w:p>
    <w:p w:rsidR="00E86F82" w:rsidRPr="00437808" w:rsidRDefault="00D9392A" w:rsidP="00D472C5">
      <w:r w:rsidRPr="00437808">
        <w:lastRenderedPageBreak/>
        <w:t xml:space="preserve">Threats are propagated through directed </w:t>
      </w:r>
      <w:r w:rsidR="00E86F82" w:rsidRPr="00437808">
        <w:t xml:space="preserve">attacks or, more often, by unaware users who stumble upon malware or spyware in their everyday activity.  For example, a malicious object may be introduced by a user who simply clicks a link on </w:t>
      </w:r>
      <w:r w:rsidR="00523952" w:rsidRPr="00437808">
        <w:t xml:space="preserve">a </w:t>
      </w:r>
      <w:r w:rsidR="00E86F82" w:rsidRPr="00437808">
        <w:t xml:space="preserve">Website or in an email that automatically downloads and opens the object. Sometimes even multiple pop-up warnings are not sufficient to avoid the attack.   </w:t>
      </w:r>
    </w:p>
    <w:tbl>
      <w:tblPr>
        <w:tblStyle w:val="TableforText"/>
        <w:tblpPr w:leftFromText="187" w:rightFromText="187" w:vertAnchor="page" w:horzAnchor="margin" w:tblpXSpec="right" w:tblpY="2296"/>
        <w:tblOverlap w:val="never"/>
        <w:tblW w:w="3942" w:type="dxa"/>
        <w:tblLook w:val="04A0"/>
      </w:tblPr>
      <w:tblGrid>
        <w:gridCol w:w="3942"/>
      </w:tblGrid>
      <w:tr w:rsidR="00D9392A" w:rsidRPr="00437808" w:rsidTr="00523952">
        <w:trPr>
          <w:cnfStyle w:val="100000000000"/>
          <w:trHeight w:val="67"/>
        </w:trPr>
        <w:tc>
          <w:tcPr>
            <w:cnfStyle w:val="001000000000"/>
            <w:tcW w:w="3942" w:type="dxa"/>
          </w:tcPr>
          <w:p w:rsidR="00D9392A" w:rsidRPr="00437808" w:rsidRDefault="00D9392A" w:rsidP="00523952">
            <w:pPr>
              <w:tabs>
                <w:tab w:val="left" w:pos="1589"/>
              </w:tabs>
              <w:spacing w:after="0" w:line="276" w:lineRule="auto"/>
            </w:pPr>
            <w:r w:rsidRPr="00437808">
              <w:t>Common Security Threats Defined</w:t>
            </w:r>
          </w:p>
        </w:tc>
      </w:tr>
      <w:tr w:rsidR="00D9392A" w:rsidRPr="00437808" w:rsidTr="00523952">
        <w:trPr>
          <w:cnfStyle w:val="000000100000"/>
          <w:trHeight w:val="205"/>
        </w:trPr>
        <w:tc>
          <w:tcPr>
            <w:cnfStyle w:val="001000000000"/>
            <w:tcW w:w="3942" w:type="dxa"/>
            <w:shd w:val="clear" w:color="auto" w:fill="C6D9F1" w:themeFill="text2" w:themeFillTint="33"/>
          </w:tcPr>
          <w:p w:rsidR="00D9392A" w:rsidRPr="00437808" w:rsidRDefault="00D9392A" w:rsidP="00523952">
            <w:pPr>
              <w:spacing w:after="0" w:line="240" w:lineRule="auto"/>
              <w:rPr>
                <w:b w:val="0"/>
              </w:rPr>
            </w:pPr>
            <w:r w:rsidRPr="00437808">
              <w:t xml:space="preserve">Malware: </w:t>
            </w:r>
            <w:r w:rsidRPr="00437808">
              <w:rPr>
                <w:b w:val="0"/>
              </w:rPr>
              <w:t>A malicious program or file designed to damage or disrupt a system (includes viruses, worms, rootkits, and Trojan horses).</w:t>
            </w:r>
          </w:p>
          <w:p w:rsidR="00D9392A" w:rsidRPr="00437808" w:rsidRDefault="00D9392A" w:rsidP="00523952">
            <w:pPr>
              <w:spacing w:after="0" w:line="240" w:lineRule="auto"/>
              <w:rPr>
                <w:b w:val="0"/>
              </w:rPr>
            </w:pPr>
          </w:p>
          <w:p w:rsidR="00D9392A" w:rsidRPr="00437808" w:rsidRDefault="00D9392A" w:rsidP="00523952">
            <w:pPr>
              <w:spacing w:after="0" w:line="240" w:lineRule="auto"/>
              <w:rPr>
                <w:b w:val="0"/>
              </w:rPr>
            </w:pPr>
            <w:r w:rsidRPr="00437808">
              <w:t xml:space="preserve">Spyware: </w:t>
            </w:r>
            <w:r w:rsidRPr="00437808">
              <w:rPr>
                <w:b w:val="0"/>
              </w:rPr>
              <w:t xml:space="preserve">Software that secretly gathers information about users navigating the Internet. The information is normally used for advertising </w:t>
            </w:r>
            <w:r w:rsidR="000E4B52" w:rsidRPr="00437808">
              <w:rPr>
                <w:b w:val="0"/>
              </w:rPr>
              <w:t>purposes;</w:t>
            </w:r>
            <w:r w:rsidRPr="00437808">
              <w:rPr>
                <w:b w:val="0"/>
              </w:rPr>
              <w:t xml:space="preserve"> however, spyware can also gather email address, password and credit card information.</w:t>
            </w:r>
          </w:p>
          <w:p w:rsidR="00D9392A" w:rsidRPr="00437808" w:rsidRDefault="00D9392A" w:rsidP="00523952">
            <w:pPr>
              <w:spacing w:after="0" w:line="240" w:lineRule="auto"/>
              <w:rPr>
                <w:b w:val="0"/>
              </w:rPr>
            </w:pPr>
          </w:p>
          <w:p w:rsidR="00D9392A" w:rsidRPr="00437808" w:rsidRDefault="00D9392A" w:rsidP="00523952">
            <w:pPr>
              <w:spacing w:after="0" w:line="240" w:lineRule="auto"/>
              <w:rPr>
                <w:b w:val="0"/>
              </w:rPr>
            </w:pPr>
            <w:r w:rsidRPr="00437808">
              <w:t xml:space="preserve">Virus: </w:t>
            </w:r>
            <w:r w:rsidRPr="00437808">
              <w:rPr>
                <w:b w:val="0"/>
              </w:rPr>
              <w:t>A piece of code secretly introduced into a system in order to corrupt it or destroy data. Viruses are often hidden in other programs or documents.</w:t>
            </w:r>
          </w:p>
          <w:p w:rsidR="00D9392A" w:rsidRPr="00437808" w:rsidRDefault="00D9392A" w:rsidP="00523952">
            <w:pPr>
              <w:spacing w:after="0" w:line="240" w:lineRule="auto"/>
              <w:rPr>
                <w:b w:val="0"/>
              </w:rPr>
            </w:pPr>
          </w:p>
          <w:p w:rsidR="00D9392A" w:rsidRPr="00437808" w:rsidRDefault="00D9392A" w:rsidP="00523952">
            <w:pPr>
              <w:spacing w:after="0" w:line="240" w:lineRule="auto"/>
              <w:rPr>
                <w:b w:val="0"/>
                <w:bCs w:val="0"/>
              </w:rPr>
            </w:pPr>
            <w:r w:rsidRPr="00437808">
              <w:t>Directed Attack or Denial of Service Attack (DoS</w:t>
            </w:r>
            <w:r w:rsidR="000E4B52" w:rsidRPr="00437808">
              <w:t>)</w:t>
            </w:r>
            <w:r w:rsidRPr="00437808">
              <w:t xml:space="preserve">: </w:t>
            </w:r>
            <w:r w:rsidRPr="00437808">
              <w:rPr>
                <w:b w:val="0"/>
              </w:rPr>
              <w:t>An attempt by a malicious (or unwitting) user, process, or system to prevent legitimate users from accessing a resource (usually a network service) by exploiting a weakness or design limitation in an information system.</w:t>
            </w:r>
          </w:p>
        </w:tc>
      </w:tr>
    </w:tbl>
    <w:p w:rsidR="008D7250" w:rsidRPr="00437808" w:rsidRDefault="00D9392A" w:rsidP="008D7250">
      <w:r w:rsidRPr="00437808">
        <w:t xml:space="preserve"> </w:t>
      </w:r>
      <w:r w:rsidR="00BF0B85" w:rsidRPr="00437808">
        <w:t xml:space="preserve">Better client-side security measures need to be in place. </w:t>
      </w:r>
      <w:r w:rsidR="008D7250" w:rsidRPr="00437808">
        <w:t xml:space="preserve">Employees depend on Internet connectivity for communication, research and productivity. Enterprises are becoming more mobile and interconnected with partner systems and outsourced providers. </w:t>
      </w:r>
      <w:r w:rsidR="00022720" w:rsidRPr="00437808">
        <w:t>These basic realities are here to stay.</w:t>
      </w:r>
      <w:r w:rsidR="008D7250" w:rsidRPr="00437808">
        <w:t xml:space="preserve"> </w:t>
      </w:r>
    </w:p>
    <w:p w:rsidR="00F70BDD" w:rsidRPr="00437808" w:rsidRDefault="00022720" w:rsidP="00E83263">
      <w:r w:rsidRPr="00437808">
        <w:t>As a result, b</w:t>
      </w:r>
      <w:r w:rsidR="00971B68" w:rsidRPr="00437808">
        <w:t>usinesses need</w:t>
      </w:r>
      <w:r w:rsidR="00E83263" w:rsidRPr="00437808">
        <w:t xml:space="preserve"> security that provide</w:t>
      </w:r>
      <w:r w:rsidR="00D9392A" w:rsidRPr="00437808">
        <w:t>s</w:t>
      </w:r>
      <w:r w:rsidR="00E83263" w:rsidRPr="00437808">
        <w:t xml:space="preserve"> greater protection and control across the client operating system, application servers, and the network edge</w:t>
      </w:r>
      <w:r w:rsidR="008D7250" w:rsidRPr="00437808">
        <w:t>.</w:t>
      </w:r>
      <w:r w:rsidRPr="00437808">
        <w:t xml:space="preserve"> The solution needs to ensure tight security </w:t>
      </w:r>
      <w:r w:rsidR="00E83263" w:rsidRPr="00437808">
        <w:t>without interfering with work and communication.</w:t>
      </w:r>
    </w:p>
    <w:p w:rsidR="00A64E39" w:rsidRPr="00437808" w:rsidRDefault="00A64E39" w:rsidP="00A64E39">
      <w:pPr>
        <w:pStyle w:val="Heading2"/>
      </w:pPr>
      <w:bookmarkStart w:id="4" w:name="_Toc200164799"/>
      <w:r w:rsidRPr="00437808">
        <w:t>Existing Products Lack Critical Features</w:t>
      </w:r>
      <w:bookmarkEnd w:id="4"/>
    </w:p>
    <w:p w:rsidR="008C3717" w:rsidRPr="00437808" w:rsidRDefault="005355D2" w:rsidP="008C3717">
      <w:pPr>
        <w:spacing w:after="0"/>
      </w:pPr>
      <w:r w:rsidRPr="00437808">
        <w:t>Existing</w:t>
      </w:r>
      <w:r w:rsidR="00A64E39" w:rsidRPr="00437808">
        <w:t xml:space="preserve"> client security software</w:t>
      </w:r>
      <w:r w:rsidRPr="00437808">
        <w:t xml:space="preserve"> fails to deliver comprehensive threat protection, integration capabilities, and reporting features. </w:t>
      </w:r>
      <w:r w:rsidR="0039584B" w:rsidRPr="00437808">
        <w:t>Current options on the market have significant flaws, including:</w:t>
      </w:r>
    </w:p>
    <w:p w:rsidR="00A64E39" w:rsidRPr="00437808" w:rsidRDefault="00A64E39" w:rsidP="00A64E39">
      <w:pPr>
        <w:pStyle w:val="ListParagraph"/>
        <w:numPr>
          <w:ilvl w:val="0"/>
          <w:numId w:val="6"/>
        </w:numPr>
      </w:pPr>
      <w:r w:rsidRPr="00437808">
        <w:rPr>
          <w:b/>
        </w:rPr>
        <w:t>Limited malware detection</w:t>
      </w:r>
      <w:r w:rsidR="006F093E" w:rsidRPr="00437808">
        <w:rPr>
          <w:b/>
        </w:rPr>
        <w:t xml:space="preserve"> </w:t>
      </w:r>
      <w:r w:rsidR="006F093E" w:rsidRPr="00437808">
        <w:t>that miss certain viruses, and don’t include spyware protection</w:t>
      </w:r>
    </w:p>
    <w:p w:rsidR="00A64E39" w:rsidRPr="00437808" w:rsidRDefault="00A64E39" w:rsidP="00A64E39">
      <w:pPr>
        <w:pStyle w:val="ListParagraph"/>
        <w:numPr>
          <w:ilvl w:val="0"/>
          <w:numId w:val="6"/>
        </w:numPr>
      </w:pPr>
      <w:r w:rsidRPr="00437808">
        <w:rPr>
          <w:b/>
        </w:rPr>
        <w:t>Complicated virus engine</w:t>
      </w:r>
      <w:r w:rsidRPr="00437808">
        <w:t xml:space="preserve"> </w:t>
      </w:r>
      <w:r w:rsidRPr="00437808">
        <w:rPr>
          <w:b/>
        </w:rPr>
        <w:t>updates</w:t>
      </w:r>
      <w:r w:rsidR="0039584B" w:rsidRPr="00437808">
        <w:t xml:space="preserve"> that require</w:t>
      </w:r>
      <w:r w:rsidRPr="00437808">
        <w:t xml:space="preserve"> testing and maintenance before deployment</w:t>
      </w:r>
    </w:p>
    <w:p w:rsidR="00A64E39" w:rsidRPr="00437808" w:rsidRDefault="00A64E39" w:rsidP="00A64E39">
      <w:pPr>
        <w:pStyle w:val="ListParagraph"/>
        <w:numPr>
          <w:ilvl w:val="0"/>
          <w:numId w:val="6"/>
        </w:numPr>
      </w:pPr>
      <w:r w:rsidRPr="00437808">
        <w:rPr>
          <w:b/>
        </w:rPr>
        <w:t xml:space="preserve">Additional infrastructure </w:t>
      </w:r>
      <w:r w:rsidR="0039584B" w:rsidRPr="00437808">
        <w:rPr>
          <w:b/>
        </w:rPr>
        <w:t xml:space="preserve">requirements </w:t>
      </w:r>
      <w:r w:rsidRPr="00437808">
        <w:t>to manage virus signatures and configuration</w:t>
      </w:r>
    </w:p>
    <w:p w:rsidR="00A64E39" w:rsidRPr="00437808" w:rsidRDefault="00A64E39" w:rsidP="00A64E39">
      <w:pPr>
        <w:pStyle w:val="ListParagraph"/>
        <w:numPr>
          <w:ilvl w:val="0"/>
          <w:numId w:val="6"/>
        </w:numPr>
      </w:pPr>
      <w:r w:rsidRPr="00437808">
        <w:rPr>
          <w:b/>
        </w:rPr>
        <w:t>Inadequate reporting</w:t>
      </w:r>
      <w:r w:rsidR="0039584B" w:rsidRPr="00437808">
        <w:t xml:space="preserve"> that requires</w:t>
      </w:r>
      <w:r w:rsidRPr="00437808">
        <w:t xml:space="preserve"> review from mult</w:t>
      </w:r>
      <w:r w:rsidR="0039584B" w:rsidRPr="00437808">
        <w:t>iple sources and manual updates</w:t>
      </w:r>
    </w:p>
    <w:p w:rsidR="008C3717" w:rsidRPr="00437808" w:rsidRDefault="0039584B" w:rsidP="008C3717">
      <w:pPr>
        <w:keepNext/>
        <w:keepLines/>
        <w:spacing w:after="0"/>
      </w:pPr>
      <w:r w:rsidRPr="00437808">
        <w:t>These shortcomings affect organizations in a number of ways</w:t>
      </w:r>
      <w:r w:rsidR="005355D2" w:rsidRPr="00437808">
        <w:t>, such as:</w:t>
      </w:r>
    </w:p>
    <w:p w:rsidR="001C5A11" w:rsidRPr="00437808" w:rsidRDefault="005355D2" w:rsidP="005355D2">
      <w:pPr>
        <w:pStyle w:val="ListParagraph"/>
        <w:keepLines/>
        <w:numPr>
          <w:ilvl w:val="0"/>
          <w:numId w:val="6"/>
        </w:numPr>
      </w:pPr>
      <w:r w:rsidRPr="00437808">
        <w:rPr>
          <w:b/>
        </w:rPr>
        <w:t>Reduce</w:t>
      </w:r>
      <w:r w:rsidR="001C5A11" w:rsidRPr="00437808">
        <w:rPr>
          <w:b/>
        </w:rPr>
        <w:t xml:space="preserve">d employee productivity </w:t>
      </w:r>
      <w:r w:rsidR="001C5A11" w:rsidRPr="00437808">
        <w:t>due to slow performance, and unavailable</w:t>
      </w:r>
      <w:r w:rsidR="00BF0B85" w:rsidRPr="00437808">
        <w:t xml:space="preserve"> </w:t>
      </w:r>
      <w:r w:rsidR="001C5A11" w:rsidRPr="00437808">
        <w:t xml:space="preserve">resources </w:t>
      </w:r>
    </w:p>
    <w:p w:rsidR="005355D2" w:rsidRPr="00437808" w:rsidRDefault="001C5A11" w:rsidP="005355D2">
      <w:pPr>
        <w:pStyle w:val="ListParagraph"/>
        <w:keepLines/>
        <w:numPr>
          <w:ilvl w:val="0"/>
          <w:numId w:val="6"/>
        </w:numPr>
      </w:pPr>
      <w:r w:rsidRPr="00437808">
        <w:rPr>
          <w:b/>
        </w:rPr>
        <w:t>U</w:t>
      </w:r>
      <w:r w:rsidR="005355D2" w:rsidRPr="00437808">
        <w:rPr>
          <w:b/>
        </w:rPr>
        <w:t>nauthorized access</w:t>
      </w:r>
      <w:r w:rsidR="005355D2" w:rsidRPr="00437808">
        <w:t xml:space="preserve"> to sensitive/restricted/private information</w:t>
      </w:r>
    </w:p>
    <w:p w:rsidR="005355D2" w:rsidRPr="00437808" w:rsidRDefault="001C5A11" w:rsidP="005355D2">
      <w:pPr>
        <w:pStyle w:val="ListParagraph"/>
        <w:keepLines/>
        <w:numPr>
          <w:ilvl w:val="0"/>
          <w:numId w:val="6"/>
        </w:numPr>
      </w:pPr>
      <w:r w:rsidRPr="00437808">
        <w:rPr>
          <w:b/>
        </w:rPr>
        <w:t>N</w:t>
      </w:r>
      <w:r w:rsidR="005355D2" w:rsidRPr="00437808">
        <w:rPr>
          <w:b/>
        </w:rPr>
        <w:t>etwork outages</w:t>
      </w:r>
    </w:p>
    <w:p w:rsidR="005355D2" w:rsidRPr="00437808" w:rsidRDefault="001C5A11" w:rsidP="005355D2">
      <w:pPr>
        <w:pStyle w:val="ListParagraph"/>
        <w:keepLines/>
        <w:numPr>
          <w:ilvl w:val="0"/>
          <w:numId w:val="6"/>
        </w:numPr>
      </w:pPr>
      <w:r w:rsidRPr="00437808">
        <w:rPr>
          <w:b/>
        </w:rPr>
        <w:t>Frequent repair</w:t>
      </w:r>
      <w:r w:rsidR="005355D2" w:rsidRPr="00437808">
        <w:rPr>
          <w:b/>
        </w:rPr>
        <w:t>, reinstallation, or replacement</w:t>
      </w:r>
      <w:r w:rsidR="005355D2" w:rsidRPr="00437808">
        <w:t xml:space="preserve"> of server or d</w:t>
      </w:r>
      <w:r w:rsidRPr="00437808">
        <w:t>esktop software or hardware</w:t>
      </w:r>
      <w:r w:rsidR="00BF0B85" w:rsidRPr="00437808">
        <w:t>.</w:t>
      </w:r>
    </w:p>
    <w:p w:rsidR="00793523" w:rsidRPr="00437808" w:rsidRDefault="0013407A" w:rsidP="00207B07">
      <w:pPr>
        <w:pStyle w:val="Heading1"/>
      </w:pPr>
      <w:bookmarkStart w:id="5" w:name="_Toc200164800"/>
      <w:r w:rsidRPr="00437808">
        <w:lastRenderedPageBreak/>
        <w:t>A Proven Solution</w:t>
      </w:r>
      <w:r w:rsidR="00E83BE9" w:rsidRPr="00437808">
        <w:t xml:space="preserve"> and Measurable TCO Reduction</w:t>
      </w:r>
      <w:bookmarkEnd w:id="5"/>
    </w:p>
    <w:p w:rsidR="0013407A" w:rsidRPr="00437808" w:rsidRDefault="00745018" w:rsidP="0013407A">
      <w:r w:rsidRPr="00437808">
        <w:t>Microsoft Forefront Client Security offers enterprises a p</w:t>
      </w:r>
      <w:r w:rsidR="009F66A5" w:rsidRPr="00437808">
        <w:t>roven solution</w:t>
      </w:r>
      <w:r w:rsidRPr="00437808">
        <w:t>. Value Prism Consulting</w:t>
      </w:r>
      <w:r w:rsidR="007B0FCE" w:rsidRPr="00437808">
        <w:t>’s</w:t>
      </w:r>
      <w:r w:rsidRPr="00437808">
        <w:t xml:space="preserve"> survey</w:t>
      </w:r>
      <w:r w:rsidR="007B0FCE" w:rsidRPr="00437808">
        <w:t xml:space="preserve"> results and analysis</w:t>
      </w:r>
      <w:r w:rsidRPr="00437808">
        <w:t xml:space="preserve"> demonstrated significant TCO reduction and promising </w:t>
      </w:r>
      <w:r w:rsidR="00CC5835" w:rsidRPr="00437808">
        <w:t>future returns</w:t>
      </w:r>
      <w:r w:rsidRPr="00437808">
        <w:t xml:space="preserve"> due to ongoing annual savings </w:t>
      </w:r>
      <w:r w:rsidR="007B0FCE" w:rsidRPr="00437808">
        <w:t xml:space="preserve">from </w:t>
      </w:r>
      <w:r w:rsidRPr="00437808">
        <w:t>reporting</w:t>
      </w:r>
      <w:r w:rsidR="007B0FCE" w:rsidRPr="00437808">
        <w:t xml:space="preserve"> and </w:t>
      </w:r>
      <w:r w:rsidRPr="00437808">
        <w:t xml:space="preserve">management benefits. </w:t>
      </w:r>
      <w:r w:rsidR="0013407A" w:rsidRPr="00437808">
        <w:t>Participating customers averaged $16.50 in Forefront Client Security deployment costs, $24</w:t>
      </w:r>
      <w:r w:rsidR="00437808">
        <w:t>.00</w:t>
      </w:r>
      <w:r w:rsidR="007B20C0" w:rsidRPr="00437808">
        <w:t xml:space="preserve"> in annual benefits</w:t>
      </w:r>
      <w:r w:rsidR="007B0FCE" w:rsidRPr="00437808">
        <w:t>,</w:t>
      </w:r>
      <w:r w:rsidR="007B20C0" w:rsidRPr="00437808">
        <w:t xml:space="preserve"> based on an average 85% reduction in security</w:t>
      </w:r>
      <w:r w:rsidR="0013407A" w:rsidRPr="00437808">
        <w:t xml:space="preserve"> issue, and</w:t>
      </w:r>
      <w:r w:rsidR="00084AB6" w:rsidRPr="00437808">
        <w:t xml:space="preserve"> </w:t>
      </w:r>
      <w:r w:rsidR="007B0FCE" w:rsidRPr="00437808">
        <w:t xml:space="preserve">some organizations realized an </w:t>
      </w:r>
      <w:r w:rsidR="0013407A" w:rsidRPr="00437808">
        <w:t xml:space="preserve">additional $7.50 in </w:t>
      </w:r>
      <w:r w:rsidR="00084AB6" w:rsidRPr="00437808">
        <w:t xml:space="preserve">potential </w:t>
      </w:r>
      <w:r w:rsidR="0013407A" w:rsidRPr="00437808">
        <w:t>IT cost reductions</w:t>
      </w:r>
      <w:r w:rsidR="007B0FCE" w:rsidRPr="00437808">
        <w:t xml:space="preserve"> from other IT administration productivity benefits</w:t>
      </w:r>
      <w:r w:rsidR="0013407A" w:rsidRPr="00437808">
        <w:t xml:space="preserve">.  All but one company estimated a payback of less than one year, with most between </w:t>
      </w:r>
      <w:r w:rsidRPr="00437808">
        <w:t>two</w:t>
      </w:r>
      <w:r w:rsidR="0013407A" w:rsidRPr="00437808">
        <w:t xml:space="preserve"> and </w:t>
      </w:r>
      <w:r w:rsidRPr="00437808">
        <w:t>seven</w:t>
      </w:r>
      <w:r w:rsidR="0013407A" w:rsidRPr="00437808">
        <w:t xml:space="preserve"> months.</w:t>
      </w:r>
    </w:p>
    <w:p w:rsidR="00E83BE9" w:rsidRPr="00437808" w:rsidRDefault="00E83BE9" w:rsidP="00E83BE9">
      <w:r w:rsidRPr="00437808">
        <w:t>Value Prism Consulting interviewed eight early adopters of Microsoft Forefront Client Security (</w:t>
      </w:r>
      <w:r w:rsidR="007B0FCE" w:rsidRPr="00437808">
        <w:t xml:space="preserve">which were </w:t>
      </w:r>
      <w:r w:rsidRPr="00437808">
        <w:t xml:space="preserve">participants of Microsoft’s Technology Adoption Program).  Four are based in the United States, two in Australia, one in Europe, and one in Singapore.  Participants had switched to Forefront Client Security from Symantec, McAfee or </w:t>
      </w:r>
      <w:r w:rsidR="007B0FCE" w:rsidRPr="00437808">
        <w:t>CA</w:t>
      </w:r>
      <w:r w:rsidRPr="00437808">
        <w:t xml:space="preserve"> client security solutions.</w:t>
      </w:r>
    </w:p>
    <w:p w:rsidR="00E83BE9" w:rsidRPr="00437808" w:rsidRDefault="00E83BE9" w:rsidP="00E83BE9">
      <w:r w:rsidRPr="00437808">
        <w:t>The organizations</w:t>
      </w:r>
      <w:r w:rsidR="007B0FCE" w:rsidRPr="00437808">
        <w:t xml:space="preserve"> are</w:t>
      </w:r>
      <w:r w:rsidRPr="00437808">
        <w:t xml:space="preserve"> a mix of midmarket- and enterprise-sized companies, averaged about 6,600 employees (median of approximately 3,600).  All companies use Microsoft Active Directory® and policy-based deployment or configuration of Forefront Client Security.</w:t>
      </w:r>
    </w:p>
    <w:p w:rsidR="00E83BE9" w:rsidRPr="00437808" w:rsidRDefault="00E83BE9" w:rsidP="00E83BE9">
      <w:pPr>
        <w:pStyle w:val="Heading3"/>
        <w:spacing w:before="0" w:line="240" w:lineRule="auto"/>
      </w:pPr>
      <w:r w:rsidRPr="00437808">
        <w:t>Participants</w:t>
      </w:r>
    </w:p>
    <w:tbl>
      <w:tblPr>
        <w:tblStyle w:val="TableforText"/>
        <w:tblW w:w="8838" w:type="dxa"/>
        <w:tblLook w:val="04A0"/>
      </w:tblPr>
      <w:tblGrid>
        <w:gridCol w:w="4968"/>
        <w:gridCol w:w="2160"/>
        <w:gridCol w:w="1710"/>
      </w:tblGrid>
      <w:tr w:rsidR="00E83BE9" w:rsidRPr="00437808" w:rsidTr="00421B97">
        <w:trPr>
          <w:cnfStyle w:val="100000000000"/>
          <w:trHeight w:val="67"/>
        </w:trPr>
        <w:tc>
          <w:tcPr>
            <w:cnfStyle w:val="001000000000"/>
            <w:tcW w:w="4968" w:type="dxa"/>
          </w:tcPr>
          <w:p w:rsidR="00E83BE9" w:rsidRPr="00437808" w:rsidRDefault="00E83BE9" w:rsidP="009608B8">
            <w:pPr>
              <w:spacing w:after="0" w:line="276" w:lineRule="auto"/>
            </w:pPr>
            <w:r w:rsidRPr="00437808">
              <w:t>Customer</w:t>
            </w:r>
          </w:p>
        </w:tc>
        <w:tc>
          <w:tcPr>
            <w:tcW w:w="2160" w:type="dxa"/>
          </w:tcPr>
          <w:p w:rsidR="00E83BE9" w:rsidRPr="00437808" w:rsidRDefault="00E83BE9" w:rsidP="009608B8">
            <w:pPr>
              <w:spacing w:after="0" w:line="276" w:lineRule="auto"/>
              <w:cnfStyle w:val="100000000000"/>
            </w:pPr>
            <w:r w:rsidRPr="00437808">
              <w:t>Industry</w:t>
            </w:r>
          </w:p>
        </w:tc>
        <w:tc>
          <w:tcPr>
            <w:tcW w:w="1710" w:type="dxa"/>
          </w:tcPr>
          <w:p w:rsidR="00E83BE9" w:rsidRPr="00437808" w:rsidRDefault="00E83BE9" w:rsidP="009608B8">
            <w:pPr>
              <w:spacing w:after="0" w:line="276" w:lineRule="auto"/>
              <w:cnfStyle w:val="100000000000"/>
            </w:pPr>
            <w:r w:rsidRPr="00437808">
              <w:t>Location</w:t>
            </w:r>
          </w:p>
        </w:tc>
      </w:tr>
      <w:tr w:rsidR="00E83BE9" w:rsidRPr="00437808" w:rsidTr="00421B97">
        <w:trPr>
          <w:cnfStyle w:val="000000100000"/>
          <w:trHeight w:val="67"/>
        </w:trPr>
        <w:tc>
          <w:tcPr>
            <w:cnfStyle w:val="001000000000"/>
            <w:tcW w:w="4968" w:type="dxa"/>
          </w:tcPr>
          <w:p w:rsidR="00E83BE9" w:rsidRPr="00437808" w:rsidRDefault="008C3717" w:rsidP="009608B8">
            <w:pPr>
              <w:spacing w:after="0" w:line="276" w:lineRule="auto"/>
            </w:pPr>
            <w:r w:rsidRPr="00437808">
              <w:t>Allina</w:t>
            </w:r>
          </w:p>
        </w:tc>
        <w:tc>
          <w:tcPr>
            <w:tcW w:w="2160" w:type="dxa"/>
          </w:tcPr>
          <w:p w:rsidR="00E83BE9" w:rsidRPr="00437808" w:rsidRDefault="00E83BE9" w:rsidP="009608B8">
            <w:pPr>
              <w:spacing w:after="0" w:line="276" w:lineRule="auto"/>
              <w:cnfStyle w:val="000000100000"/>
            </w:pPr>
            <w:r w:rsidRPr="00437808">
              <w:t>Healthcare</w:t>
            </w:r>
          </w:p>
        </w:tc>
        <w:tc>
          <w:tcPr>
            <w:tcW w:w="1710" w:type="dxa"/>
          </w:tcPr>
          <w:p w:rsidR="00E83BE9" w:rsidRPr="00437808" w:rsidRDefault="00E83BE9" w:rsidP="009608B8">
            <w:pPr>
              <w:spacing w:after="0" w:line="276" w:lineRule="auto"/>
              <w:cnfStyle w:val="000000100000"/>
            </w:pPr>
            <w:r w:rsidRPr="00437808">
              <w:t>United States</w:t>
            </w:r>
          </w:p>
        </w:tc>
      </w:tr>
      <w:tr w:rsidR="00E83BE9" w:rsidRPr="00437808" w:rsidTr="00421B97">
        <w:trPr>
          <w:cnfStyle w:val="000000010000"/>
          <w:trHeight w:val="67"/>
        </w:trPr>
        <w:tc>
          <w:tcPr>
            <w:cnfStyle w:val="001000000000"/>
            <w:tcW w:w="4968" w:type="dxa"/>
          </w:tcPr>
          <w:p w:rsidR="00E83BE9" w:rsidRPr="00437808" w:rsidRDefault="00E83BE9" w:rsidP="009608B8">
            <w:pPr>
              <w:spacing w:after="0" w:line="276" w:lineRule="auto"/>
            </w:pPr>
            <w:r w:rsidRPr="00437808">
              <w:t>Analog Devices</w:t>
            </w:r>
          </w:p>
        </w:tc>
        <w:tc>
          <w:tcPr>
            <w:tcW w:w="2160" w:type="dxa"/>
          </w:tcPr>
          <w:p w:rsidR="00E83BE9" w:rsidRPr="00437808" w:rsidRDefault="00E83BE9" w:rsidP="009608B8">
            <w:pPr>
              <w:spacing w:after="0" w:line="276" w:lineRule="auto"/>
              <w:cnfStyle w:val="000000010000"/>
            </w:pPr>
            <w:r w:rsidRPr="00437808">
              <w:t>Manufacturing</w:t>
            </w:r>
          </w:p>
        </w:tc>
        <w:tc>
          <w:tcPr>
            <w:tcW w:w="1710" w:type="dxa"/>
          </w:tcPr>
          <w:p w:rsidR="00E83BE9" w:rsidRPr="00437808" w:rsidRDefault="00E83BE9" w:rsidP="009608B8">
            <w:pPr>
              <w:spacing w:after="0" w:line="276" w:lineRule="auto"/>
              <w:cnfStyle w:val="000000010000"/>
            </w:pPr>
            <w:r w:rsidRPr="00437808">
              <w:t>United States</w:t>
            </w:r>
          </w:p>
        </w:tc>
      </w:tr>
      <w:tr w:rsidR="00E83BE9" w:rsidRPr="00437808" w:rsidTr="00421B97">
        <w:trPr>
          <w:cnfStyle w:val="000000100000"/>
          <w:trHeight w:val="67"/>
        </w:trPr>
        <w:tc>
          <w:tcPr>
            <w:cnfStyle w:val="001000000000"/>
            <w:tcW w:w="4968" w:type="dxa"/>
          </w:tcPr>
          <w:p w:rsidR="00E83BE9" w:rsidRPr="00437808" w:rsidRDefault="00E83BE9" w:rsidP="009608B8">
            <w:pPr>
              <w:spacing w:after="0" w:line="276" w:lineRule="auto"/>
            </w:pPr>
            <w:r w:rsidRPr="00437808">
              <w:t>Advantage Sales &amp; Marketing</w:t>
            </w:r>
          </w:p>
        </w:tc>
        <w:tc>
          <w:tcPr>
            <w:tcW w:w="2160" w:type="dxa"/>
          </w:tcPr>
          <w:p w:rsidR="00E83BE9" w:rsidRPr="00437808" w:rsidRDefault="00E83BE9" w:rsidP="009608B8">
            <w:pPr>
              <w:spacing w:after="0" w:line="276" w:lineRule="auto"/>
              <w:cnfStyle w:val="000000100000"/>
            </w:pPr>
            <w:r w:rsidRPr="00437808">
              <w:t>Services</w:t>
            </w:r>
          </w:p>
        </w:tc>
        <w:tc>
          <w:tcPr>
            <w:tcW w:w="1710" w:type="dxa"/>
          </w:tcPr>
          <w:p w:rsidR="00E83BE9" w:rsidRPr="00437808" w:rsidRDefault="00E83BE9" w:rsidP="009608B8">
            <w:pPr>
              <w:spacing w:after="0" w:line="276" w:lineRule="auto"/>
              <w:cnfStyle w:val="000000100000"/>
            </w:pPr>
            <w:r w:rsidRPr="00437808">
              <w:t>United States</w:t>
            </w:r>
          </w:p>
        </w:tc>
      </w:tr>
      <w:tr w:rsidR="00E83BE9" w:rsidRPr="00437808" w:rsidTr="00421B97">
        <w:trPr>
          <w:cnfStyle w:val="000000010000"/>
          <w:trHeight w:val="67"/>
        </w:trPr>
        <w:tc>
          <w:tcPr>
            <w:cnfStyle w:val="001000000000"/>
            <w:tcW w:w="4968" w:type="dxa"/>
          </w:tcPr>
          <w:p w:rsidR="00E83BE9" w:rsidRPr="00437808" w:rsidRDefault="008C3717" w:rsidP="009608B8">
            <w:pPr>
              <w:spacing w:after="0" w:line="276" w:lineRule="auto"/>
            </w:pPr>
            <w:r w:rsidRPr="00437808">
              <w:t>CSR</w:t>
            </w:r>
            <w:r w:rsidR="00E83BE9" w:rsidRPr="00437808">
              <w:t xml:space="preserve"> Limited</w:t>
            </w:r>
          </w:p>
        </w:tc>
        <w:tc>
          <w:tcPr>
            <w:tcW w:w="2160" w:type="dxa"/>
          </w:tcPr>
          <w:p w:rsidR="00E83BE9" w:rsidRPr="00437808" w:rsidRDefault="00E83BE9" w:rsidP="009608B8">
            <w:pPr>
              <w:spacing w:after="0" w:line="276" w:lineRule="auto"/>
              <w:cnfStyle w:val="000000010000"/>
            </w:pPr>
            <w:r w:rsidRPr="00437808">
              <w:t>Manufacturing</w:t>
            </w:r>
          </w:p>
        </w:tc>
        <w:tc>
          <w:tcPr>
            <w:tcW w:w="1710" w:type="dxa"/>
          </w:tcPr>
          <w:p w:rsidR="00E83BE9" w:rsidRPr="00437808" w:rsidRDefault="00E83BE9" w:rsidP="009608B8">
            <w:pPr>
              <w:spacing w:after="0" w:line="276" w:lineRule="auto"/>
              <w:cnfStyle w:val="000000010000"/>
            </w:pPr>
            <w:r w:rsidRPr="00437808">
              <w:t>Australia</w:t>
            </w:r>
          </w:p>
        </w:tc>
      </w:tr>
      <w:tr w:rsidR="00E83BE9" w:rsidRPr="00437808" w:rsidTr="00421B97">
        <w:trPr>
          <w:cnfStyle w:val="000000100000"/>
          <w:trHeight w:val="67"/>
        </w:trPr>
        <w:tc>
          <w:tcPr>
            <w:cnfStyle w:val="001000000000"/>
            <w:tcW w:w="4968" w:type="dxa"/>
          </w:tcPr>
          <w:p w:rsidR="00E83BE9" w:rsidRPr="00437808" w:rsidRDefault="00E83BE9" w:rsidP="009608B8">
            <w:pPr>
              <w:spacing w:after="0" w:line="276" w:lineRule="auto"/>
            </w:pPr>
            <w:r w:rsidRPr="00437808">
              <w:t>Des Moines School District</w:t>
            </w:r>
          </w:p>
        </w:tc>
        <w:tc>
          <w:tcPr>
            <w:tcW w:w="2160" w:type="dxa"/>
          </w:tcPr>
          <w:p w:rsidR="00E83BE9" w:rsidRPr="00437808" w:rsidRDefault="00E83BE9" w:rsidP="009608B8">
            <w:pPr>
              <w:spacing w:after="0" w:line="276" w:lineRule="auto"/>
              <w:cnfStyle w:val="000000100000"/>
            </w:pPr>
            <w:r w:rsidRPr="00437808">
              <w:t>Education</w:t>
            </w:r>
          </w:p>
        </w:tc>
        <w:tc>
          <w:tcPr>
            <w:tcW w:w="1710" w:type="dxa"/>
          </w:tcPr>
          <w:p w:rsidR="00E83BE9" w:rsidRPr="00437808" w:rsidRDefault="00E83BE9" w:rsidP="009608B8">
            <w:pPr>
              <w:spacing w:after="0" w:line="276" w:lineRule="auto"/>
              <w:cnfStyle w:val="000000100000"/>
            </w:pPr>
            <w:r w:rsidRPr="00437808">
              <w:t>United States</w:t>
            </w:r>
          </w:p>
        </w:tc>
      </w:tr>
      <w:tr w:rsidR="00E83BE9" w:rsidRPr="00437808" w:rsidTr="00421B97">
        <w:trPr>
          <w:cnfStyle w:val="000000010000"/>
          <w:trHeight w:val="67"/>
        </w:trPr>
        <w:tc>
          <w:tcPr>
            <w:cnfStyle w:val="001000000000"/>
            <w:tcW w:w="4968" w:type="dxa"/>
          </w:tcPr>
          <w:p w:rsidR="00E83BE9" w:rsidRPr="00437808" w:rsidRDefault="00E83BE9" w:rsidP="009608B8">
            <w:pPr>
              <w:spacing w:after="0" w:line="276" w:lineRule="auto"/>
            </w:pPr>
            <w:r w:rsidRPr="00437808">
              <w:t>Konnex Dienstleistungen</w:t>
            </w:r>
          </w:p>
        </w:tc>
        <w:tc>
          <w:tcPr>
            <w:tcW w:w="2160" w:type="dxa"/>
          </w:tcPr>
          <w:p w:rsidR="00E83BE9" w:rsidRPr="00437808" w:rsidRDefault="00E83BE9" w:rsidP="009608B8">
            <w:pPr>
              <w:spacing w:after="0" w:line="276" w:lineRule="auto"/>
              <w:cnfStyle w:val="000000010000"/>
            </w:pPr>
            <w:r w:rsidRPr="00437808">
              <w:t>IT Services</w:t>
            </w:r>
          </w:p>
        </w:tc>
        <w:tc>
          <w:tcPr>
            <w:tcW w:w="1710" w:type="dxa"/>
          </w:tcPr>
          <w:p w:rsidR="00E83BE9" w:rsidRPr="00437808" w:rsidRDefault="00E83BE9" w:rsidP="009608B8">
            <w:pPr>
              <w:spacing w:after="0" w:line="276" w:lineRule="auto"/>
              <w:cnfStyle w:val="000000010000"/>
            </w:pPr>
            <w:r w:rsidRPr="00437808">
              <w:t>Austria</w:t>
            </w:r>
          </w:p>
        </w:tc>
      </w:tr>
      <w:tr w:rsidR="00E83BE9" w:rsidRPr="00437808" w:rsidTr="00421B97">
        <w:trPr>
          <w:cnfStyle w:val="000000100000"/>
          <w:trHeight w:val="67"/>
        </w:trPr>
        <w:tc>
          <w:tcPr>
            <w:cnfStyle w:val="001000000000"/>
            <w:tcW w:w="4968" w:type="dxa"/>
          </w:tcPr>
          <w:p w:rsidR="00E83BE9" w:rsidRPr="00437808" w:rsidRDefault="008C3717" w:rsidP="009608B8">
            <w:pPr>
              <w:spacing w:after="0" w:line="276" w:lineRule="auto"/>
            </w:pPr>
            <w:r w:rsidRPr="00437808">
              <w:t>National Roads</w:t>
            </w:r>
            <w:r w:rsidR="00E83BE9" w:rsidRPr="00437808">
              <w:t xml:space="preserve"> and Motorists' Association</w:t>
            </w:r>
          </w:p>
        </w:tc>
        <w:tc>
          <w:tcPr>
            <w:tcW w:w="2160" w:type="dxa"/>
          </w:tcPr>
          <w:p w:rsidR="00E83BE9" w:rsidRPr="00437808" w:rsidRDefault="00E83BE9" w:rsidP="009608B8">
            <w:pPr>
              <w:spacing w:after="0" w:line="276" w:lineRule="auto"/>
              <w:cnfStyle w:val="000000100000"/>
            </w:pPr>
            <w:r w:rsidRPr="00437808">
              <w:t>Services</w:t>
            </w:r>
          </w:p>
        </w:tc>
        <w:tc>
          <w:tcPr>
            <w:tcW w:w="1710" w:type="dxa"/>
          </w:tcPr>
          <w:p w:rsidR="00E83BE9" w:rsidRPr="00437808" w:rsidRDefault="00E83BE9" w:rsidP="009608B8">
            <w:pPr>
              <w:spacing w:after="0" w:line="276" w:lineRule="auto"/>
              <w:cnfStyle w:val="000000100000"/>
            </w:pPr>
            <w:r w:rsidRPr="00437808">
              <w:t>Australia</w:t>
            </w:r>
          </w:p>
        </w:tc>
      </w:tr>
      <w:tr w:rsidR="00E83BE9" w:rsidRPr="00437808" w:rsidTr="00421B97">
        <w:trPr>
          <w:cnfStyle w:val="000000010000"/>
          <w:trHeight w:val="67"/>
        </w:trPr>
        <w:tc>
          <w:tcPr>
            <w:cnfStyle w:val="001000000000"/>
            <w:tcW w:w="4968" w:type="dxa"/>
          </w:tcPr>
          <w:p w:rsidR="00E83BE9" w:rsidRPr="00437808" w:rsidRDefault="00E83BE9" w:rsidP="009608B8">
            <w:pPr>
              <w:spacing w:after="0" w:line="276" w:lineRule="auto"/>
            </w:pPr>
            <w:r w:rsidRPr="00437808">
              <w:t>PhillipCapital</w:t>
            </w:r>
          </w:p>
        </w:tc>
        <w:tc>
          <w:tcPr>
            <w:tcW w:w="2160" w:type="dxa"/>
          </w:tcPr>
          <w:p w:rsidR="00E83BE9" w:rsidRPr="00437808" w:rsidRDefault="00E83BE9" w:rsidP="009608B8">
            <w:pPr>
              <w:spacing w:after="0" w:line="276" w:lineRule="auto"/>
              <w:cnfStyle w:val="000000010000"/>
            </w:pPr>
            <w:r w:rsidRPr="00437808">
              <w:t>Financial Services</w:t>
            </w:r>
          </w:p>
        </w:tc>
        <w:tc>
          <w:tcPr>
            <w:tcW w:w="1710" w:type="dxa"/>
          </w:tcPr>
          <w:p w:rsidR="00E83BE9" w:rsidRPr="00437808" w:rsidRDefault="00E83BE9" w:rsidP="009608B8">
            <w:pPr>
              <w:spacing w:after="0" w:line="276" w:lineRule="auto"/>
              <w:cnfStyle w:val="000000010000"/>
            </w:pPr>
            <w:r w:rsidRPr="00437808">
              <w:t>Singapore</w:t>
            </w:r>
          </w:p>
        </w:tc>
      </w:tr>
    </w:tbl>
    <w:p w:rsidR="00E83BE9" w:rsidRPr="00437808" w:rsidRDefault="00E83BE9" w:rsidP="00E83BE9">
      <w:pPr>
        <w:pStyle w:val="Heading3"/>
        <w:spacing w:line="240" w:lineRule="auto"/>
      </w:pPr>
      <w:r w:rsidRPr="00437808">
        <w:t>TCO Summary</w:t>
      </w:r>
      <w:r w:rsidR="007B0FCE" w:rsidRPr="00437808">
        <w:t xml:space="preserve"> Data</w:t>
      </w:r>
    </w:p>
    <w:tbl>
      <w:tblPr>
        <w:tblStyle w:val="TableforText"/>
        <w:tblW w:w="8838" w:type="dxa"/>
        <w:tblLook w:val="04A0"/>
      </w:tblPr>
      <w:tblGrid>
        <w:gridCol w:w="3438"/>
        <w:gridCol w:w="2430"/>
        <w:gridCol w:w="2970"/>
      </w:tblGrid>
      <w:tr w:rsidR="00E83BE9" w:rsidRPr="00437808" w:rsidTr="00421B97">
        <w:trPr>
          <w:cnfStyle w:val="100000000000"/>
          <w:trHeight w:val="67"/>
        </w:trPr>
        <w:tc>
          <w:tcPr>
            <w:cnfStyle w:val="001000000000"/>
            <w:tcW w:w="3438" w:type="dxa"/>
          </w:tcPr>
          <w:p w:rsidR="00E83BE9" w:rsidRPr="00437808" w:rsidRDefault="00E83BE9" w:rsidP="009608B8">
            <w:pPr>
              <w:spacing w:after="0" w:line="276" w:lineRule="auto"/>
            </w:pPr>
            <w:r w:rsidRPr="00437808">
              <w:t>Category</w:t>
            </w:r>
          </w:p>
        </w:tc>
        <w:tc>
          <w:tcPr>
            <w:tcW w:w="2430" w:type="dxa"/>
          </w:tcPr>
          <w:p w:rsidR="00E83BE9" w:rsidRPr="00437808" w:rsidRDefault="00E83BE9" w:rsidP="009608B8">
            <w:pPr>
              <w:spacing w:after="0" w:line="276" w:lineRule="auto"/>
              <w:cnfStyle w:val="100000000000"/>
            </w:pPr>
            <w:r w:rsidRPr="00437808">
              <w:t>One Time Cost/desktop</w:t>
            </w:r>
          </w:p>
        </w:tc>
        <w:tc>
          <w:tcPr>
            <w:tcW w:w="2970" w:type="dxa"/>
          </w:tcPr>
          <w:p w:rsidR="00E83BE9" w:rsidRPr="00437808" w:rsidRDefault="00E83BE9" w:rsidP="009608B8">
            <w:pPr>
              <w:spacing w:after="0" w:line="276" w:lineRule="auto"/>
              <w:cnfStyle w:val="100000000000"/>
            </w:pPr>
            <w:r w:rsidRPr="00437808">
              <w:t>Annual TCO Benefits/desktop</w:t>
            </w:r>
          </w:p>
        </w:tc>
      </w:tr>
      <w:tr w:rsidR="00E83BE9" w:rsidRPr="00437808" w:rsidTr="00421B97">
        <w:trPr>
          <w:cnfStyle w:val="000000100000"/>
          <w:trHeight w:val="241"/>
        </w:trPr>
        <w:tc>
          <w:tcPr>
            <w:cnfStyle w:val="001000000000"/>
            <w:tcW w:w="3438" w:type="dxa"/>
          </w:tcPr>
          <w:p w:rsidR="00E83BE9" w:rsidRPr="00437808" w:rsidRDefault="00E83BE9" w:rsidP="009608B8">
            <w:pPr>
              <w:spacing w:after="0" w:line="240" w:lineRule="auto"/>
              <w:rPr>
                <w:b w:val="0"/>
                <w:bCs w:val="0"/>
              </w:rPr>
            </w:pPr>
            <w:r w:rsidRPr="00437808">
              <w:t>Deployment and Investment Costs</w:t>
            </w:r>
          </w:p>
        </w:tc>
        <w:tc>
          <w:tcPr>
            <w:tcW w:w="2430" w:type="dxa"/>
          </w:tcPr>
          <w:p w:rsidR="00E83BE9" w:rsidRPr="00437808" w:rsidRDefault="00E83BE9" w:rsidP="009608B8">
            <w:pPr>
              <w:spacing w:after="0" w:line="276" w:lineRule="auto"/>
              <w:cnfStyle w:val="000000100000"/>
            </w:pPr>
            <w:r w:rsidRPr="00437808">
              <w:t>$16.50</w:t>
            </w:r>
          </w:p>
        </w:tc>
        <w:tc>
          <w:tcPr>
            <w:tcW w:w="2970" w:type="dxa"/>
          </w:tcPr>
          <w:p w:rsidR="00E83BE9" w:rsidRPr="00437808" w:rsidRDefault="00E83BE9" w:rsidP="009608B8">
            <w:pPr>
              <w:spacing w:after="0" w:line="276" w:lineRule="auto"/>
              <w:cnfStyle w:val="000000100000"/>
            </w:pPr>
          </w:p>
        </w:tc>
      </w:tr>
      <w:tr w:rsidR="00E83BE9" w:rsidRPr="00437808" w:rsidTr="00421B97">
        <w:trPr>
          <w:cnfStyle w:val="000000010000"/>
          <w:trHeight w:val="241"/>
        </w:trPr>
        <w:tc>
          <w:tcPr>
            <w:cnfStyle w:val="001000000000"/>
            <w:tcW w:w="3438" w:type="dxa"/>
          </w:tcPr>
          <w:p w:rsidR="00E83BE9" w:rsidRPr="00437808" w:rsidRDefault="00E83BE9" w:rsidP="009608B8">
            <w:pPr>
              <w:spacing w:after="0" w:line="240" w:lineRule="auto"/>
              <w:rPr>
                <w:b w:val="0"/>
                <w:bCs w:val="0"/>
              </w:rPr>
            </w:pPr>
            <w:r w:rsidRPr="00437808">
              <w:t xml:space="preserve">Unified Protection </w:t>
            </w:r>
            <w:r w:rsidRPr="00437808">
              <w:rPr>
                <w:b w:val="0"/>
              </w:rPr>
              <w:t>(based on reduced security issue costs)</w:t>
            </w:r>
          </w:p>
        </w:tc>
        <w:tc>
          <w:tcPr>
            <w:tcW w:w="2430" w:type="dxa"/>
          </w:tcPr>
          <w:p w:rsidR="00E83BE9" w:rsidRPr="00437808" w:rsidRDefault="00E83BE9" w:rsidP="009608B8">
            <w:pPr>
              <w:spacing w:after="0" w:line="276" w:lineRule="auto"/>
              <w:cnfStyle w:val="000000010000"/>
            </w:pPr>
          </w:p>
        </w:tc>
        <w:tc>
          <w:tcPr>
            <w:tcW w:w="2970" w:type="dxa"/>
          </w:tcPr>
          <w:p w:rsidR="00E83BE9" w:rsidRPr="00437808" w:rsidRDefault="00E83BE9" w:rsidP="009608B8">
            <w:pPr>
              <w:spacing w:after="0" w:line="276" w:lineRule="auto"/>
              <w:cnfStyle w:val="000000010000"/>
            </w:pPr>
            <w:r w:rsidRPr="00437808">
              <w:t>$24</w:t>
            </w:r>
            <w:r w:rsidR="00CF2008" w:rsidRPr="00437808">
              <w:t>.00</w:t>
            </w:r>
          </w:p>
        </w:tc>
      </w:tr>
      <w:tr w:rsidR="00E83BE9" w:rsidRPr="00437808" w:rsidTr="00421B97">
        <w:trPr>
          <w:cnfStyle w:val="000000100000"/>
          <w:trHeight w:val="142"/>
        </w:trPr>
        <w:tc>
          <w:tcPr>
            <w:cnfStyle w:val="001000000000"/>
            <w:tcW w:w="3438" w:type="dxa"/>
          </w:tcPr>
          <w:p w:rsidR="00E83BE9" w:rsidRPr="00437808" w:rsidRDefault="00E83BE9" w:rsidP="007B0FCE">
            <w:pPr>
              <w:spacing w:after="0" w:line="240" w:lineRule="auto"/>
              <w:rPr>
                <w:b w:val="0"/>
                <w:bCs w:val="0"/>
              </w:rPr>
            </w:pPr>
            <w:r w:rsidRPr="00437808">
              <w:t xml:space="preserve">Simplified Administration </w:t>
            </w:r>
            <w:r w:rsidRPr="00437808">
              <w:rPr>
                <w:b w:val="0"/>
              </w:rPr>
              <w:t>(for customer</w:t>
            </w:r>
            <w:r w:rsidR="007B0FCE" w:rsidRPr="00437808">
              <w:rPr>
                <w:b w:val="0"/>
              </w:rPr>
              <w:t>s</w:t>
            </w:r>
            <w:r w:rsidRPr="00437808">
              <w:rPr>
                <w:b w:val="0"/>
              </w:rPr>
              <w:t xml:space="preserve"> </w:t>
            </w:r>
            <w:r w:rsidR="007B0FCE" w:rsidRPr="00437808">
              <w:rPr>
                <w:b w:val="0"/>
              </w:rPr>
              <w:t xml:space="preserve">that </w:t>
            </w:r>
            <w:r w:rsidRPr="00437808">
              <w:rPr>
                <w:b w:val="0"/>
              </w:rPr>
              <w:t>reduced IT administration)</w:t>
            </w:r>
          </w:p>
        </w:tc>
        <w:tc>
          <w:tcPr>
            <w:tcW w:w="2430" w:type="dxa"/>
          </w:tcPr>
          <w:p w:rsidR="00E83BE9" w:rsidRPr="00437808" w:rsidRDefault="00E83BE9" w:rsidP="009608B8">
            <w:pPr>
              <w:spacing w:after="0" w:line="276" w:lineRule="auto"/>
              <w:cnfStyle w:val="000000100000"/>
            </w:pPr>
          </w:p>
        </w:tc>
        <w:tc>
          <w:tcPr>
            <w:tcW w:w="2970" w:type="dxa"/>
          </w:tcPr>
          <w:p w:rsidR="00E83BE9" w:rsidRPr="00437808" w:rsidRDefault="00E83BE9" w:rsidP="009608B8">
            <w:pPr>
              <w:spacing w:after="0" w:line="276" w:lineRule="auto"/>
              <w:cnfStyle w:val="000000100000"/>
            </w:pPr>
            <w:r w:rsidRPr="00437808">
              <w:t>$7.50</w:t>
            </w:r>
          </w:p>
        </w:tc>
      </w:tr>
    </w:tbl>
    <w:p w:rsidR="0073249C" w:rsidRPr="00437808" w:rsidRDefault="00F70BDD" w:rsidP="00406032">
      <w:pPr>
        <w:pStyle w:val="Heading2"/>
      </w:pPr>
      <w:bookmarkStart w:id="6" w:name="_Toc199040395"/>
      <w:bookmarkStart w:id="7" w:name="_Toc199040605"/>
      <w:bookmarkStart w:id="8" w:name="_Toc200164801"/>
      <w:r w:rsidRPr="00437808">
        <w:lastRenderedPageBreak/>
        <w:t xml:space="preserve">Forefront Client Security </w:t>
      </w:r>
      <w:r w:rsidR="002E295D" w:rsidRPr="00437808">
        <w:t>E</w:t>
      </w:r>
      <w:r w:rsidR="00293385" w:rsidRPr="00437808">
        <w:t xml:space="preserve">liminates </w:t>
      </w:r>
      <w:r w:rsidR="002E295D" w:rsidRPr="00437808">
        <w:t>T</w:t>
      </w:r>
      <w:r w:rsidR="00293385" w:rsidRPr="00437808">
        <w:t>hreats</w:t>
      </w:r>
      <w:bookmarkEnd w:id="6"/>
      <w:bookmarkEnd w:id="7"/>
      <w:bookmarkEnd w:id="8"/>
    </w:p>
    <w:p w:rsidR="008C3717" w:rsidRPr="00437808" w:rsidRDefault="000B493C" w:rsidP="008C3717">
      <w:r w:rsidRPr="00437808">
        <w:t>Fo</w:t>
      </w:r>
      <w:r w:rsidR="00CC5835" w:rsidRPr="00437808">
        <w:t>refront Client Security features an integrated antivirus and antispyware engine</w:t>
      </w:r>
      <w:r w:rsidR="007B0FCE" w:rsidRPr="00437808">
        <w:t>,</w:t>
      </w:r>
      <w:r w:rsidR="00CC5835" w:rsidRPr="00437808">
        <w:t xml:space="preserve"> </w:t>
      </w:r>
      <w:r w:rsidR="007B0FCE" w:rsidRPr="00437808">
        <w:t xml:space="preserve">a </w:t>
      </w:r>
      <w:r w:rsidR="00CC5835" w:rsidRPr="00437808">
        <w:t>central management system which can be integrated with other IT management software</w:t>
      </w:r>
      <w:r w:rsidR="007B0FCE" w:rsidRPr="00437808">
        <w:t>,</w:t>
      </w:r>
      <w:r w:rsidR="00CC5835" w:rsidRPr="00437808">
        <w:t xml:space="preserve"> and real-time security assessment reports.</w:t>
      </w:r>
    </w:p>
    <w:p w:rsidR="009D2F20" w:rsidRPr="00437808" w:rsidRDefault="009D2F20" w:rsidP="00CC5835">
      <w:pPr>
        <w:spacing w:after="0"/>
      </w:pPr>
      <w:r w:rsidRPr="00437808">
        <w:t>The solution offers:</w:t>
      </w:r>
    </w:p>
    <w:p w:rsidR="009D2F20" w:rsidRPr="00437808" w:rsidRDefault="009D2F20" w:rsidP="009D2F20">
      <w:pPr>
        <w:numPr>
          <w:ilvl w:val="0"/>
          <w:numId w:val="20"/>
        </w:numPr>
        <w:spacing w:after="0"/>
      </w:pPr>
      <w:r w:rsidRPr="00437808">
        <w:rPr>
          <w:b/>
          <w:bCs/>
        </w:rPr>
        <w:t>Client and server operating system security.</w:t>
      </w:r>
      <w:r w:rsidRPr="00437808">
        <w:t xml:space="preserve"> Helps</w:t>
      </w:r>
      <w:r w:rsidR="007B0FCE" w:rsidRPr="00437808">
        <w:t xml:space="preserve"> </w:t>
      </w:r>
      <w:r w:rsidRPr="00437808">
        <w:t>provide unified virus and spyware protection</w:t>
      </w:r>
      <w:r w:rsidR="007B0FCE" w:rsidRPr="00437808">
        <w:t xml:space="preserve"> </w:t>
      </w:r>
      <w:r w:rsidRPr="00437808">
        <w:t>for business desktops, laptops, and server operating systems that</w:t>
      </w:r>
      <w:r w:rsidR="007B20C0" w:rsidRPr="00437808">
        <w:t xml:space="preserve"> is easy to manage and control.</w:t>
      </w:r>
    </w:p>
    <w:p w:rsidR="008C3717" w:rsidRPr="00437808" w:rsidRDefault="007B20C0" w:rsidP="008C3717">
      <w:pPr>
        <w:spacing w:after="0"/>
        <w:ind w:left="360"/>
      </w:pPr>
      <w:r w:rsidRPr="00437808">
        <w:t>Forefront Client Security integrates with Microsoft’s other Forefront Security solutions, which include:</w:t>
      </w:r>
    </w:p>
    <w:p w:rsidR="009D2F20" w:rsidRPr="00437808" w:rsidRDefault="009D2F20" w:rsidP="009D2F20">
      <w:pPr>
        <w:numPr>
          <w:ilvl w:val="0"/>
          <w:numId w:val="20"/>
        </w:numPr>
        <w:spacing w:after="0"/>
      </w:pPr>
      <w:r w:rsidRPr="00437808">
        <w:rPr>
          <w:b/>
          <w:bCs/>
        </w:rPr>
        <w:t>Server application security.</w:t>
      </w:r>
      <w:r w:rsidRPr="00437808">
        <w:t xml:space="preserve"> Helps protect Microsoft messaging and collaboration server applications against viruses, worms, spam, and inappropriate content. </w:t>
      </w:r>
    </w:p>
    <w:p w:rsidR="009D2F20" w:rsidRPr="00437808" w:rsidRDefault="009D2F20" w:rsidP="00CC5835">
      <w:pPr>
        <w:numPr>
          <w:ilvl w:val="0"/>
          <w:numId w:val="20"/>
        </w:numPr>
        <w:spacing w:after="0"/>
      </w:pPr>
      <w:r w:rsidRPr="00437808">
        <w:rPr>
          <w:b/>
          <w:bCs/>
        </w:rPr>
        <w:t>Network “edge” security.</w:t>
      </w:r>
      <w:r w:rsidRPr="00437808">
        <w:t xml:space="preserve"> Through firewall, VPN, and SSL VPN functionality, enables organizations to provide secure remote access to servers and applications, to connect and secure branch offices, and to ensure Web access protection.</w:t>
      </w:r>
    </w:p>
    <w:p w:rsidR="00CC5835" w:rsidRPr="00437808" w:rsidRDefault="00CC5835" w:rsidP="00CC5835">
      <w:pPr>
        <w:spacing w:after="0"/>
      </w:pPr>
    </w:p>
    <w:p w:rsidR="000B493C" w:rsidRPr="00437808" w:rsidRDefault="00864770" w:rsidP="00CC5835">
      <w:pPr>
        <w:spacing w:after="0"/>
      </w:pPr>
      <w:r w:rsidRPr="00437808">
        <w:t xml:space="preserve">Forefront Client Security </w:t>
      </w:r>
      <w:r w:rsidR="00B26A3B" w:rsidRPr="00437808">
        <w:t>significantly enhances client security and reduces security-related costs</w:t>
      </w:r>
      <w:r w:rsidR="009608B8" w:rsidRPr="00437808">
        <w:t>.</w:t>
      </w:r>
    </w:p>
    <w:p w:rsidR="00C44CC7" w:rsidRPr="00437808" w:rsidRDefault="00C44CC7" w:rsidP="00C44CC7">
      <w:pPr>
        <w:pStyle w:val="ListParagraph"/>
        <w:numPr>
          <w:ilvl w:val="0"/>
          <w:numId w:val="11"/>
        </w:numPr>
      </w:pPr>
      <w:r w:rsidRPr="00437808">
        <w:rPr>
          <w:b/>
        </w:rPr>
        <w:t>Unified protection</w:t>
      </w:r>
      <w:r w:rsidRPr="00437808">
        <w:t xml:space="preserve"> from viruses, spyware, and othe</w:t>
      </w:r>
      <w:r w:rsidR="000C7D82" w:rsidRPr="00437808">
        <w:t xml:space="preserve">r current and emerging threats.  Many businesses interviewed noted a distinct change in scan quality with Forefront Client Security – based on </w:t>
      </w:r>
      <w:r w:rsidR="007B0FCE" w:rsidRPr="00437808">
        <w:t>more</w:t>
      </w:r>
      <w:r w:rsidR="000C7D82" w:rsidRPr="00437808">
        <w:t xml:space="preserve"> issues caught quickly and that both malware and spyware were checked.</w:t>
      </w:r>
    </w:p>
    <w:p w:rsidR="00C44CC7" w:rsidRPr="00437808" w:rsidRDefault="00C44CC7" w:rsidP="00C44CC7">
      <w:pPr>
        <w:pStyle w:val="ListParagraph"/>
        <w:numPr>
          <w:ilvl w:val="0"/>
          <w:numId w:val="11"/>
        </w:numPr>
      </w:pPr>
      <w:r w:rsidRPr="00437808">
        <w:rPr>
          <w:b/>
        </w:rPr>
        <w:t>Simplified administration</w:t>
      </w:r>
      <w:r w:rsidR="000C7D82" w:rsidRPr="00437808">
        <w:t xml:space="preserve"> through central management.  All </w:t>
      </w:r>
      <w:r w:rsidR="001B6718" w:rsidRPr="00437808">
        <w:t xml:space="preserve">participants </w:t>
      </w:r>
      <w:r w:rsidR="00AC31F6" w:rsidRPr="00437808">
        <w:t>said</w:t>
      </w:r>
      <w:r w:rsidR="000C7D82" w:rsidRPr="00437808">
        <w:t xml:space="preserve"> that fewer resources are required </w:t>
      </w:r>
      <w:r w:rsidR="008F1466" w:rsidRPr="00437808">
        <w:t xml:space="preserve">to </w:t>
      </w:r>
      <w:r w:rsidR="000C7D82" w:rsidRPr="00437808">
        <w:t>manage security issues and help</w:t>
      </w:r>
      <w:r w:rsidR="00AC31F6" w:rsidRPr="00437808">
        <w:t xml:space="preserve"> </w:t>
      </w:r>
      <w:r w:rsidR="000C7D82" w:rsidRPr="00437808">
        <w:t>desk calls related to security</w:t>
      </w:r>
      <w:r w:rsidR="008F1466" w:rsidRPr="00437808">
        <w:t xml:space="preserve">.  Resources </w:t>
      </w:r>
      <w:r w:rsidR="009608B8" w:rsidRPr="00437808">
        <w:t>have been</w:t>
      </w:r>
      <w:r w:rsidR="008F1466" w:rsidRPr="00437808">
        <w:t xml:space="preserve"> r</w:t>
      </w:r>
      <w:r w:rsidR="000C7D82" w:rsidRPr="00437808">
        <w:t>eallocated to more critical positions</w:t>
      </w:r>
      <w:r w:rsidR="008F1466" w:rsidRPr="00437808">
        <w:t>,</w:t>
      </w:r>
      <w:r w:rsidR="000C7D82" w:rsidRPr="00437808">
        <w:t xml:space="preserve"> such as network administration.</w:t>
      </w:r>
    </w:p>
    <w:p w:rsidR="000B493C" w:rsidRPr="00437808" w:rsidRDefault="00C44CC7" w:rsidP="00FF066F">
      <w:pPr>
        <w:pStyle w:val="ListParagraph"/>
        <w:numPr>
          <w:ilvl w:val="0"/>
          <w:numId w:val="11"/>
        </w:numPr>
      </w:pPr>
      <w:r w:rsidRPr="00437808">
        <w:rPr>
          <w:b/>
        </w:rPr>
        <w:t>Visibility and control</w:t>
      </w:r>
      <w:r w:rsidRPr="00437808">
        <w:t xml:space="preserve"> through insightful prioritized security </w:t>
      </w:r>
      <w:r w:rsidR="000C7D82" w:rsidRPr="00437808">
        <w:t xml:space="preserve">reports.  Most businesses interviewed had not implemented </w:t>
      </w:r>
      <w:r w:rsidR="008F1466" w:rsidRPr="00437808">
        <w:t xml:space="preserve">a </w:t>
      </w:r>
      <w:r w:rsidR="000C7D82" w:rsidRPr="00437808">
        <w:t>reporting system with their old client security solution.  With Forefront Client Security</w:t>
      </w:r>
      <w:r w:rsidR="008F1466" w:rsidRPr="00437808">
        <w:t>,</w:t>
      </w:r>
      <w:r w:rsidR="000C7D82" w:rsidRPr="00437808">
        <w:t xml:space="preserve"> reporting is easy to set up and </w:t>
      </w:r>
      <w:r w:rsidR="008F1466" w:rsidRPr="00437808">
        <w:t>is an</w:t>
      </w:r>
      <w:r w:rsidR="00AC31F6" w:rsidRPr="00437808">
        <w:t xml:space="preserve"> invaluable asset for</w:t>
      </w:r>
      <w:r w:rsidR="000C7D82" w:rsidRPr="00437808">
        <w:t xml:space="preserve"> understanding the current health of the desktop environment.</w:t>
      </w:r>
    </w:p>
    <w:p w:rsidR="009C7EAE" w:rsidRPr="00437808" w:rsidRDefault="009C7EAE" w:rsidP="009C7EAE">
      <w:pPr>
        <w:pStyle w:val="Heading1"/>
      </w:pPr>
      <w:bookmarkStart w:id="9" w:name="_Toc199040398"/>
      <w:bookmarkStart w:id="10" w:name="_Toc199040608"/>
      <w:bookmarkStart w:id="11" w:name="_Toc200164802"/>
      <w:r w:rsidRPr="00437808">
        <w:lastRenderedPageBreak/>
        <w:t>Unified Protection</w:t>
      </w:r>
      <w:bookmarkEnd w:id="9"/>
      <w:bookmarkEnd w:id="10"/>
      <w:bookmarkEnd w:id="11"/>
    </w:p>
    <w:p w:rsidR="00CF2008" w:rsidRPr="00437808" w:rsidRDefault="00CF2008" w:rsidP="00CF2008">
      <w:r w:rsidRPr="00437808">
        <w:t xml:space="preserve">Forefront Client Security </w:t>
      </w:r>
      <w:r w:rsidR="00523952" w:rsidRPr="00437808">
        <w:t xml:space="preserve">provides a high-quality security solution that </w:t>
      </w:r>
      <w:r w:rsidRPr="00437808">
        <w:t>pr</w:t>
      </w:r>
      <w:r w:rsidR="00523952" w:rsidRPr="00437808">
        <w:t>otects against both viruses and spyware, leading to benefits and best practices including:</w:t>
      </w:r>
    </w:p>
    <w:tbl>
      <w:tblPr>
        <w:tblStyle w:val="TableGrid"/>
        <w:tblpPr w:leftFromText="187" w:rightFromText="187" w:vertAnchor="page" w:horzAnchor="margin" w:tblpXSpec="right" w:tblpY="227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46"/>
      </w:tblGrid>
      <w:tr w:rsidR="007B20C0" w:rsidRPr="00437808" w:rsidTr="00437808">
        <w:trPr>
          <w:trHeight w:val="356"/>
        </w:trPr>
        <w:tc>
          <w:tcPr>
            <w:tcW w:w="3946" w:type="dxa"/>
            <w:shd w:val="clear" w:color="auto" w:fill="17365D" w:themeFill="text2" w:themeFillShade="BF"/>
            <w:vAlign w:val="center"/>
          </w:tcPr>
          <w:p w:rsidR="007B20C0" w:rsidRPr="00437808" w:rsidRDefault="007B20C0" w:rsidP="007B20C0">
            <w:pPr>
              <w:spacing w:after="0" w:line="240" w:lineRule="auto"/>
              <w:jc w:val="center"/>
              <w:rPr>
                <w:b/>
              </w:rPr>
            </w:pPr>
            <w:r w:rsidRPr="00437808">
              <w:rPr>
                <w:b/>
              </w:rPr>
              <w:t>Best Practice – Des Moines Public Schools</w:t>
            </w:r>
            <w:r w:rsidRPr="00437808">
              <w:rPr>
                <w:rStyle w:val="FootnoteReference"/>
              </w:rPr>
              <w:footnoteReference w:id="3"/>
            </w:r>
          </w:p>
        </w:tc>
      </w:tr>
      <w:tr w:rsidR="007B20C0" w:rsidRPr="00437808" w:rsidTr="00437808">
        <w:tc>
          <w:tcPr>
            <w:tcW w:w="3946" w:type="dxa"/>
            <w:shd w:val="clear" w:color="auto" w:fill="C6D9F1" w:themeFill="text2" w:themeFillTint="33"/>
          </w:tcPr>
          <w:p w:rsidR="007B20C0" w:rsidRPr="00437808" w:rsidRDefault="007B20C0" w:rsidP="007B20C0">
            <w:pPr>
              <w:spacing w:after="0"/>
            </w:pPr>
            <w:r w:rsidRPr="00437808">
              <w:t xml:space="preserve">With Forefront Client Security, Des Moines Public Schools now respond more effectively to system threats. Although the school district allows broad access to its computers and networks, IT administrators can use one solution to minimize the threat of exposure to malware and viruses.  </w:t>
            </w:r>
          </w:p>
          <w:p w:rsidR="007B20C0" w:rsidRPr="00437808" w:rsidRDefault="007B20C0" w:rsidP="007B20C0">
            <w:pPr>
              <w:spacing w:after="0"/>
            </w:pPr>
            <w:r w:rsidRPr="00437808">
              <w:t>IT administrators at Des Moines Public Schools also appreciate the frequent malware definition updates and other revisions distributed by Microsoft Update.</w:t>
            </w:r>
          </w:p>
        </w:tc>
      </w:tr>
    </w:tbl>
    <w:p w:rsidR="009C7EAE" w:rsidRPr="00437808" w:rsidRDefault="009C7EAE" w:rsidP="009C7EAE">
      <w:pPr>
        <w:pStyle w:val="ListParagraph"/>
        <w:numPr>
          <w:ilvl w:val="0"/>
          <w:numId w:val="11"/>
        </w:numPr>
      </w:pPr>
      <w:r w:rsidRPr="00437808">
        <w:t>IT Managers support a single application to protect against both spyware and malware</w:t>
      </w:r>
      <w:r w:rsidR="00523952" w:rsidRPr="00437808">
        <w:t>;</w:t>
      </w:r>
    </w:p>
    <w:p w:rsidR="00297619" w:rsidRPr="00437808" w:rsidRDefault="00297619" w:rsidP="00297619">
      <w:pPr>
        <w:pStyle w:val="ListParagraph"/>
        <w:numPr>
          <w:ilvl w:val="0"/>
          <w:numId w:val="11"/>
        </w:numPr>
      </w:pPr>
      <w:r w:rsidRPr="00437808">
        <w:t>Security issues and response time are greatly reduced with Forefront Client Security</w:t>
      </w:r>
      <w:r w:rsidR="00523952" w:rsidRPr="00437808">
        <w:t>;</w:t>
      </w:r>
    </w:p>
    <w:p w:rsidR="009C7EAE" w:rsidRPr="00437808" w:rsidRDefault="009C7EAE" w:rsidP="009C7EAE">
      <w:pPr>
        <w:pStyle w:val="ListParagraph"/>
        <w:numPr>
          <w:ilvl w:val="0"/>
          <w:numId w:val="11"/>
        </w:numPr>
      </w:pPr>
      <w:r w:rsidRPr="00437808">
        <w:t xml:space="preserve">Several </w:t>
      </w:r>
      <w:r w:rsidR="00297619" w:rsidRPr="00437808">
        <w:t>participants</w:t>
      </w:r>
      <w:r w:rsidRPr="00437808">
        <w:t xml:space="preserve"> did not mandate spyware software</w:t>
      </w:r>
      <w:r w:rsidR="009608B8" w:rsidRPr="00437808">
        <w:t xml:space="preserve"> before</w:t>
      </w:r>
      <w:r w:rsidRPr="00437808">
        <w:t>, so the fact that Forefront Client Security includes both spyware and malware protection was an added benefit</w:t>
      </w:r>
      <w:r w:rsidR="00523952" w:rsidRPr="00437808">
        <w:t>;</w:t>
      </w:r>
    </w:p>
    <w:p w:rsidR="00A75B88" w:rsidRPr="00437808" w:rsidRDefault="00A75B88" w:rsidP="00A75B88">
      <w:pPr>
        <w:pStyle w:val="ListParagraph"/>
        <w:numPr>
          <w:ilvl w:val="0"/>
          <w:numId w:val="11"/>
        </w:numPr>
      </w:pPr>
      <w:r w:rsidRPr="00437808">
        <w:t xml:space="preserve">Several </w:t>
      </w:r>
      <w:r w:rsidR="00297619" w:rsidRPr="00437808">
        <w:t>participants</w:t>
      </w:r>
      <w:r w:rsidRPr="00437808">
        <w:t xml:space="preserve"> noted that </w:t>
      </w:r>
      <w:r w:rsidR="009608B8" w:rsidRPr="00437808">
        <w:t>during installation, Forefront</w:t>
      </w:r>
      <w:r w:rsidRPr="00437808">
        <w:t xml:space="preserve"> Client Security located and cleaned a number of viruses that </w:t>
      </w:r>
      <w:r w:rsidR="009608B8" w:rsidRPr="00437808">
        <w:t>were</w:t>
      </w:r>
      <w:r w:rsidRPr="00437808">
        <w:t xml:space="preserve"> unnoticed by the previous software</w:t>
      </w:r>
      <w:r w:rsidR="00523952" w:rsidRPr="00437808">
        <w:t>;</w:t>
      </w:r>
    </w:p>
    <w:p w:rsidR="009C7EAE" w:rsidRPr="00437808" w:rsidRDefault="009C7EAE" w:rsidP="009C7EAE">
      <w:pPr>
        <w:pStyle w:val="ListParagraph"/>
        <w:numPr>
          <w:ilvl w:val="0"/>
          <w:numId w:val="11"/>
        </w:numPr>
      </w:pPr>
      <w:r w:rsidRPr="00437808">
        <w:t>End users are interrupted only once</w:t>
      </w:r>
      <w:r w:rsidR="00C23EC5" w:rsidRPr="00437808">
        <w:t>, if at all,</w:t>
      </w:r>
      <w:r w:rsidRPr="00437808">
        <w:t xml:space="preserve"> for a single security scan.</w:t>
      </w:r>
    </w:p>
    <w:p w:rsidR="000C7D82" w:rsidRPr="00437808" w:rsidRDefault="008C3717" w:rsidP="000C7D82">
      <w:pPr>
        <w:pStyle w:val="Heading2"/>
        <w:rPr>
          <w:sz w:val="24"/>
          <w:szCs w:val="24"/>
        </w:rPr>
      </w:pPr>
      <w:bookmarkStart w:id="12" w:name="_Toc200164803"/>
      <w:r w:rsidRPr="00437808">
        <w:rPr>
          <w:sz w:val="24"/>
          <w:szCs w:val="24"/>
        </w:rPr>
        <w:t>Security Issue Reduction</w:t>
      </w:r>
      <w:bookmarkEnd w:id="12"/>
    </w:p>
    <w:p w:rsidR="000C7D82" w:rsidRPr="00437808" w:rsidRDefault="00A75B88" w:rsidP="000C7D82">
      <w:r w:rsidRPr="00437808">
        <w:t>O</w:t>
      </w:r>
      <w:r w:rsidR="000C7D82" w:rsidRPr="00437808">
        <w:t>rganizations can reduce software and management costs by having both malware and spyware software in a single application.  Of the companies interviewed, all used a malware protection solution, but only two mandated spyware protection software – either going without, or leaving spyware protection up to end users</w:t>
      </w:r>
      <w:r w:rsidR="009F022D" w:rsidRPr="00437808">
        <w:t xml:space="preserve">.  </w:t>
      </w:r>
      <w:r w:rsidR="00951B68" w:rsidRPr="00437808">
        <w:t>“We were not well-protected a</w:t>
      </w:r>
      <w:r w:rsidR="00CC2DF8" w:rsidRPr="00437808">
        <w:t>gainst spyware or malware,” said</w:t>
      </w:r>
      <w:r w:rsidR="00951B68" w:rsidRPr="00437808">
        <w:t xml:space="preserve"> Markus Kleinen, Managing Director</w:t>
      </w:r>
      <w:r w:rsidR="009608B8" w:rsidRPr="00437808">
        <w:t xml:space="preserve"> at</w:t>
      </w:r>
      <w:r w:rsidR="00951B68" w:rsidRPr="00437808">
        <w:t xml:space="preserve"> Konnex</w:t>
      </w:r>
      <w:r w:rsidR="009F022D" w:rsidRPr="00437808">
        <w:t xml:space="preserve">.  </w:t>
      </w:r>
      <w:r w:rsidR="00951B68" w:rsidRPr="00437808">
        <w:t xml:space="preserve">Performance problems were another issue. “The </w:t>
      </w:r>
      <w:r w:rsidR="00CC2DF8" w:rsidRPr="00437808">
        <w:t xml:space="preserve">[previous] </w:t>
      </w:r>
      <w:r w:rsidR="00951B68" w:rsidRPr="00437808">
        <w:t>solution took a lot of time to scan computers, which slowed thi</w:t>
      </w:r>
      <w:r w:rsidR="00CC2DF8" w:rsidRPr="00437808">
        <w:t>ngs down for employees</w:t>
      </w:r>
      <w:r w:rsidR="009608B8" w:rsidRPr="00437808">
        <w:t>.”</w:t>
      </w:r>
      <w:r w:rsidR="00951B68" w:rsidRPr="00437808">
        <w:rPr>
          <w:rStyle w:val="FootnoteReference"/>
        </w:rPr>
        <w:footnoteReference w:id="4"/>
      </w:r>
    </w:p>
    <w:p w:rsidR="006F573E" w:rsidRPr="00437808" w:rsidRDefault="00B1352A" w:rsidP="000C7D82">
      <w:r w:rsidRPr="00437808">
        <w:t>Forefront Client Security provides an integrated solution. “</w:t>
      </w:r>
      <w:r w:rsidR="006F573E" w:rsidRPr="00437808">
        <w:t>As a financial institution, we have a need for machines to be 'well protected' for our own business</w:t>
      </w:r>
      <w:r w:rsidR="009F022D" w:rsidRPr="00437808">
        <w:t>,</w:t>
      </w:r>
      <w:r w:rsidR="006F573E" w:rsidRPr="00437808">
        <w:t xml:space="preserve"> as well as for gove</w:t>
      </w:r>
      <w:r w:rsidR="00CC2DF8" w:rsidRPr="00437808">
        <w:t>rnment compliance,</w:t>
      </w:r>
      <w:r w:rsidR="000E4B52" w:rsidRPr="00437808">
        <w:t xml:space="preserve">” </w:t>
      </w:r>
      <w:r w:rsidR="000E4B52" w:rsidRPr="00437808">
        <w:lastRenderedPageBreak/>
        <w:t>said</w:t>
      </w:r>
      <w:r w:rsidR="00CC2DF8" w:rsidRPr="00437808">
        <w:t xml:space="preserve"> Ken Ong Kok Keng, </w:t>
      </w:r>
      <w:r w:rsidR="009B6163">
        <w:t>System Engineer</w:t>
      </w:r>
      <w:r w:rsidR="00CC2DF8" w:rsidRPr="00437808">
        <w:t xml:space="preserve"> at PhillipCapital, a financial services firm in Singapore. “</w:t>
      </w:r>
      <w:r w:rsidR="006F573E" w:rsidRPr="00437808">
        <w:t>Forefront Client Security will help protect our desktop PCs</w:t>
      </w:r>
      <w:r w:rsidR="00CC2DF8" w:rsidRPr="00437808">
        <w:t xml:space="preserve"> from viruses and spyware.” </w:t>
      </w:r>
      <w:r w:rsidR="006F573E" w:rsidRPr="00437808">
        <w:t xml:space="preserve"> </w:t>
      </w:r>
    </w:p>
    <w:p w:rsidR="003E4380" w:rsidRPr="00437808" w:rsidRDefault="0018386B" w:rsidP="000C7D82">
      <w:r w:rsidRPr="00437808">
        <w:t>C</w:t>
      </w:r>
      <w:r w:rsidR="00B1352A" w:rsidRPr="00437808">
        <w:t xml:space="preserve">ompanies interviewed experienced significant </w:t>
      </w:r>
      <w:r w:rsidR="00A75B88" w:rsidRPr="00437808">
        <w:t xml:space="preserve">cost </w:t>
      </w:r>
      <w:r w:rsidR="00B1352A" w:rsidRPr="00437808">
        <w:t>savings in security response management</w:t>
      </w:r>
      <w:r w:rsidR="004857D3" w:rsidRPr="00437808">
        <w:t xml:space="preserve"> – based on both reduced issues and reduced </w:t>
      </w:r>
      <w:r w:rsidR="00A96374" w:rsidRPr="00437808">
        <w:t>cost</w:t>
      </w:r>
      <w:r w:rsidR="004857D3" w:rsidRPr="00437808">
        <w:t xml:space="preserve"> handling </w:t>
      </w:r>
      <w:r w:rsidR="00DC7375" w:rsidRPr="00437808">
        <w:t xml:space="preserve">for </w:t>
      </w:r>
      <w:r w:rsidR="004857D3" w:rsidRPr="00437808">
        <w:t>each issue. Right away</w:t>
      </w:r>
      <w:r w:rsidR="009F022D" w:rsidRPr="00437808">
        <w:t>,</w:t>
      </w:r>
      <w:r w:rsidR="004857D3" w:rsidRPr="00437808">
        <w:t xml:space="preserve"> customers started seeing improved security – several </w:t>
      </w:r>
      <w:r w:rsidR="001B6718" w:rsidRPr="00437808">
        <w:t xml:space="preserve">participants </w:t>
      </w:r>
      <w:r w:rsidR="004857D3" w:rsidRPr="00437808">
        <w:t>commented on the number of issue</w:t>
      </w:r>
      <w:r w:rsidR="009F022D" w:rsidRPr="00437808">
        <w:t>s undetected by the previous security software</w:t>
      </w:r>
      <w:r w:rsidR="004857D3" w:rsidRPr="00437808">
        <w:t xml:space="preserve"> that were identified during the first Forefront </w:t>
      </w:r>
      <w:r w:rsidR="00DC7375" w:rsidRPr="00437808">
        <w:t xml:space="preserve">Client Security </w:t>
      </w:r>
      <w:r w:rsidR="004857D3" w:rsidRPr="00437808">
        <w:t>scan</w:t>
      </w:r>
      <w:r w:rsidR="00962768" w:rsidRPr="00437808">
        <w:t>.</w:t>
      </w:r>
    </w:p>
    <w:p w:rsidR="00A34905" w:rsidRPr="00437808" w:rsidRDefault="0018386B" w:rsidP="000E4B52">
      <w:r w:rsidRPr="00437808">
        <w:t>W</w:t>
      </w:r>
      <w:r w:rsidR="004857D3" w:rsidRPr="00437808">
        <w:t>ith improved reporting and visibility, security issues are identified immediately and the I</w:t>
      </w:r>
      <w:r w:rsidR="00DC7375" w:rsidRPr="00437808">
        <w:t>T department is notified</w:t>
      </w:r>
      <w:r w:rsidR="00F466B4" w:rsidRPr="00437808">
        <w:t xml:space="preserve"> automatically</w:t>
      </w:r>
      <w:r w:rsidR="00DC7375" w:rsidRPr="00437808">
        <w:t xml:space="preserve"> (as opposed to</w:t>
      </w:r>
      <w:r w:rsidR="004857D3" w:rsidRPr="00437808">
        <w:t xml:space="preserve"> leaving issues unknown until the end user calls </w:t>
      </w:r>
      <w:r w:rsidR="00DC7375" w:rsidRPr="00437808">
        <w:t xml:space="preserve">the </w:t>
      </w:r>
      <w:r w:rsidR="004857D3" w:rsidRPr="00437808">
        <w:t>help</w:t>
      </w:r>
      <w:r w:rsidR="00DC7375" w:rsidRPr="00437808">
        <w:t xml:space="preserve"> desk). This leads </w:t>
      </w:r>
      <w:r w:rsidR="004857D3" w:rsidRPr="00437808">
        <w:t>to faster response time and fast</w:t>
      </w:r>
      <w:r w:rsidR="00962768" w:rsidRPr="00437808">
        <w:t>er</w:t>
      </w:r>
      <w:r w:rsidR="004857D3" w:rsidRPr="00437808">
        <w:t xml:space="preserve"> network quarantine of problem machines</w:t>
      </w:r>
      <w:r w:rsidR="00962768" w:rsidRPr="00437808">
        <w:t>, thus</w:t>
      </w:r>
      <w:r w:rsidR="004857D3" w:rsidRPr="00437808">
        <w:t xml:space="preserve"> reducing the number of issues that might spread through</w:t>
      </w:r>
      <w:r w:rsidR="00DC7375" w:rsidRPr="00437808">
        <w:t>out</w:t>
      </w:r>
      <w:r w:rsidR="004857D3" w:rsidRPr="00437808">
        <w:t xml:space="preserve"> the company.</w:t>
      </w:r>
      <w:r w:rsidR="000E4B52" w:rsidRPr="00437808">
        <w:t xml:space="preserve"> “Confidently we can say ‘yes we’re protected, yes were up to date,’” says Tom Sammons, Server Desktop Team Leader for the National Road and Motor Association, Sydney, Australia.</w:t>
      </w:r>
    </w:p>
    <w:tbl>
      <w:tblPr>
        <w:tblStyle w:val="TableGrid"/>
        <w:tblpPr w:leftFromText="187" w:rightFromText="187" w:vertAnchor="page" w:horzAnchor="margin" w:tblpXSpec="right" w:tblpY="263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76"/>
      </w:tblGrid>
      <w:tr w:rsidR="00A34905" w:rsidRPr="00437808" w:rsidTr="009608B8">
        <w:trPr>
          <w:trHeight w:val="356"/>
        </w:trPr>
        <w:tc>
          <w:tcPr>
            <w:tcW w:w="4176" w:type="dxa"/>
            <w:shd w:val="clear" w:color="auto" w:fill="17365D" w:themeFill="text2" w:themeFillShade="BF"/>
            <w:vAlign w:val="center"/>
          </w:tcPr>
          <w:p w:rsidR="00A34905" w:rsidRPr="00437808" w:rsidRDefault="00A34905" w:rsidP="00A34905">
            <w:pPr>
              <w:spacing w:after="0" w:line="240" w:lineRule="auto"/>
              <w:jc w:val="center"/>
              <w:rPr>
                <w:b/>
              </w:rPr>
            </w:pPr>
            <w:r w:rsidRPr="00437808">
              <w:rPr>
                <w:b/>
              </w:rPr>
              <w:t>How to Estimate Issue Reduction Savings</w:t>
            </w:r>
          </w:p>
        </w:tc>
      </w:tr>
      <w:tr w:rsidR="00A34905" w:rsidRPr="00437808" w:rsidTr="009608B8">
        <w:tc>
          <w:tcPr>
            <w:tcW w:w="4176" w:type="dxa"/>
            <w:shd w:val="clear" w:color="auto" w:fill="C6D9F1" w:themeFill="text2" w:themeFillTint="33"/>
          </w:tcPr>
          <w:p w:rsidR="00A34905" w:rsidRPr="00437808" w:rsidRDefault="00EE0D6C" w:rsidP="009608B8">
            <w:pPr>
              <w:pStyle w:val="ListParagraph"/>
              <w:numPr>
                <w:ilvl w:val="0"/>
                <w:numId w:val="12"/>
              </w:numPr>
              <w:ind w:left="360"/>
            </w:pPr>
            <w:r w:rsidRPr="00437808">
              <w:t>I</w:t>
            </w:r>
            <w:r w:rsidR="00A34905" w:rsidRPr="00437808">
              <w:t xml:space="preserve">dentify the number of desktop security issues </w:t>
            </w:r>
            <w:r w:rsidRPr="00437808">
              <w:t>per</w:t>
            </w:r>
            <w:r w:rsidR="00A34905" w:rsidRPr="00437808">
              <w:t xml:space="preserve"> </w:t>
            </w:r>
            <w:r w:rsidRPr="00437808">
              <w:t xml:space="preserve">year. Multiply that by </w:t>
            </w:r>
            <w:r w:rsidR="00A34905" w:rsidRPr="00437808">
              <w:t>85% reduction in security issues</w:t>
            </w:r>
            <w:r w:rsidRPr="00437808">
              <w:t>.</w:t>
            </w:r>
          </w:p>
          <w:p w:rsidR="00A34905" w:rsidRPr="00437808" w:rsidRDefault="00A34905" w:rsidP="00EE0D6C">
            <w:pPr>
              <w:pStyle w:val="ListParagraph"/>
              <w:numPr>
                <w:ilvl w:val="0"/>
                <w:numId w:val="12"/>
              </w:numPr>
              <w:spacing w:after="0"/>
              <w:ind w:left="360"/>
            </w:pPr>
            <w:r w:rsidRPr="00437808">
              <w:t>Multiply this number by your cost per security issue (or help desk ticket) cost</w:t>
            </w:r>
            <w:r w:rsidR="00EE0D6C" w:rsidRPr="00437808">
              <w:t xml:space="preserve"> </w:t>
            </w:r>
            <w:r w:rsidR="00EE0D6C" w:rsidRPr="00437808">
              <w:rPr>
                <w:rFonts w:ascii="Calibri" w:hAnsi="Calibri"/>
              </w:rPr>
              <w:t>(i.e. standard costs of $75 per issue).</w:t>
            </w:r>
          </w:p>
        </w:tc>
      </w:tr>
    </w:tbl>
    <w:p w:rsidR="0018386B" w:rsidRPr="00437808" w:rsidRDefault="0018386B" w:rsidP="0018386B">
      <w:r w:rsidRPr="00437808">
        <w:t>Additionally, end user impact is reduced</w:t>
      </w:r>
      <w:r w:rsidR="00962768" w:rsidRPr="00437808">
        <w:t xml:space="preserve">, </w:t>
      </w:r>
      <w:r w:rsidRPr="00437808">
        <w:t xml:space="preserve">both through efficient use of scanning times, as well as better use of system resources.  West Coast Labs, in its independent Product Test Report on </w:t>
      </w:r>
      <w:r w:rsidR="00DC7375" w:rsidRPr="00437808">
        <w:t>Forefront Client Security stated</w:t>
      </w:r>
      <w:r w:rsidR="00962768" w:rsidRPr="00437808">
        <w:t>,</w:t>
      </w:r>
      <w:r w:rsidRPr="00437808">
        <w:t xml:space="preserve"> “One of the most impressive features of Forefront Client Security was the lack of impact that it had on the client system resources.”</w:t>
      </w:r>
      <w:r w:rsidRPr="00437808">
        <w:rPr>
          <w:rStyle w:val="FootnoteReference"/>
        </w:rPr>
        <w:footnoteReference w:id="5"/>
      </w:r>
    </w:p>
    <w:p w:rsidR="009C7EAE" w:rsidRPr="00437808" w:rsidRDefault="00F466B4" w:rsidP="003051C5">
      <w:r w:rsidRPr="00437808">
        <w:t xml:space="preserve">Overall, </w:t>
      </w:r>
      <w:r w:rsidR="00A96374" w:rsidRPr="00437808">
        <w:t>P</w:t>
      </w:r>
      <w:r w:rsidR="001B6718" w:rsidRPr="00437808">
        <w:t>articipants</w:t>
      </w:r>
      <w:r w:rsidR="00B1352A" w:rsidRPr="00437808">
        <w:t xml:space="preserve"> estimate</w:t>
      </w:r>
      <w:r w:rsidR="009F32D7" w:rsidRPr="00437808">
        <w:t>d</w:t>
      </w:r>
      <w:r w:rsidR="00B1352A" w:rsidRPr="00437808">
        <w:t xml:space="preserve"> an average </w:t>
      </w:r>
      <w:r w:rsidR="001076B5" w:rsidRPr="00437808">
        <w:t>85</w:t>
      </w:r>
      <w:r w:rsidR="00B1352A" w:rsidRPr="00437808">
        <w:t>% reduction in security issues</w:t>
      </w:r>
      <w:r w:rsidR="003E4380" w:rsidRPr="00437808">
        <w:t>.</w:t>
      </w:r>
      <w:r w:rsidR="00E75130" w:rsidRPr="00437808">
        <w:t xml:space="preserve"> </w:t>
      </w:r>
      <w:r w:rsidRPr="00437808">
        <w:t>For the TCO analysis</w:t>
      </w:r>
      <w:r w:rsidR="00A96374" w:rsidRPr="00437808">
        <w:t xml:space="preserve">, a standard $75 cost per issue was used for pre-Forefront issue resolution, and $25 cost per issue </w:t>
      </w:r>
      <w:r w:rsidR="009F32D7" w:rsidRPr="00437808">
        <w:t>there</w:t>
      </w:r>
      <w:r w:rsidR="00A96374" w:rsidRPr="00437808">
        <w:t>after</w:t>
      </w:r>
      <w:r w:rsidRPr="00437808">
        <w:t xml:space="preserve">, for </w:t>
      </w:r>
      <w:r w:rsidR="003E4380" w:rsidRPr="00437808">
        <w:t xml:space="preserve">an estimated </w:t>
      </w:r>
      <w:r w:rsidR="00C75119" w:rsidRPr="00437808">
        <w:t xml:space="preserve">average </w:t>
      </w:r>
      <w:r w:rsidR="003E4380" w:rsidRPr="00437808">
        <w:t xml:space="preserve">annual TCO benefit </w:t>
      </w:r>
      <w:r w:rsidR="009B0C95" w:rsidRPr="00437808">
        <w:t>of $24</w:t>
      </w:r>
      <w:r w:rsidR="00523952" w:rsidRPr="00437808">
        <w:t>.00</w:t>
      </w:r>
      <w:r w:rsidR="00A96374" w:rsidRPr="00437808">
        <w:t>.</w:t>
      </w:r>
    </w:p>
    <w:p w:rsidR="009C7EAE" w:rsidRPr="00437808" w:rsidRDefault="003051C5" w:rsidP="003051C5">
      <w:pPr>
        <w:pStyle w:val="Heading1"/>
      </w:pPr>
      <w:bookmarkStart w:id="13" w:name="_Toc199042055"/>
      <w:bookmarkStart w:id="14" w:name="_Toc199040401"/>
      <w:bookmarkStart w:id="15" w:name="_Toc199040610"/>
      <w:bookmarkStart w:id="16" w:name="_Toc200164804"/>
      <w:r w:rsidRPr="00437808">
        <w:lastRenderedPageBreak/>
        <w:t>Simplified Administration</w:t>
      </w:r>
      <w:bookmarkEnd w:id="13"/>
      <w:bookmarkEnd w:id="14"/>
      <w:bookmarkEnd w:id="15"/>
      <w:bookmarkEnd w:id="16"/>
    </w:p>
    <w:p w:rsidR="00523952" w:rsidRPr="00437808" w:rsidRDefault="00523952" w:rsidP="00523952">
      <w:r w:rsidRPr="00437808">
        <w:t>The management tools and features of Forefront Client Security provide significant improvements and benefits to IT departments, including:</w:t>
      </w:r>
    </w:p>
    <w:tbl>
      <w:tblPr>
        <w:tblStyle w:val="TableGrid"/>
        <w:tblpPr w:leftFromText="187" w:rightFromText="187" w:vertAnchor="page" w:horzAnchor="margin" w:tblpXSpec="right" w:tblpY="288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58"/>
      </w:tblGrid>
      <w:tr w:rsidR="006E4461" w:rsidRPr="00437808" w:rsidTr="006E4461">
        <w:trPr>
          <w:trHeight w:val="356"/>
        </w:trPr>
        <w:tc>
          <w:tcPr>
            <w:tcW w:w="4158" w:type="dxa"/>
            <w:shd w:val="clear" w:color="auto" w:fill="17365D" w:themeFill="text2" w:themeFillShade="BF"/>
            <w:vAlign w:val="center"/>
          </w:tcPr>
          <w:p w:rsidR="006E4461" w:rsidRPr="00437808" w:rsidRDefault="006E4461" w:rsidP="006E4461">
            <w:pPr>
              <w:spacing w:after="0" w:line="240" w:lineRule="auto"/>
              <w:jc w:val="center"/>
              <w:rPr>
                <w:b/>
              </w:rPr>
            </w:pPr>
            <w:r w:rsidRPr="00437808">
              <w:rPr>
                <w:b/>
              </w:rPr>
              <w:t>Best Practice – Analog Devices</w:t>
            </w:r>
            <w:r w:rsidRPr="00437808">
              <w:rPr>
                <w:rStyle w:val="FootnoteReference"/>
              </w:rPr>
              <w:footnoteReference w:id="6"/>
            </w:r>
          </w:p>
        </w:tc>
      </w:tr>
      <w:tr w:rsidR="006E4461" w:rsidRPr="00437808" w:rsidTr="006E4461">
        <w:tc>
          <w:tcPr>
            <w:tcW w:w="4158" w:type="dxa"/>
            <w:shd w:val="clear" w:color="auto" w:fill="C6D9F1" w:themeFill="text2" w:themeFillTint="33"/>
          </w:tcPr>
          <w:p w:rsidR="006E4461" w:rsidRPr="00437808" w:rsidRDefault="006E4461" w:rsidP="006E4461">
            <w:pPr>
              <w:spacing w:after="0"/>
            </w:pPr>
            <w:r w:rsidRPr="00437808">
              <w:t>Boston-based manufacturing firm Analog Devices simplified its security-related IT infrastructure and the associated management processes by:</w:t>
            </w:r>
          </w:p>
          <w:p w:rsidR="006E4461" w:rsidRPr="00437808" w:rsidRDefault="00542E84" w:rsidP="006E4461">
            <w:pPr>
              <w:pStyle w:val="ListParagraph"/>
              <w:numPr>
                <w:ilvl w:val="0"/>
                <w:numId w:val="13"/>
              </w:numPr>
              <w:spacing w:after="0"/>
              <w:ind w:left="360"/>
            </w:pPr>
            <w:r w:rsidRPr="00437808">
              <w:t>Distributing n</w:t>
            </w:r>
            <w:r w:rsidR="006E4461" w:rsidRPr="00437808">
              <w:t xml:space="preserve">ew virus signatures using </w:t>
            </w:r>
            <w:r w:rsidR="008B22C8" w:rsidRPr="00437808">
              <w:t xml:space="preserve">Microsoft </w:t>
            </w:r>
            <w:r w:rsidR="006E4461" w:rsidRPr="00437808">
              <w:t>Windows Server</w:t>
            </w:r>
            <w:r w:rsidR="008B22C8" w:rsidRPr="00437808">
              <w:t>™</w:t>
            </w:r>
            <w:r w:rsidR="006E4461" w:rsidRPr="00437808">
              <w:t xml:space="preserve"> Update Services</w:t>
            </w:r>
            <w:r w:rsidRPr="00437808">
              <w:t>. This allows</w:t>
            </w:r>
            <w:r w:rsidR="006E4461" w:rsidRPr="00437808">
              <w:t xml:space="preserve"> Analog Devices to eliminate 12 distribution points required for its old product.</w:t>
            </w:r>
          </w:p>
          <w:p w:rsidR="006E4461" w:rsidRPr="00437808" w:rsidRDefault="00542E84" w:rsidP="006E4461">
            <w:pPr>
              <w:pStyle w:val="ListParagraph"/>
              <w:numPr>
                <w:ilvl w:val="0"/>
                <w:numId w:val="13"/>
              </w:numPr>
              <w:spacing w:after="0"/>
              <w:ind w:left="360"/>
            </w:pPr>
            <w:r w:rsidRPr="00437808">
              <w:t>Integrating with Active Directory, which eliminates</w:t>
            </w:r>
            <w:r w:rsidR="006E4461" w:rsidRPr="00437808">
              <w:t xml:space="preserve"> the need for a dedicated, proprietary tool to manage the company’s desktop antivirus solution.</w:t>
            </w:r>
          </w:p>
          <w:p w:rsidR="006E4461" w:rsidRPr="00437808" w:rsidRDefault="00542E84" w:rsidP="00542E84">
            <w:pPr>
              <w:pStyle w:val="ListParagraph"/>
              <w:numPr>
                <w:ilvl w:val="0"/>
                <w:numId w:val="13"/>
              </w:numPr>
              <w:spacing w:after="0"/>
              <w:ind w:left="360"/>
            </w:pPr>
            <w:r w:rsidRPr="00437808">
              <w:t>Requiring only one report</w:t>
            </w:r>
            <w:r w:rsidR="006E4461" w:rsidRPr="00437808">
              <w:t xml:space="preserve"> to monitor the status of des</w:t>
            </w:r>
            <w:r w:rsidRPr="00437808">
              <w:t xml:space="preserve">ktop security on a daily basis. This helps their system administrators </w:t>
            </w:r>
            <w:r w:rsidR="006E4461" w:rsidRPr="00437808">
              <w:t>quickly ascertain the status across all PCs and easily drill down into the details on one PC.</w:t>
            </w:r>
          </w:p>
        </w:tc>
      </w:tr>
    </w:tbl>
    <w:p w:rsidR="009C7EAE" w:rsidRPr="00437808" w:rsidRDefault="009C7EAE" w:rsidP="009C7EAE">
      <w:pPr>
        <w:pStyle w:val="ListParagraph"/>
        <w:numPr>
          <w:ilvl w:val="0"/>
          <w:numId w:val="11"/>
        </w:numPr>
      </w:pPr>
      <w:r w:rsidRPr="00437808">
        <w:t>IT Managers</w:t>
      </w:r>
      <w:r w:rsidR="00F466B4" w:rsidRPr="00437808">
        <w:t xml:space="preserve"> of Forefront Client Security</w:t>
      </w:r>
      <w:r w:rsidRPr="00437808">
        <w:t xml:space="preserve"> deploy a single application to user desktops either manually or part of a standard image</w:t>
      </w:r>
      <w:r w:rsidR="00523952" w:rsidRPr="00437808">
        <w:t>;</w:t>
      </w:r>
    </w:p>
    <w:p w:rsidR="009C7EAE" w:rsidRPr="00437808" w:rsidRDefault="009C7EAE" w:rsidP="009C7EAE">
      <w:pPr>
        <w:pStyle w:val="ListParagraph"/>
        <w:numPr>
          <w:ilvl w:val="0"/>
          <w:numId w:val="11"/>
        </w:numPr>
      </w:pPr>
      <w:r w:rsidRPr="00437808">
        <w:t>IT Managers manage Forefront Client Security via Active Directory Group Policy, including policies blocking network access for out-of-compliance PCs</w:t>
      </w:r>
      <w:r w:rsidR="00523952" w:rsidRPr="00437808">
        <w:t>;</w:t>
      </w:r>
    </w:p>
    <w:p w:rsidR="009C7EAE" w:rsidRPr="00437808" w:rsidRDefault="009C7EAE" w:rsidP="009C7EAE">
      <w:pPr>
        <w:pStyle w:val="ListParagraph"/>
        <w:numPr>
          <w:ilvl w:val="0"/>
          <w:numId w:val="11"/>
        </w:numPr>
      </w:pPr>
      <w:r w:rsidRPr="00437808">
        <w:t>Forefront Client Security</w:t>
      </w:r>
      <w:r w:rsidR="00F466B4" w:rsidRPr="00437808">
        <w:t>’s</w:t>
      </w:r>
      <w:r w:rsidRPr="00437808">
        <w:t xml:space="preserve"> signature updates are deployed automatically to all PCs via Windows Software Update Service</w:t>
      </w:r>
      <w:r w:rsidR="008B22C8" w:rsidRPr="00437808">
        <w:t xml:space="preserve"> (WSUS</w:t>
      </w:r>
      <w:r w:rsidRPr="00437808">
        <w:t>) – which can be scheduled after hours to avoid end-user impact</w:t>
      </w:r>
      <w:r w:rsidR="00523952" w:rsidRPr="00437808">
        <w:t>;</w:t>
      </w:r>
    </w:p>
    <w:p w:rsidR="009C7EAE" w:rsidRPr="00437808" w:rsidRDefault="006970B4" w:rsidP="00D22CED">
      <w:pPr>
        <w:pStyle w:val="ListParagraph"/>
        <w:numPr>
          <w:ilvl w:val="0"/>
          <w:numId w:val="11"/>
        </w:numPr>
      </w:pPr>
      <w:r w:rsidRPr="00437808">
        <w:t xml:space="preserve">Several </w:t>
      </w:r>
      <w:r w:rsidR="00AC78D5" w:rsidRPr="00437808">
        <w:t>survey participants</w:t>
      </w:r>
      <w:r w:rsidR="009C7EAE" w:rsidRPr="00437808">
        <w:t xml:space="preserve"> experienced significant IT benefits throug</w:t>
      </w:r>
      <w:r w:rsidRPr="00437808">
        <w:t xml:space="preserve">h the improved management tools, </w:t>
      </w:r>
      <w:r w:rsidR="009C7EAE" w:rsidRPr="00437808">
        <w:t>reduction in sec</w:t>
      </w:r>
      <w:r w:rsidRPr="00437808">
        <w:t>urity issues requiring response, and reduced software costs.</w:t>
      </w:r>
    </w:p>
    <w:p w:rsidR="00E75130" w:rsidRPr="00437808" w:rsidRDefault="00E75130" w:rsidP="00E75130">
      <w:pPr>
        <w:pStyle w:val="Heading2"/>
      </w:pPr>
      <w:bookmarkStart w:id="17" w:name="_Toc199040402"/>
      <w:bookmarkStart w:id="18" w:name="_Toc199040611"/>
      <w:bookmarkStart w:id="19" w:name="_Toc200164805"/>
      <w:r w:rsidRPr="00437808">
        <w:t xml:space="preserve">Reduced IT Management </w:t>
      </w:r>
      <w:bookmarkEnd w:id="17"/>
      <w:bookmarkEnd w:id="18"/>
      <w:r w:rsidR="0069243A" w:rsidRPr="00437808">
        <w:t>Cost</w:t>
      </w:r>
      <w:bookmarkEnd w:id="19"/>
    </w:p>
    <w:p w:rsidR="008C3717" w:rsidRPr="00437808" w:rsidRDefault="00204109" w:rsidP="008C3717">
      <w:pPr>
        <w:spacing w:after="0"/>
      </w:pPr>
      <w:r w:rsidRPr="00437808">
        <w:t xml:space="preserve">Organizations </w:t>
      </w:r>
      <w:r w:rsidR="00B81E50" w:rsidRPr="00437808">
        <w:t xml:space="preserve">improve </w:t>
      </w:r>
      <w:r w:rsidRPr="00437808">
        <w:t xml:space="preserve">desktop security management </w:t>
      </w:r>
      <w:r w:rsidR="00B81E50" w:rsidRPr="00437808">
        <w:t>with F</w:t>
      </w:r>
      <w:r w:rsidRPr="00437808">
        <w:t>orefront Client Security via:</w:t>
      </w:r>
    </w:p>
    <w:p w:rsidR="00204109" w:rsidRPr="00437808" w:rsidRDefault="00204109" w:rsidP="00204109">
      <w:pPr>
        <w:pStyle w:val="ListParagraph"/>
        <w:numPr>
          <w:ilvl w:val="0"/>
          <w:numId w:val="19"/>
        </w:numPr>
      </w:pPr>
      <w:r w:rsidRPr="00437808">
        <w:t>E</w:t>
      </w:r>
      <w:r w:rsidR="00B81E50" w:rsidRPr="00437808">
        <w:t>asier deploym</w:t>
      </w:r>
      <w:r w:rsidRPr="00437808">
        <w:t>ent managed by Group Policy</w:t>
      </w:r>
    </w:p>
    <w:p w:rsidR="00204109" w:rsidRPr="00437808" w:rsidRDefault="00204109" w:rsidP="00204109">
      <w:pPr>
        <w:pStyle w:val="ListParagraph"/>
        <w:numPr>
          <w:ilvl w:val="0"/>
          <w:numId w:val="19"/>
        </w:numPr>
      </w:pPr>
      <w:r w:rsidRPr="00437808">
        <w:t>E</w:t>
      </w:r>
      <w:r w:rsidR="00B81E50" w:rsidRPr="00437808">
        <w:t>asier ongoing manag</w:t>
      </w:r>
      <w:r w:rsidRPr="00437808">
        <w:t>ement through centralized tools</w:t>
      </w:r>
    </w:p>
    <w:p w:rsidR="00E75130" w:rsidRPr="00437808" w:rsidRDefault="00B02646" w:rsidP="00204109">
      <w:pPr>
        <w:pStyle w:val="ListParagraph"/>
        <w:numPr>
          <w:ilvl w:val="0"/>
          <w:numId w:val="19"/>
        </w:numPr>
      </w:pPr>
      <w:r w:rsidRPr="00437808">
        <w:t>A</w:t>
      </w:r>
      <w:r w:rsidR="00B81E50" w:rsidRPr="00437808">
        <w:t xml:space="preserve">utomated signature update deployment with </w:t>
      </w:r>
      <w:r w:rsidR="008B22C8" w:rsidRPr="00437808">
        <w:t>WSUS</w:t>
      </w:r>
    </w:p>
    <w:p w:rsidR="00B81E50" w:rsidRPr="00437808" w:rsidRDefault="00B02646" w:rsidP="00E75130">
      <w:r w:rsidRPr="00437808">
        <w:t xml:space="preserve">Survey participants reduced the time require for desktop security management </w:t>
      </w:r>
      <w:r w:rsidR="00B81E50" w:rsidRPr="00437808">
        <w:t xml:space="preserve">based </w:t>
      </w:r>
      <w:r w:rsidRPr="00437808">
        <w:t>on Forefront Client Security’s</w:t>
      </w:r>
      <w:r w:rsidR="00B81E50" w:rsidRPr="00437808">
        <w:t xml:space="preserve"> easy-to-use an</w:t>
      </w:r>
      <w:r w:rsidRPr="00437808">
        <w:t>d informative management system</w:t>
      </w:r>
      <w:r w:rsidR="00B81E50" w:rsidRPr="00437808">
        <w:t xml:space="preserve"> and the use of WSUS to deploy </w:t>
      </w:r>
      <w:r w:rsidR="00B81E50" w:rsidRPr="00437808">
        <w:lastRenderedPageBreak/>
        <w:t>signature updates</w:t>
      </w:r>
      <w:r w:rsidRPr="00437808">
        <w:t>. The t</w:t>
      </w:r>
      <w:r w:rsidR="008B22C8" w:rsidRPr="00437808">
        <w:t>ime required to</w:t>
      </w:r>
      <w:r w:rsidR="00B81E50" w:rsidRPr="00437808">
        <w:t xml:space="preserve"> identify and update out-of-compliance PCs</w:t>
      </w:r>
      <w:r w:rsidR="008B22C8" w:rsidRPr="00437808">
        <w:t xml:space="preserve"> was</w:t>
      </w:r>
      <w:r w:rsidRPr="00437808">
        <w:t xml:space="preserve"> also</w:t>
      </w:r>
      <w:r w:rsidR="008B22C8" w:rsidRPr="00437808">
        <w:t xml:space="preserve"> reduced</w:t>
      </w:r>
      <w:r w:rsidR="00B81E50" w:rsidRPr="00437808">
        <w:t>.</w:t>
      </w:r>
    </w:p>
    <w:p w:rsidR="00B81E50" w:rsidRPr="00437808" w:rsidRDefault="00B81E50" w:rsidP="00E75130">
      <w:r w:rsidRPr="00437808">
        <w:t>“We started using WSUS f</w:t>
      </w:r>
      <w:r w:rsidR="00614C24" w:rsidRPr="00437808">
        <w:t>or our virus definition updates,” said William Fulton, Network Specialist, Des Moines Public Schools. “</w:t>
      </w:r>
      <w:r w:rsidRPr="00437808">
        <w:t>The process was so easy that we’re now using WSUS for all our Microsoft software upda</w:t>
      </w:r>
      <w:r w:rsidR="00614C24" w:rsidRPr="00437808">
        <w:t>tes.”</w:t>
      </w:r>
    </w:p>
    <w:tbl>
      <w:tblPr>
        <w:tblStyle w:val="TableGrid"/>
        <w:tblpPr w:leftFromText="187" w:rightFromText="187" w:vertAnchor="page" w:horzAnchor="margin" w:tblpXSpec="right" w:tblpY="14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58"/>
      </w:tblGrid>
      <w:tr w:rsidR="007B20C0" w:rsidRPr="00437808" w:rsidTr="000E4B52">
        <w:trPr>
          <w:trHeight w:val="356"/>
        </w:trPr>
        <w:tc>
          <w:tcPr>
            <w:tcW w:w="4158" w:type="dxa"/>
            <w:shd w:val="clear" w:color="auto" w:fill="17365D" w:themeFill="text2" w:themeFillShade="BF"/>
            <w:vAlign w:val="center"/>
          </w:tcPr>
          <w:p w:rsidR="007B20C0" w:rsidRPr="00437808" w:rsidRDefault="007B20C0" w:rsidP="000E4B52">
            <w:pPr>
              <w:spacing w:after="0" w:line="240" w:lineRule="auto"/>
              <w:jc w:val="center"/>
              <w:rPr>
                <w:b/>
              </w:rPr>
            </w:pPr>
            <w:r w:rsidRPr="00437808">
              <w:rPr>
                <w:b/>
              </w:rPr>
              <w:t>What This Means for You</w:t>
            </w:r>
          </w:p>
        </w:tc>
      </w:tr>
      <w:tr w:rsidR="007B20C0" w:rsidRPr="00437808" w:rsidTr="000E4B52">
        <w:tc>
          <w:tcPr>
            <w:tcW w:w="4158" w:type="dxa"/>
            <w:shd w:val="clear" w:color="auto" w:fill="C6D9F1" w:themeFill="text2" w:themeFillTint="33"/>
          </w:tcPr>
          <w:p w:rsidR="007B20C0" w:rsidRPr="00437808" w:rsidRDefault="007B20C0" w:rsidP="000E4B52">
            <w:pPr>
              <w:spacing w:after="0"/>
            </w:pPr>
            <w:r w:rsidRPr="00437808">
              <w:t>Not every organization will realize benefits in this category, but you can estimate whether your company can benefit by estimating current IT staffing, and whether some resources handing IT security administration could be better used in other capacities.  Then identify how many security resolution resources can actually be reassigned after deploying Forefront Client Security.  Measure in terms of average IT salary saved or added benefit of IT staff in new (previously understaffed) roles.</w:t>
            </w:r>
          </w:p>
        </w:tc>
      </w:tr>
    </w:tbl>
    <w:p w:rsidR="00E75130" w:rsidRPr="00437808" w:rsidRDefault="00614C24" w:rsidP="00E75130">
      <w:r w:rsidRPr="00437808">
        <w:t xml:space="preserve">Not all the survey participants saw IT administration benefits, because some had </w:t>
      </w:r>
      <w:r w:rsidR="008B22C8" w:rsidRPr="00437808">
        <w:t>already made investments</w:t>
      </w:r>
      <w:r w:rsidRPr="00437808">
        <w:t xml:space="preserve"> in improved IT infrastructure. H</w:t>
      </w:r>
      <w:r w:rsidR="008B22C8" w:rsidRPr="00437808">
        <w:t>owever,</w:t>
      </w:r>
      <w:r w:rsidR="006E4461" w:rsidRPr="00437808">
        <w:t xml:space="preserve"> organizations that did realize benefits in this category averaged </w:t>
      </w:r>
      <w:r w:rsidR="001D0737" w:rsidRPr="00437808">
        <w:t>$7.50</w:t>
      </w:r>
      <w:r w:rsidR="001307C9" w:rsidRPr="00437808">
        <w:t xml:space="preserve"> </w:t>
      </w:r>
      <w:r w:rsidR="009B0C95" w:rsidRPr="00437808">
        <w:t xml:space="preserve">per desktop </w:t>
      </w:r>
      <w:r w:rsidR="006970B4" w:rsidRPr="00437808">
        <w:t>annual</w:t>
      </w:r>
      <w:r w:rsidR="001307C9" w:rsidRPr="00437808">
        <w:t xml:space="preserve"> </w:t>
      </w:r>
      <w:r w:rsidR="006E4461" w:rsidRPr="00437808">
        <w:t>savings</w:t>
      </w:r>
      <w:r w:rsidRPr="00437808">
        <w:t xml:space="preserve"> by avoiding</w:t>
      </w:r>
      <w:r w:rsidR="006970B4" w:rsidRPr="00437808">
        <w:t xml:space="preserve"> new hires</w:t>
      </w:r>
      <w:r w:rsidR="008B22C8" w:rsidRPr="00437808">
        <w:t xml:space="preserve"> </w:t>
      </w:r>
      <w:r w:rsidR="001D0737" w:rsidRPr="00437808">
        <w:t xml:space="preserve">and/or </w:t>
      </w:r>
      <w:r w:rsidRPr="00437808">
        <w:t>reallocating</w:t>
      </w:r>
      <w:r w:rsidR="001307C9" w:rsidRPr="00437808">
        <w:t xml:space="preserve"> headcount to more critical IT functions.</w:t>
      </w:r>
      <w:r w:rsidR="005007EA" w:rsidRPr="00437808">
        <w:t xml:space="preserve"> “Tech service time can definitely be put to better use than re-imaging computers damaged by malware attack,” </w:t>
      </w:r>
      <w:r w:rsidR="00BF4893" w:rsidRPr="00437808">
        <w:t>said</w:t>
      </w:r>
      <w:r w:rsidR="005007EA" w:rsidRPr="00437808">
        <w:t xml:space="preserve"> Fulton.</w:t>
      </w:r>
      <w:r w:rsidR="005007EA" w:rsidRPr="00437808">
        <w:rPr>
          <w:rStyle w:val="FootnoteReference"/>
        </w:rPr>
        <w:footnoteReference w:id="7"/>
      </w:r>
    </w:p>
    <w:p w:rsidR="009C7EAE" w:rsidRPr="00437808" w:rsidRDefault="009C7EAE" w:rsidP="009C7EAE">
      <w:pPr>
        <w:pStyle w:val="Heading1"/>
      </w:pPr>
      <w:bookmarkStart w:id="20" w:name="_Toc199040403"/>
      <w:bookmarkStart w:id="21" w:name="_Toc199040612"/>
      <w:bookmarkStart w:id="22" w:name="_Toc200164806"/>
      <w:r w:rsidRPr="00437808">
        <w:lastRenderedPageBreak/>
        <w:t>Visibility and Control</w:t>
      </w:r>
      <w:bookmarkEnd w:id="20"/>
      <w:bookmarkEnd w:id="21"/>
      <w:bookmarkEnd w:id="22"/>
    </w:p>
    <w:tbl>
      <w:tblPr>
        <w:tblStyle w:val="TableGrid"/>
        <w:tblpPr w:leftFromText="187" w:rightFromText="187" w:vertAnchor="page" w:horzAnchor="margin" w:tblpXSpec="right" w:tblpY="14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tblPr>
      <w:tblGrid>
        <w:gridCol w:w="3946"/>
      </w:tblGrid>
      <w:tr w:rsidR="003051C5" w:rsidRPr="00437808" w:rsidTr="007E2E07">
        <w:trPr>
          <w:trHeight w:val="4069"/>
        </w:trPr>
        <w:tc>
          <w:tcPr>
            <w:tcW w:w="3946" w:type="dxa"/>
            <w:shd w:val="clear" w:color="auto" w:fill="C6D9F1" w:themeFill="text2" w:themeFillTint="33"/>
          </w:tcPr>
          <w:p w:rsidR="003051C5" w:rsidRPr="00437808" w:rsidRDefault="003051C5" w:rsidP="007E2E07">
            <w:pPr>
              <w:spacing w:after="0"/>
              <w:rPr>
                <w:i/>
                <w:sz w:val="24"/>
              </w:rPr>
            </w:pPr>
            <w:r w:rsidRPr="00437808">
              <w:rPr>
                <w:i/>
                <w:sz w:val="24"/>
              </w:rPr>
              <w:t>“The greater visibility that we now have into our systems means we can identify security problems faster, and prevent many problems entirely. My advice to any company seeking a new security solution is to try out Forefront Client Security. The benefits of integration and rich reporting alone make it an ideal choice.”</w:t>
            </w:r>
            <w:r w:rsidRPr="00437808">
              <w:rPr>
                <w:rStyle w:val="FootnoteReference"/>
                <w:i/>
                <w:sz w:val="24"/>
              </w:rPr>
              <w:footnoteReference w:id="8"/>
            </w:r>
          </w:p>
          <w:p w:rsidR="003051C5" w:rsidRPr="00437808" w:rsidRDefault="003051C5" w:rsidP="007E2E07">
            <w:pPr>
              <w:spacing w:after="0"/>
              <w:rPr>
                <w:i/>
                <w:sz w:val="24"/>
              </w:rPr>
            </w:pPr>
            <w:r w:rsidRPr="00437808">
              <w:rPr>
                <w:i/>
              </w:rPr>
              <w:t>Thomas Thiew, IT Manager PhillipCapital</w:t>
            </w:r>
          </w:p>
        </w:tc>
      </w:tr>
    </w:tbl>
    <w:p w:rsidR="00523952" w:rsidRPr="00437808" w:rsidRDefault="00523952" w:rsidP="00523952">
      <w:r w:rsidRPr="00437808">
        <w:t xml:space="preserve">With Forefront Client Security, </w:t>
      </w:r>
      <w:r w:rsidR="009C7EAE" w:rsidRPr="00437808">
        <w:t>IT managers have access to rich</w:t>
      </w:r>
      <w:r w:rsidR="008B22C8" w:rsidRPr="00437808">
        <w:t>,</w:t>
      </w:r>
      <w:r w:rsidR="009C7EAE" w:rsidRPr="00437808">
        <w:t xml:space="preserve"> automated reports</w:t>
      </w:r>
      <w:r w:rsidRPr="00437808">
        <w:t xml:space="preserve"> that provide significant benefits, including:</w:t>
      </w:r>
    </w:p>
    <w:p w:rsidR="009C7EAE" w:rsidRPr="00437808" w:rsidRDefault="00523952" w:rsidP="00523952">
      <w:pPr>
        <w:pStyle w:val="ListParagraph"/>
        <w:numPr>
          <w:ilvl w:val="0"/>
          <w:numId w:val="21"/>
        </w:numPr>
      </w:pPr>
      <w:r w:rsidRPr="00437808">
        <w:t>Detailed reports summarizing</w:t>
      </w:r>
      <w:r w:rsidR="009C7EAE" w:rsidRPr="00437808">
        <w:t xml:space="preserve"> threats based on spyware or malware attacks, PCs that haven’t updated the latest security patches, and PCs that haven’t connected to the network recently</w:t>
      </w:r>
      <w:r w:rsidRPr="00437808">
        <w:t>;</w:t>
      </w:r>
    </w:p>
    <w:p w:rsidR="009C7EAE" w:rsidRPr="00437808" w:rsidRDefault="009C7EAE" w:rsidP="009C7EAE">
      <w:pPr>
        <w:pStyle w:val="ListParagraph"/>
        <w:numPr>
          <w:ilvl w:val="0"/>
          <w:numId w:val="11"/>
        </w:numPr>
      </w:pPr>
      <w:r w:rsidRPr="00437808">
        <w:t xml:space="preserve">Only a few businesses interviewed previously prepared security reports – even on an ad hoc basis – </w:t>
      </w:r>
      <w:r w:rsidR="008B22C8" w:rsidRPr="00437808">
        <w:t xml:space="preserve">which </w:t>
      </w:r>
      <w:r w:rsidRPr="00437808">
        <w:t>took anywhere from one hour to one week to prepare</w:t>
      </w:r>
      <w:r w:rsidR="00523952" w:rsidRPr="00437808">
        <w:t>;</w:t>
      </w:r>
    </w:p>
    <w:p w:rsidR="009C7EAE" w:rsidRPr="00437808" w:rsidRDefault="009C7EAE" w:rsidP="009C7EAE">
      <w:pPr>
        <w:pStyle w:val="ListParagraph"/>
        <w:numPr>
          <w:ilvl w:val="0"/>
          <w:numId w:val="11"/>
        </w:numPr>
      </w:pPr>
      <w:r w:rsidRPr="00437808">
        <w:t xml:space="preserve">All interviewed businesses are very happy, </w:t>
      </w:r>
      <w:r w:rsidR="007E2E07" w:rsidRPr="00437808">
        <w:t>with</w:t>
      </w:r>
      <w:r w:rsidRPr="00437808">
        <w:t xml:space="preserve"> the Forefront Client Security reporting functionality and how it provides quick warning of issues and frequent “snapshot” reports summarizing all PCs.</w:t>
      </w:r>
    </w:p>
    <w:p w:rsidR="001307C9" w:rsidRPr="00437808" w:rsidRDefault="001307C9" w:rsidP="001307C9">
      <w:pPr>
        <w:pStyle w:val="Heading2"/>
      </w:pPr>
      <w:bookmarkStart w:id="23" w:name="_Toc199040404"/>
      <w:bookmarkStart w:id="24" w:name="_Toc199040613"/>
      <w:bookmarkStart w:id="25" w:name="_Toc200164807"/>
      <w:r w:rsidRPr="00437808">
        <w:t>Visibility and Control Provides IT Impressive Tools</w:t>
      </w:r>
      <w:bookmarkEnd w:id="23"/>
      <w:bookmarkEnd w:id="24"/>
      <w:bookmarkEnd w:id="25"/>
    </w:p>
    <w:p w:rsidR="0018386B" w:rsidRPr="00437808" w:rsidRDefault="0018386B" w:rsidP="0018386B">
      <w:r w:rsidRPr="00437808">
        <w:t>West Coast Labs, in its April 2008 Product Test Report on Forefront Client Security called the reporting features of Forefront a “</w:t>
      </w:r>
      <w:r w:rsidR="00441035" w:rsidRPr="00437808">
        <w:t>m</w:t>
      </w:r>
      <w:r w:rsidRPr="00437808">
        <w:t xml:space="preserve">ajor differentiator from </w:t>
      </w:r>
      <w:r w:rsidR="00E326A9" w:rsidRPr="00437808">
        <w:t xml:space="preserve">[the] competition.” The report continued, </w:t>
      </w:r>
      <w:r w:rsidRPr="00437808">
        <w:t xml:space="preserve">“For reporting, the solution provides a high level of useful information, such as Real Time reporting, summary reports on key issues and state assessment scans. This is helped by the way in which Forefront Client Security interacts with existing Microsoft technologies, such as </w:t>
      </w:r>
      <w:r w:rsidR="007F3678" w:rsidRPr="00437808">
        <w:t>Microsoft</w:t>
      </w:r>
      <w:r w:rsidR="00864770" w:rsidRPr="00437808">
        <w:t>®</w:t>
      </w:r>
      <w:r w:rsidR="007F3678" w:rsidRPr="00437808">
        <w:t xml:space="preserve"> </w:t>
      </w:r>
      <w:r w:rsidRPr="00437808">
        <w:t>SQL Server</w:t>
      </w:r>
      <w:r w:rsidR="007F3678" w:rsidRPr="00437808">
        <w:t>®</w:t>
      </w:r>
      <w:r w:rsidRPr="00437808">
        <w:t xml:space="preserve"> and Microsoft</w:t>
      </w:r>
      <w:r w:rsidR="00864770" w:rsidRPr="00437808">
        <w:t>®</w:t>
      </w:r>
      <w:r w:rsidRPr="00437808">
        <w:t xml:space="preserve"> Operations Manager, to provide a streamlined solution.”</w:t>
      </w:r>
      <w:r w:rsidRPr="00437808">
        <w:rPr>
          <w:rStyle w:val="FootnoteReference"/>
        </w:rPr>
        <w:footnoteReference w:id="9"/>
      </w:r>
    </w:p>
    <w:p w:rsidR="009C67A1" w:rsidRPr="00437808" w:rsidRDefault="0018386B" w:rsidP="0018386B">
      <w:r w:rsidRPr="00437808">
        <w:t xml:space="preserve"> </w:t>
      </w:r>
      <w:r w:rsidR="00C6340B" w:rsidRPr="00437808">
        <w:t>Survey participants expressed excitement</w:t>
      </w:r>
      <w:r w:rsidR="001307C9" w:rsidRPr="00437808">
        <w:t xml:space="preserve"> about the reporting and data access features of Forefront Client Security. </w:t>
      </w:r>
      <w:r w:rsidR="006D5568" w:rsidRPr="00437808">
        <w:t xml:space="preserve"> “We’re very pleased with the rich reporting features that Forefront Client Security offers, especia</w:t>
      </w:r>
      <w:r w:rsidR="00C6340B" w:rsidRPr="00437808">
        <w:t xml:space="preserve">lly for deployments and updates,” </w:t>
      </w:r>
      <w:r w:rsidR="000E4B52" w:rsidRPr="00437808">
        <w:t>said Thomas</w:t>
      </w:r>
      <w:r w:rsidR="009E3978" w:rsidRPr="00437808">
        <w:t xml:space="preserve"> Thiew, IT Manager, </w:t>
      </w:r>
      <w:r w:rsidR="00C6340B" w:rsidRPr="00437808">
        <w:t>PhillipCapital. “</w:t>
      </w:r>
      <w:r w:rsidR="006D5568" w:rsidRPr="00437808">
        <w:t xml:space="preserve">The greater visibility that we now have into our systems means we can identify security problems faster, and prevent many problems entirely. My advice to any company seeking a new security solution is to </w:t>
      </w:r>
      <w:r w:rsidR="006D5568" w:rsidRPr="00437808">
        <w:lastRenderedPageBreak/>
        <w:t xml:space="preserve">try out </w:t>
      </w:r>
      <w:r w:rsidR="00C6340B" w:rsidRPr="00437808">
        <w:t>Forefront Client Security.</w:t>
      </w:r>
      <w:r w:rsidR="006D5568" w:rsidRPr="00437808">
        <w:t xml:space="preserve"> The benefits of integration and rich reporting alone make it an ideal choice.”</w:t>
      </w:r>
      <w:r w:rsidR="006D5568" w:rsidRPr="00437808">
        <w:rPr>
          <w:rStyle w:val="FootnoteReference"/>
        </w:rPr>
        <w:footnoteReference w:id="10"/>
      </w:r>
    </w:p>
    <w:tbl>
      <w:tblPr>
        <w:tblStyle w:val="TableGrid"/>
        <w:tblpPr w:leftFromText="187" w:rightFromText="187" w:vertAnchor="page" w:horzAnchor="margin" w:tblpXSpec="right" w:tblpY="14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58"/>
      </w:tblGrid>
      <w:tr w:rsidR="007E2E07" w:rsidRPr="00437808" w:rsidTr="007E2E07">
        <w:trPr>
          <w:trHeight w:val="356"/>
        </w:trPr>
        <w:tc>
          <w:tcPr>
            <w:tcW w:w="4158" w:type="dxa"/>
            <w:shd w:val="clear" w:color="auto" w:fill="17365D" w:themeFill="text2" w:themeFillShade="BF"/>
            <w:vAlign w:val="center"/>
          </w:tcPr>
          <w:p w:rsidR="007E2E07" w:rsidRPr="00437808" w:rsidRDefault="007E2E07" w:rsidP="007E2E07">
            <w:pPr>
              <w:spacing w:after="0" w:line="240" w:lineRule="auto"/>
              <w:jc w:val="center"/>
              <w:rPr>
                <w:b/>
              </w:rPr>
            </w:pPr>
            <w:r w:rsidRPr="00437808">
              <w:rPr>
                <w:b/>
              </w:rPr>
              <w:t>Best Practice – PhillipCapital</w:t>
            </w:r>
            <w:r w:rsidRPr="00437808">
              <w:rPr>
                <w:rStyle w:val="FootnoteReference"/>
              </w:rPr>
              <w:footnoteReference w:id="11"/>
            </w:r>
          </w:p>
        </w:tc>
      </w:tr>
      <w:tr w:rsidR="007E2E07" w:rsidRPr="00437808" w:rsidTr="00437808">
        <w:trPr>
          <w:trHeight w:val="6669"/>
        </w:trPr>
        <w:tc>
          <w:tcPr>
            <w:tcW w:w="4158" w:type="dxa"/>
            <w:shd w:val="clear" w:color="auto" w:fill="C6D9F1" w:themeFill="text2" w:themeFillTint="33"/>
          </w:tcPr>
          <w:p w:rsidR="007E2E07" w:rsidRPr="00437808" w:rsidRDefault="007E2E07" w:rsidP="007E2E07">
            <w:r w:rsidRPr="00437808">
              <w:t>With Forefront Client Security reports, PhillipCapital can gather security and status information about its IT environment in real time. Ongoing scans help determine which managed computers need security updates or are not configured in accordance with IT policies.   Security alerts notify IT administrators when threats appear in the environment.</w:t>
            </w:r>
          </w:p>
          <w:p w:rsidR="007E2E07" w:rsidRPr="00437808" w:rsidRDefault="007E2E07" w:rsidP="00437808">
            <w:pPr>
              <w:spacing w:after="0"/>
            </w:pPr>
            <w:r w:rsidRPr="00437808">
              <w:t>“We’re very pleased with the rich reporting features that Forefront Client Security offers, especially for deployments and updates,” says Thiew. “The greater visibility that we now have into our systems means we can identify security problems faster, and prevent many problems entirely.”</w:t>
            </w:r>
          </w:p>
        </w:tc>
      </w:tr>
    </w:tbl>
    <w:p w:rsidR="00B901AB" w:rsidRPr="00437808" w:rsidRDefault="00B901AB" w:rsidP="00B901AB">
      <w:r w:rsidRPr="00437808">
        <w:t xml:space="preserve">“Forefront Client Security reporting is very easy to use, and we’re getting great data out of the system,” </w:t>
      </w:r>
      <w:r w:rsidR="00C6340B" w:rsidRPr="00437808">
        <w:t>said</w:t>
      </w:r>
      <w:r w:rsidRPr="00437808">
        <w:t xml:space="preserve"> Susan Blandy, Manager of Desktop Computing Services, Analog Devices. “I get a daily e-mail message that provides a concise, one-page report on our client security situation. If I want to, I can drill down to get more details on the malware threat or the specific PC that’s been infected or is vulnerable. Forefront Client Security reports give me very concise visibility into the state of the security of our desktop systems.”</w:t>
      </w:r>
      <w:r w:rsidRPr="00437808">
        <w:rPr>
          <w:rStyle w:val="FootnoteReference"/>
        </w:rPr>
        <w:footnoteReference w:id="12"/>
      </w:r>
    </w:p>
    <w:p w:rsidR="009C67A1" w:rsidRPr="00437808" w:rsidRDefault="00B901AB" w:rsidP="001307C9">
      <w:r w:rsidRPr="00437808">
        <w:t xml:space="preserve">With </w:t>
      </w:r>
      <w:r w:rsidR="009C67A1" w:rsidRPr="00437808">
        <w:t>improved visibility into security issues, and notification of other types of security information</w:t>
      </w:r>
      <w:r w:rsidR="007F3678" w:rsidRPr="00437808">
        <w:t>,</w:t>
      </w:r>
      <w:r w:rsidR="009C67A1" w:rsidRPr="00437808">
        <w:t xml:space="preserve"> such as software update status and security patch status</w:t>
      </w:r>
      <w:r w:rsidR="007F3678" w:rsidRPr="00437808">
        <w:t>,</w:t>
      </w:r>
      <w:r w:rsidRPr="00437808">
        <w:t xml:space="preserve"> </w:t>
      </w:r>
      <w:r w:rsidR="007F3678" w:rsidRPr="00437808">
        <w:t>organizations gain access to new types of security information.  M</w:t>
      </w:r>
      <w:r w:rsidRPr="00437808">
        <w:t xml:space="preserve">ost </w:t>
      </w:r>
      <w:r w:rsidR="00B342F5" w:rsidRPr="00437808">
        <w:t>of the survey participants</w:t>
      </w:r>
      <w:r w:rsidRPr="00437808">
        <w:t xml:space="preserve"> had no visibility into security issue</w:t>
      </w:r>
      <w:r w:rsidR="00B342F5" w:rsidRPr="00437808">
        <w:t>s except when end-users called the h</w:t>
      </w:r>
      <w:r w:rsidRPr="00437808">
        <w:t>elp</w:t>
      </w:r>
      <w:r w:rsidR="00B342F5" w:rsidRPr="00437808">
        <w:t xml:space="preserve"> </w:t>
      </w:r>
      <w:r w:rsidRPr="00437808">
        <w:t>desk.</w:t>
      </w:r>
      <w:r w:rsidR="007F3678" w:rsidRPr="00437808">
        <w:t xml:space="preserve"> </w:t>
      </w:r>
      <w:r w:rsidRPr="00437808">
        <w:t xml:space="preserve"> </w:t>
      </w:r>
      <w:r w:rsidR="009C67A1" w:rsidRPr="00437808">
        <w:t>Harald Gumpenberger, Project Manager, Konnex Dienstleistungen</w:t>
      </w:r>
      <w:r w:rsidR="00B342F5" w:rsidRPr="00437808">
        <w:t>, said</w:t>
      </w:r>
      <w:r w:rsidR="007F3678" w:rsidRPr="00437808">
        <w:t>,</w:t>
      </w:r>
      <w:r w:rsidR="009C67A1" w:rsidRPr="00437808">
        <w:t xml:space="preserve"> “Surprisingly, the solution provided security information we never addressed before. Forefront Client Security found system information and identified it as a risk, such as domain accounts with local administration privileges on some computers. It also discovered several instances of spyware. This type of ability goes far beyond what we had with our previous solution."</w:t>
      </w:r>
      <w:r w:rsidR="00951B68" w:rsidRPr="00437808">
        <w:rPr>
          <w:rStyle w:val="FootnoteReference"/>
        </w:rPr>
        <w:footnoteReference w:id="13"/>
      </w:r>
    </w:p>
    <w:p w:rsidR="009C67A1" w:rsidRPr="00437808" w:rsidRDefault="009C67A1" w:rsidP="001307C9">
      <w:r w:rsidRPr="00437808">
        <w:t>As an example, during the interview process participants were asked</w:t>
      </w:r>
      <w:r w:rsidR="007F3678" w:rsidRPr="00437808">
        <w:t>,</w:t>
      </w:r>
      <w:r w:rsidRPr="00437808">
        <w:t xml:space="preserve"> “</w:t>
      </w:r>
      <w:r w:rsidR="007E2E07" w:rsidRPr="00437808">
        <w:t>Before Forefront Client Security was deployed, h</w:t>
      </w:r>
      <w:r w:rsidRPr="00437808">
        <w:t>ow many desktops at a given time did not meet security requirements?”  The answer for virtually all organizations was</w:t>
      </w:r>
      <w:r w:rsidR="007F3678" w:rsidRPr="00437808">
        <w:t>,</w:t>
      </w:r>
      <w:r w:rsidRPr="00437808">
        <w:t xml:space="preserve"> “Don’t know.”  </w:t>
      </w:r>
      <w:r w:rsidR="007F3678" w:rsidRPr="00437808">
        <w:t>W</w:t>
      </w:r>
      <w:r w:rsidRPr="00437808">
        <w:t xml:space="preserve">hen asked, “How many desktops do </w:t>
      </w:r>
      <w:r w:rsidRPr="00437808">
        <w:lastRenderedPageBreak/>
        <w:t xml:space="preserve">not meet security requirements today?” </w:t>
      </w:r>
      <w:r w:rsidR="007F3678" w:rsidRPr="00437808">
        <w:t>T</w:t>
      </w:r>
      <w:r w:rsidRPr="00437808">
        <w:t>he response was “Just a minute,” while they opened the Forefront Client Security report and provided the exact number of current security and software update issues that have been identified and may require attention.</w:t>
      </w:r>
    </w:p>
    <w:p w:rsidR="001307C9" w:rsidRPr="00437808" w:rsidRDefault="001307C9" w:rsidP="001307C9">
      <w:r w:rsidRPr="00437808">
        <w:t>TCO benefits were not measured in this categor</w:t>
      </w:r>
      <w:r w:rsidR="007F3678" w:rsidRPr="00437808">
        <w:t>y</w:t>
      </w:r>
      <w:r w:rsidRPr="00437808">
        <w:t xml:space="preserve"> since</w:t>
      </w:r>
      <w:r w:rsidR="007F3678" w:rsidRPr="00437808">
        <w:t>,</w:t>
      </w:r>
      <w:r w:rsidRPr="00437808">
        <w:t xml:space="preserve"> for most </w:t>
      </w:r>
      <w:r w:rsidR="001B6718" w:rsidRPr="00437808">
        <w:t>participants</w:t>
      </w:r>
      <w:r w:rsidR="007F3678" w:rsidRPr="00437808">
        <w:t>,</w:t>
      </w:r>
      <w:r w:rsidRPr="00437808">
        <w:t xml:space="preserve"> there was no previous reporting system </w:t>
      </w:r>
      <w:r w:rsidR="007F3678" w:rsidRPr="00437808">
        <w:t>for comparison</w:t>
      </w:r>
      <w:r w:rsidRPr="00437808">
        <w:t xml:space="preserve">.  However, the business benefits </w:t>
      </w:r>
      <w:r w:rsidR="00B342F5" w:rsidRPr="00437808">
        <w:t>– which include</w:t>
      </w:r>
      <w:r w:rsidRPr="00437808">
        <w:t xml:space="preserve"> improved visibility leading to better management reporting</w:t>
      </w:r>
      <w:r w:rsidR="007F3678" w:rsidRPr="00437808">
        <w:t>;</w:t>
      </w:r>
      <w:r w:rsidRPr="00437808">
        <w:t xml:space="preserve"> expanded scope of security management</w:t>
      </w:r>
      <w:r w:rsidR="007F3678" w:rsidRPr="00437808">
        <w:t>,</w:t>
      </w:r>
      <w:r w:rsidRPr="00437808">
        <w:t xml:space="preserve"> to include desktop software update status</w:t>
      </w:r>
      <w:r w:rsidR="007F3678" w:rsidRPr="00437808">
        <w:t>;</w:t>
      </w:r>
      <w:r w:rsidRPr="00437808">
        <w:t xml:space="preserve"> and potential avoided security catastrophes</w:t>
      </w:r>
      <w:r w:rsidR="00B342F5" w:rsidRPr="00437808">
        <w:t xml:space="preserve"> –</w:t>
      </w:r>
      <w:r w:rsidRPr="00437808">
        <w:t xml:space="preserve"> are expected to be </w:t>
      </w:r>
      <w:r w:rsidR="009C67A1" w:rsidRPr="00437808">
        <w:t>very significant.</w:t>
      </w:r>
    </w:p>
    <w:p w:rsidR="00960531" w:rsidRPr="00437808" w:rsidRDefault="009C7EAE" w:rsidP="009C7EAE">
      <w:pPr>
        <w:pStyle w:val="Heading1"/>
      </w:pPr>
      <w:bookmarkStart w:id="26" w:name="_Toc199040405"/>
      <w:bookmarkStart w:id="27" w:name="_Toc199040614"/>
      <w:bookmarkStart w:id="28" w:name="_Toc200164808"/>
      <w:r w:rsidRPr="00437808">
        <w:lastRenderedPageBreak/>
        <w:t>Forefront Client Security Costs and Deployment</w:t>
      </w:r>
      <w:bookmarkEnd w:id="26"/>
      <w:bookmarkEnd w:id="27"/>
      <w:bookmarkEnd w:id="28"/>
    </w:p>
    <w:p w:rsidR="001D7F89" w:rsidRPr="00437808" w:rsidRDefault="00B40C4D" w:rsidP="001D7F89">
      <w:pPr>
        <w:pStyle w:val="Heading2"/>
      </w:pPr>
      <w:bookmarkStart w:id="29" w:name="_Toc199040406"/>
      <w:bookmarkStart w:id="30" w:name="_Toc199040615"/>
      <w:bookmarkStart w:id="31" w:name="_Toc200164809"/>
      <w:r w:rsidRPr="00437808">
        <w:t xml:space="preserve">Licensing, Hardware and Deployment </w:t>
      </w:r>
      <w:r w:rsidR="001D7F89" w:rsidRPr="00437808">
        <w:t>Cost</w:t>
      </w:r>
      <w:r w:rsidRPr="00437808">
        <w:t>s</w:t>
      </w:r>
      <w:bookmarkEnd w:id="29"/>
      <w:bookmarkEnd w:id="30"/>
      <w:bookmarkEnd w:id="31"/>
    </w:p>
    <w:p w:rsidR="008C3717" w:rsidRPr="00437808" w:rsidRDefault="00B40C4D" w:rsidP="008C3717">
      <w:pPr>
        <w:spacing w:after="0"/>
      </w:pPr>
      <w:r w:rsidRPr="00437808">
        <w:t>Overall</w:t>
      </w:r>
      <w:r w:rsidR="007F3678" w:rsidRPr="00437808">
        <w:t>,</w:t>
      </w:r>
      <w:r w:rsidR="00140301" w:rsidRPr="00437808">
        <w:t xml:space="preserve"> the survey participants </w:t>
      </w:r>
      <w:r w:rsidR="009B0C95" w:rsidRPr="00437808">
        <w:t>estimated</w:t>
      </w:r>
      <w:r w:rsidRPr="00437808">
        <w:t xml:space="preserve"> </w:t>
      </w:r>
      <w:r w:rsidR="00140301" w:rsidRPr="00437808">
        <w:t xml:space="preserve">average </w:t>
      </w:r>
      <w:r w:rsidRPr="00437808">
        <w:t>one-time costs of $</w:t>
      </w:r>
      <w:r w:rsidR="006E4461" w:rsidRPr="00437808">
        <w:t>16.50</w:t>
      </w:r>
      <w:r w:rsidR="009B0C95" w:rsidRPr="00437808">
        <w:t xml:space="preserve"> </w:t>
      </w:r>
      <w:r w:rsidR="00140301" w:rsidRPr="00437808">
        <w:t xml:space="preserve">per desktop. </w:t>
      </w:r>
      <w:r w:rsidRPr="00437808">
        <w:t>These costs include</w:t>
      </w:r>
      <w:r w:rsidR="00290C8F" w:rsidRPr="00437808">
        <w:t>d</w:t>
      </w:r>
      <w:r w:rsidRPr="00437808">
        <w:t>:</w:t>
      </w:r>
    </w:p>
    <w:p w:rsidR="00B40C4D" w:rsidRPr="00437808" w:rsidRDefault="00B40C4D" w:rsidP="00B40C4D">
      <w:pPr>
        <w:pStyle w:val="ListParagraph"/>
        <w:numPr>
          <w:ilvl w:val="0"/>
          <w:numId w:val="14"/>
        </w:numPr>
      </w:pPr>
      <w:r w:rsidRPr="00437808">
        <w:t>Deployment effort and costs, including installation and training</w:t>
      </w:r>
    </w:p>
    <w:p w:rsidR="00B40C4D" w:rsidRPr="00437808" w:rsidRDefault="00B40C4D" w:rsidP="00B40C4D">
      <w:pPr>
        <w:pStyle w:val="ListParagraph"/>
        <w:numPr>
          <w:ilvl w:val="0"/>
          <w:numId w:val="14"/>
        </w:numPr>
      </w:pPr>
      <w:r w:rsidRPr="00437808">
        <w:t>Software, including Forefront Client Security, and the required server components:</w:t>
      </w:r>
    </w:p>
    <w:p w:rsidR="00BD4629" w:rsidRDefault="00BD4629" w:rsidP="00B40C4D">
      <w:pPr>
        <w:pStyle w:val="ListParagraph"/>
        <w:numPr>
          <w:ilvl w:val="1"/>
          <w:numId w:val="14"/>
        </w:numPr>
      </w:pPr>
      <w:r>
        <w:t>Forefront Client Security Management Console</w:t>
      </w:r>
      <w:r w:rsidRPr="00437808">
        <w:t xml:space="preserve"> </w:t>
      </w:r>
    </w:p>
    <w:p w:rsidR="00B40C4D" w:rsidRPr="00437808" w:rsidRDefault="00B40C4D" w:rsidP="00B40C4D">
      <w:pPr>
        <w:pStyle w:val="ListParagraph"/>
        <w:numPr>
          <w:ilvl w:val="1"/>
          <w:numId w:val="14"/>
        </w:numPr>
      </w:pPr>
      <w:r w:rsidRPr="00437808">
        <w:t>Windows Software Update Service (a free service, but may require a dedicated Windows Server box)</w:t>
      </w:r>
    </w:p>
    <w:p w:rsidR="00B40C4D" w:rsidRPr="00437808" w:rsidRDefault="00B40C4D" w:rsidP="00B40C4D">
      <w:pPr>
        <w:pStyle w:val="ListParagraph"/>
        <w:numPr>
          <w:ilvl w:val="1"/>
          <w:numId w:val="14"/>
        </w:numPr>
      </w:pPr>
      <w:r w:rsidRPr="00437808">
        <w:t>SQL Server</w:t>
      </w:r>
      <w:r w:rsidR="00421B97">
        <w:t xml:space="preserve"> (for a reduced price, a version of SQL Server can be included with the Forefront </w:t>
      </w:r>
      <w:r w:rsidR="00BD4629">
        <w:t xml:space="preserve">Client Security </w:t>
      </w:r>
      <w:r w:rsidR="00421B97">
        <w:t>Management Console)</w:t>
      </w:r>
    </w:p>
    <w:p w:rsidR="00B40C4D" w:rsidRPr="00437808" w:rsidRDefault="00B40C4D" w:rsidP="00B40C4D">
      <w:pPr>
        <w:pStyle w:val="ListParagraph"/>
        <w:numPr>
          <w:ilvl w:val="1"/>
          <w:numId w:val="14"/>
        </w:numPr>
      </w:pPr>
      <w:r w:rsidRPr="00437808">
        <w:t>Microsoft Operations Manager</w:t>
      </w:r>
      <w:r w:rsidR="00421B97">
        <w:t xml:space="preserve"> (a version of MOM is included with the </w:t>
      </w:r>
      <w:r w:rsidR="00BD4629">
        <w:t>Forefront Client Security Management Console</w:t>
      </w:r>
      <w:r w:rsidR="00421B97">
        <w:t>)</w:t>
      </w:r>
    </w:p>
    <w:p w:rsidR="00B40C4D" w:rsidRPr="00437808" w:rsidRDefault="00B40C4D" w:rsidP="00B40C4D">
      <w:pPr>
        <w:pStyle w:val="ListParagraph"/>
        <w:numPr>
          <w:ilvl w:val="0"/>
          <w:numId w:val="14"/>
        </w:numPr>
      </w:pPr>
      <w:r w:rsidRPr="00437808">
        <w:t>Hardware for any new server purchases required for the Forefront deployment</w:t>
      </w:r>
    </w:p>
    <w:p w:rsidR="008C3717" w:rsidRPr="00437808" w:rsidRDefault="00B40C4D" w:rsidP="008C3717">
      <w:pPr>
        <w:spacing w:after="0"/>
      </w:pPr>
      <w:r w:rsidRPr="00437808">
        <w:t xml:space="preserve">For this study, costs were found to be lower than expected, as </w:t>
      </w:r>
      <w:r w:rsidR="00787B00" w:rsidRPr="00437808">
        <w:t xml:space="preserve">all but one interview participant reduced </w:t>
      </w:r>
      <w:r w:rsidR="00437808" w:rsidRPr="00437808">
        <w:t>TCO in</w:t>
      </w:r>
      <w:r w:rsidR="00787B00" w:rsidRPr="00437808">
        <w:t xml:space="preserve"> one or more of the following ways: </w:t>
      </w:r>
    </w:p>
    <w:p w:rsidR="00787B00" w:rsidRPr="00437808" w:rsidRDefault="000F1E7B" w:rsidP="00787B00">
      <w:pPr>
        <w:pStyle w:val="ListParagraph"/>
        <w:numPr>
          <w:ilvl w:val="0"/>
          <w:numId w:val="15"/>
        </w:numPr>
      </w:pPr>
      <w:r w:rsidRPr="00437808">
        <w:t>Existing</w:t>
      </w:r>
      <w:r w:rsidR="00B40C4D" w:rsidRPr="00437808">
        <w:t xml:space="preserve"> Enterprise Client Access License (ECAL) agreement (a licensing offering from Microsoft that includes 11 products)</w:t>
      </w:r>
      <w:r w:rsidR="00B40C4D" w:rsidRPr="00437808">
        <w:rPr>
          <w:rStyle w:val="FootnoteReference"/>
        </w:rPr>
        <w:footnoteReference w:id="14"/>
      </w:r>
      <w:r w:rsidR="00B40C4D" w:rsidRPr="00437808">
        <w:t xml:space="preserve"> which includes</w:t>
      </w:r>
      <w:r w:rsidR="00787B00" w:rsidRPr="00437808">
        <w:t xml:space="preserve"> Forefront Client Security</w:t>
      </w:r>
    </w:p>
    <w:p w:rsidR="00787B00" w:rsidRPr="00437808" w:rsidRDefault="000F1E7B" w:rsidP="00787B00">
      <w:pPr>
        <w:pStyle w:val="ListParagraph"/>
        <w:numPr>
          <w:ilvl w:val="0"/>
          <w:numId w:val="15"/>
        </w:numPr>
      </w:pPr>
      <w:r w:rsidRPr="00437808">
        <w:t xml:space="preserve">Server or </w:t>
      </w:r>
      <w:r w:rsidR="00787B00" w:rsidRPr="00437808">
        <w:t>software</w:t>
      </w:r>
      <w:r w:rsidRPr="00437808">
        <w:t xml:space="preserve"> recycling</w:t>
      </w:r>
    </w:p>
    <w:p w:rsidR="00787B00" w:rsidRPr="00437808" w:rsidRDefault="00787B00" w:rsidP="00787B00">
      <w:pPr>
        <w:pStyle w:val="ListParagraph"/>
        <w:numPr>
          <w:ilvl w:val="0"/>
          <w:numId w:val="15"/>
        </w:numPr>
      </w:pPr>
      <w:r w:rsidRPr="00437808">
        <w:t>P</w:t>
      </w:r>
      <w:r w:rsidR="000F1E7B" w:rsidRPr="00437808">
        <w:t xml:space="preserve">urchased of </w:t>
      </w:r>
      <w:r w:rsidR="00B40C4D" w:rsidRPr="00437808">
        <w:t xml:space="preserve">Forefront Client </w:t>
      </w:r>
      <w:r w:rsidR="00077289">
        <w:t>Security Management Console that comes with a run-time license for SQL Server for use with Forefront Client Security</w:t>
      </w:r>
    </w:p>
    <w:p w:rsidR="00B40C4D" w:rsidRPr="00437808" w:rsidRDefault="00B40C4D" w:rsidP="00787B00">
      <w:pPr>
        <w:pStyle w:val="ListParagraph"/>
        <w:numPr>
          <w:ilvl w:val="0"/>
          <w:numId w:val="15"/>
        </w:numPr>
      </w:pPr>
      <w:r w:rsidRPr="00437808">
        <w:t>Forefront</w:t>
      </w:r>
      <w:r w:rsidR="000F1E7B" w:rsidRPr="00437808">
        <w:t xml:space="preserve"> </w:t>
      </w:r>
      <w:r w:rsidR="009E3978" w:rsidRPr="00437808">
        <w:t>Client</w:t>
      </w:r>
      <w:r w:rsidR="006C37CD" w:rsidRPr="00437808">
        <w:t xml:space="preserve"> Security deployment to an existing v</w:t>
      </w:r>
      <w:r w:rsidRPr="00437808">
        <w:t>irtualized network environment at no additional hardware cost (see next section for more de</w:t>
      </w:r>
      <w:r w:rsidR="006C37CD" w:rsidRPr="00437808">
        <w:t>tails)</w:t>
      </w:r>
    </w:p>
    <w:p w:rsidR="00B40C4D" w:rsidRPr="00437808" w:rsidRDefault="00787B00" w:rsidP="00B40C4D">
      <w:r w:rsidRPr="00437808">
        <w:t>If all participants purchased</w:t>
      </w:r>
      <w:r w:rsidR="00421B97">
        <w:t xml:space="preserve"> all new hardware and software</w:t>
      </w:r>
      <w:r w:rsidRPr="00437808">
        <w:t xml:space="preserve">, the total cost would have been </w:t>
      </w:r>
      <w:r w:rsidR="00437808">
        <w:t>approximately</w:t>
      </w:r>
      <w:r w:rsidRPr="00437808">
        <w:t xml:space="preserve"> $</w:t>
      </w:r>
      <w:r w:rsidR="006970B4" w:rsidRPr="00437808">
        <w:t>27</w:t>
      </w:r>
      <w:r w:rsidR="00437808">
        <w:t>.00</w:t>
      </w:r>
      <w:r w:rsidRPr="00437808">
        <w:t xml:space="preserve"> per desktop</w:t>
      </w:r>
      <w:r w:rsidR="007F3678" w:rsidRPr="00437808">
        <w:t>.  R</w:t>
      </w:r>
      <w:r w:rsidRPr="00437808">
        <w:t xml:space="preserve">eusing servers, virtualization, and volume licensing </w:t>
      </w:r>
      <w:r w:rsidR="001876AF" w:rsidRPr="00437808">
        <w:t xml:space="preserve">helped avoid </w:t>
      </w:r>
      <w:r w:rsidRPr="00437808">
        <w:t xml:space="preserve">interview participants an average </w:t>
      </w:r>
      <w:r w:rsidR="009E3978" w:rsidRPr="00437808">
        <w:t xml:space="preserve">of </w:t>
      </w:r>
      <w:r w:rsidRPr="00437808">
        <w:t>more than $</w:t>
      </w:r>
      <w:r w:rsidR="006970B4" w:rsidRPr="00437808">
        <w:t>10</w:t>
      </w:r>
      <w:r w:rsidR="00437808">
        <w:t>.00</w:t>
      </w:r>
      <w:r w:rsidRPr="00437808">
        <w:t xml:space="preserve"> per desktop.</w:t>
      </w:r>
    </w:p>
    <w:p w:rsidR="00787B00" w:rsidRPr="00437808" w:rsidRDefault="00787B00" w:rsidP="00B40C4D">
      <w:r w:rsidRPr="00437808">
        <w:lastRenderedPageBreak/>
        <w:t xml:space="preserve">For more information, visit Microsoft Forefront security’s How to Buy site at: </w:t>
      </w:r>
      <w:hyperlink r:id="rId17" w:history="1">
        <w:r w:rsidRPr="00437808">
          <w:rPr>
            <w:rStyle w:val="Hyperlink"/>
          </w:rPr>
          <w:t>http://www.microsoft.com/forefront/clientsecurity/howtobuy/default.mspx</w:t>
        </w:r>
      </w:hyperlink>
      <w:r w:rsidRPr="00437808">
        <w:t xml:space="preserve"> </w:t>
      </w:r>
    </w:p>
    <w:p w:rsidR="00E83263" w:rsidRPr="00437808" w:rsidRDefault="00E83263" w:rsidP="00E83263">
      <w:pPr>
        <w:pStyle w:val="Heading2"/>
      </w:pPr>
      <w:r w:rsidRPr="00437808">
        <w:rPr>
          <w:noProof/>
        </w:rPr>
        <w:drawing>
          <wp:anchor distT="0" distB="0" distL="114300" distR="114300" simplePos="0" relativeHeight="251654144" behindDoc="0" locked="0" layoutInCell="1" allowOverlap="1">
            <wp:simplePos x="0" y="0"/>
            <wp:positionH relativeFrom="margin">
              <wp:align>right</wp:align>
            </wp:positionH>
            <wp:positionV relativeFrom="paragraph">
              <wp:posOffset>0</wp:posOffset>
            </wp:positionV>
            <wp:extent cx="2945765" cy="3622675"/>
            <wp:effectExtent l="19050" t="0" r="698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srcRect/>
                    <a:stretch>
                      <a:fillRect/>
                    </a:stretch>
                  </pic:blipFill>
                  <pic:spPr bwMode="auto">
                    <a:xfrm>
                      <a:off x="0" y="0"/>
                      <a:ext cx="2945765" cy="3622675"/>
                    </a:xfrm>
                    <a:prstGeom prst="rect">
                      <a:avLst/>
                    </a:prstGeom>
                    <a:noFill/>
                    <a:ln w="9525">
                      <a:noFill/>
                      <a:miter lim="800000"/>
                      <a:headEnd/>
                      <a:tailEnd/>
                    </a:ln>
                  </pic:spPr>
                </pic:pic>
              </a:graphicData>
            </a:graphic>
          </wp:anchor>
        </w:drawing>
      </w:r>
      <w:bookmarkStart w:id="32" w:name="_Toc199040407"/>
      <w:bookmarkStart w:id="33" w:name="_Toc199040616"/>
      <w:bookmarkStart w:id="34" w:name="_Toc200164810"/>
      <w:r w:rsidRPr="00437808">
        <w:t>Virtualization</w:t>
      </w:r>
      <w:bookmarkEnd w:id="32"/>
      <w:bookmarkEnd w:id="33"/>
      <w:bookmarkEnd w:id="34"/>
    </w:p>
    <w:p w:rsidR="00E83263" w:rsidRPr="00437808" w:rsidRDefault="007E2E07" w:rsidP="00E83263">
      <w:r w:rsidRPr="00437808">
        <w:t xml:space="preserve">Half </w:t>
      </w:r>
      <w:r w:rsidR="00E83263" w:rsidRPr="00437808">
        <w:t xml:space="preserve">of the participating organizations reduced deployment costs considerably by implementing Forefront Client Security management servers in a new or existing virtualized network environment. “It is our standard practice to virtualize everything in our network environment, and we received great support from Microsoft to virtualize our Forefront Client Security management servers,” </w:t>
      </w:r>
      <w:r w:rsidR="00DF5981" w:rsidRPr="00437808">
        <w:t>said</w:t>
      </w:r>
      <w:r w:rsidR="00E83263" w:rsidRPr="00437808">
        <w:t xml:space="preserve"> Tom Sammons, IT Manager, NMRA.</w:t>
      </w:r>
    </w:p>
    <w:p w:rsidR="00E83263" w:rsidRPr="00437808" w:rsidRDefault="007F7745" w:rsidP="00E83263">
      <w:r>
        <w:rPr>
          <w:noProof/>
        </w:rPr>
        <w:pict>
          <v:shape id="_x0000_s1028" type="#_x0000_t202" style="position:absolute;margin-left:217.8pt;margin-top:28.65pt;width:237.55pt;height:42.95pt;z-index:251659264" stroked="f">
            <v:textbox style="mso-next-textbox:#_x0000_s1028;mso-fit-shape-to-text:t" inset="0,0,0,0">
              <w:txbxContent>
                <w:p w:rsidR="00523952" w:rsidRDefault="00523952" w:rsidP="00E83263">
                  <w:pPr>
                    <w:pStyle w:val="Caption"/>
                  </w:pPr>
                  <w:r>
                    <w:t xml:space="preserve">Figure </w:t>
                  </w:r>
                  <w:fldSimple w:instr=" SEQ Figure \* ARABIC ">
                    <w:r>
                      <w:rPr>
                        <w:noProof/>
                      </w:rPr>
                      <w:t>3</w:t>
                    </w:r>
                  </w:fldSimple>
                  <w:r>
                    <w:t xml:space="preserve"> A basic comparison of standard versus virtualized. The left side shows a typical Forefront Client Security network environment, while the right side shows a virtualized network.</w:t>
                  </w:r>
                </w:p>
              </w:txbxContent>
            </v:textbox>
            <w10:wrap type="square"/>
          </v:shape>
        </w:pict>
      </w:r>
      <w:r w:rsidR="00E83263" w:rsidRPr="00437808">
        <w:t xml:space="preserve"> Figure </w:t>
      </w:r>
      <w:r w:rsidR="006970B4" w:rsidRPr="00437808">
        <w:t>3</w:t>
      </w:r>
      <w:r w:rsidR="00DF5981" w:rsidRPr="00437808">
        <w:t xml:space="preserve"> shows a general representation of how individual servers are</w:t>
      </w:r>
      <w:r w:rsidR="00E83263" w:rsidRPr="00437808">
        <w:t xml:space="preserve"> optimized in a virtual server environment</w:t>
      </w:r>
      <w:r w:rsidR="00DF5981" w:rsidRPr="00437808">
        <w:t xml:space="preserve">. A virtualize network environment </w:t>
      </w:r>
      <w:r w:rsidR="00E83263" w:rsidRPr="00437808">
        <w:t xml:space="preserve">can be managed more easily and software can be run more efficiently, leading to potential server reduction </w:t>
      </w:r>
      <w:r w:rsidR="00DF5981" w:rsidRPr="00437808">
        <w:t>and lower administration costs.</w:t>
      </w:r>
      <w:r w:rsidR="00E83263" w:rsidRPr="00437808">
        <w:t xml:space="preserve"> For more information about Microsoft Virtual Server visit: </w:t>
      </w:r>
      <w:hyperlink r:id="rId19" w:history="1">
        <w:r w:rsidR="00E83263" w:rsidRPr="00437808">
          <w:rPr>
            <w:rStyle w:val="Hyperlink"/>
          </w:rPr>
          <w:t>http://www.microsoft.com/windowsserversystem/virtualserver/</w:t>
        </w:r>
      </w:hyperlink>
      <w:r w:rsidR="00E83263" w:rsidRPr="00437808">
        <w:t xml:space="preserve">  </w:t>
      </w:r>
    </w:p>
    <w:p w:rsidR="00E83263" w:rsidRPr="00437808" w:rsidRDefault="00E83263" w:rsidP="00E83263">
      <w:pPr>
        <w:rPr>
          <w:rFonts w:ascii="Calibri" w:eastAsiaTheme="minorHAnsi" w:hAnsi="Calibri"/>
        </w:rPr>
      </w:pPr>
      <w:r w:rsidRPr="00437808">
        <w:t>All of the customers interviewed that deployed Forefront Client Security in a new or existing virtual network were able to do so at a lower investment cost than organizations without virtual networks.  On</w:t>
      </w:r>
      <w:r w:rsidR="00140301" w:rsidRPr="00437808">
        <w:t xml:space="preserve">e company was able to avoid </w:t>
      </w:r>
      <w:r w:rsidRPr="00437808">
        <w:t xml:space="preserve">new hardware </w:t>
      </w:r>
      <w:r w:rsidR="00140301" w:rsidRPr="00437808">
        <w:t>investments entirely, because</w:t>
      </w:r>
      <w:r w:rsidRPr="00437808">
        <w:t xml:space="preserve"> its existing virtual environment already had enough capacity to add Forefront Management and Reporting servers. </w:t>
      </w:r>
      <w:r w:rsidRPr="00437808">
        <w:rPr>
          <w:rFonts w:ascii="Calibri" w:eastAsiaTheme="minorHAnsi" w:hAnsi="Calibri"/>
        </w:rPr>
        <w:t>“We implemented the Forefront Client Security management servers in a virtualized network, using our existing systems and technology,”</w:t>
      </w:r>
      <w:r w:rsidR="00140301" w:rsidRPr="00437808">
        <w:rPr>
          <w:rFonts w:ascii="Calibri" w:eastAsiaTheme="minorHAnsi" w:hAnsi="Calibri"/>
        </w:rPr>
        <w:t xml:space="preserve"> said</w:t>
      </w:r>
      <w:r w:rsidRPr="00437808">
        <w:rPr>
          <w:rFonts w:ascii="Calibri" w:eastAsiaTheme="minorHAnsi" w:hAnsi="Calibri"/>
        </w:rPr>
        <w:t xml:space="preserve"> Hessam Toudiee, Systems Engineer/Senior Technology Specialist, Advantage Sales and Marketing.</w:t>
      </w:r>
    </w:p>
    <w:p w:rsidR="00E83263" w:rsidRPr="00437808" w:rsidRDefault="00E83263" w:rsidP="00E83263">
      <w:r w:rsidRPr="00437808">
        <w:rPr>
          <w:rFonts w:ascii="Calibri" w:eastAsiaTheme="minorHAnsi" w:hAnsi="Calibri"/>
        </w:rPr>
        <w:lastRenderedPageBreak/>
        <w:t xml:space="preserve">Overall, the </w:t>
      </w:r>
      <w:r w:rsidR="006970B4" w:rsidRPr="00437808">
        <w:rPr>
          <w:rFonts w:ascii="Calibri" w:eastAsiaTheme="minorHAnsi" w:hAnsi="Calibri"/>
        </w:rPr>
        <w:t xml:space="preserve">cost of deployment for the </w:t>
      </w:r>
      <w:r w:rsidRPr="00437808">
        <w:rPr>
          <w:rFonts w:ascii="Calibri" w:eastAsiaTheme="minorHAnsi" w:hAnsi="Calibri"/>
        </w:rPr>
        <w:t>organizations</w:t>
      </w:r>
      <w:r w:rsidR="009B0C95" w:rsidRPr="00437808">
        <w:rPr>
          <w:rFonts w:ascii="Calibri" w:eastAsiaTheme="minorHAnsi" w:hAnsi="Calibri"/>
        </w:rPr>
        <w:t xml:space="preserve"> with virtualized networks was </w:t>
      </w:r>
      <w:r w:rsidR="006970B4" w:rsidRPr="00437808">
        <w:rPr>
          <w:rFonts w:ascii="Calibri" w:eastAsiaTheme="minorHAnsi" w:hAnsi="Calibri"/>
        </w:rPr>
        <w:t>43</w:t>
      </w:r>
      <w:r w:rsidRPr="00437808">
        <w:rPr>
          <w:rFonts w:ascii="Calibri" w:eastAsiaTheme="minorHAnsi" w:hAnsi="Calibri"/>
        </w:rPr>
        <w:t xml:space="preserve">% </w:t>
      </w:r>
      <w:r w:rsidR="006970B4" w:rsidRPr="00437808">
        <w:rPr>
          <w:rFonts w:ascii="Calibri" w:eastAsiaTheme="minorHAnsi" w:hAnsi="Calibri"/>
        </w:rPr>
        <w:t>lower than average</w:t>
      </w:r>
      <w:r w:rsidR="00251662" w:rsidRPr="00437808">
        <w:rPr>
          <w:rFonts w:ascii="Calibri" w:eastAsiaTheme="minorHAnsi" w:hAnsi="Calibri"/>
        </w:rPr>
        <w:t xml:space="preserve"> when compared to the four other organizations with non-virtualized networks. </w:t>
      </w:r>
      <w:r w:rsidR="007B20C0" w:rsidRPr="00437808">
        <w:rPr>
          <w:rFonts w:ascii="Calibri" w:eastAsiaTheme="minorHAnsi" w:hAnsi="Calibri"/>
        </w:rPr>
        <w:t>The organizations that leverage virtualization</w:t>
      </w:r>
      <w:r w:rsidR="006970B4" w:rsidRPr="00437808">
        <w:rPr>
          <w:rFonts w:ascii="Calibri" w:eastAsiaTheme="minorHAnsi" w:hAnsi="Calibri"/>
        </w:rPr>
        <w:t xml:space="preserve"> </w:t>
      </w:r>
      <w:r w:rsidR="00251662" w:rsidRPr="00437808">
        <w:rPr>
          <w:rFonts w:ascii="Calibri" w:eastAsiaTheme="minorHAnsi" w:hAnsi="Calibri"/>
        </w:rPr>
        <w:t xml:space="preserve">also </w:t>
      </w:r>
      <w:r w:rsidR="006970B4" w:rsidRPr="00437808">
        <w:rPr>
          <w:rFonts w:ascii="Calibri" w:eastAsiaTheme="minorHAnsi" w:hAnsi="Calibri"/>
        </w:rPr>
        <w:t xml:space="preserve">expect to realize additional annual benefits by reducing </w:t>
      </w:r>
      <w:r w:rsidRPr="00437808">
        <w:rPr>
          <w:rFonts w:ascii="Calibri" w:eastAsiaTheme="minorHAnsi" w:hAnsi="Calibri"/>
        </w:rPr>
        <w:t>administration costs</w:t>
      </w:r>
      <w:r w:rsidR="00251662" w:rsidRPr="00437808">
        <w:rPr>
          <w:rFonts w:ascii="Calibri" w:eastAsiaTheme="minorHAnsi" w:hAnsi="Calibri"/>
        </w:rPr>
        <w:t>.</w:t>
      </w:r>
    </w:p>
    <w:p w:rsidR="00960531" w:rsidRPr="00437808" w:rsidRDefault="00960531" w:rsidP="00960531">
      <w:pPr>
        <w:pStyle w:val="Heading1"/>
      </w:pPr>
      <w:bookmarkStart w:id="35" w:name="_Toc199040408"/>
      <w:bookmarkStart w:id="36" w:name="_Toc199040617"/>
      <w:bookmarkStart w:id="37" w:name="_Toc200164811"/>
      <w:r w:rsidRPr="00437808">
        <w:lastRenderedPageBreak/>
        <w:t>Conclusion</w:t>
      </w:r>
      <w:bookmarkEnd w:id="35"/>
      <w:bookmarkEnd w:id="36"/>
      <w:bookmarkEnd w:id="37"/>
    </w:p>
    <w:p w:rsidR="007310B7" w:rsidRPr="00437808" w:rsidRDefault="004C39A5" w:rsidP="007310B7">
      <w:r w:rsidRPr="00437808">
        <w:t>Microsoft Forefront Client Security</w:t>
      </w:r>
      <w:r w:rsidR="005470B2" w:rsidRPr="00437808">
        <w:t xml:space="preserve"> is a critical component to a comprehensive security architecture (</w:t>
      </w:r>
      <w:r w:rsidRPr="00437808">
        <w:t>which incl</w:t>
      </w:r>
      <w:r w:rsidR="005470B2" w:rsidRPr="00437808">
        <w:t xml:space="preserve">udes </w:t>
      </w:r>
      <w:r w:rsidR="00C64AEF" w:rsidRPr="00437808">
        <w:t xml:space="preserve">other Forefront solutions that cover </w:t>
      </w:r>
      <w:r w:rsidR="005470B2" w:rsidRPr="00437808">
        <w:t xml:space="preserve">policy management, </w:t>
      </w:r>
      <w:r w:rsidRPr="00437808">
        <w:t>network security, Internet security protect</w:t>
      </w:r>
      <w:r w:rsidR="005470B2" w:rsidRPr="00437808">
        <w:t>ion and more</w:t>
      </w:r>
      <w:r w:rsidR="00C64AEF" w:rsidRPr="00437808">
        <w:t>). By providing</w:t>
      </w:r>
      <w:r w:rsidR="009C7EAE" w:rsidRPr="00437808">
        <w:t xml:space="preserve"> top-line defense against malware and spyware</w:t>
      </w:r>
      <w:r w:rsidR="00C64AEF" w:rsidRPr="00437808">
        <w:t>, Forefront Client Security reduces breach incidents</w:t>
      </w:r>
      <w:r w:rsidR="007310B7" w:rsidRPr="00437808">
        <w:t xml:space="preserve"> outright</w:t>
      </w:r>
      <w:r w:rsidR="00C64AEF" w:rsidRPr="00437808">
        <w:t xml:space="preserve">. The software offers advanced, unrivaled </w:t>
      </w:r>
      <w:r w:rsidR="009C7EAE" w:rsidRPr="00437808">
        <w:t>security features and tools</w:t>
      </w:r>
      <w:r w:rsidR="00251662" w:rsidRPr="00437808">
        <w:t>,</w:t>
      </w:r>
      <w:r w:rsidR="009C7EAE" w:rsidRPr="00437808">
        <w:t xml:space="preserve"> such as </w:t>
      </w:r>
      <w:r w:rsidR="00C64AEF" w:rsidRPr="00437808">
        <w:t xml:space="preserve">comprehensive reporting, </w:t>
      </w:r>
      <w:r w:rsidR="009E390C" w:rsidRPr="00437808">
        <w:t xml:space="preserve">instant </w:t>
      </w:r>
      <w:r w:rsidR="00C64AEF" w:rsidRPr="00437808">
        <w:t>issue notification</w:t>
      </w:r>
      <w:r w:rsidR="009E390C" w:rsidRPr="00437808">
        <w:t xml:space="preserve">, </w:t>
      </w:r>
      <w:r w:rsidR="00C64AEF" w:rsidRPr="00437808">
        <w:t xml:space="preserve">and </w:t>
      </w:r>
      <w:r w:rsidR="007310B7" w:rsidRPr="00437808">
        <w:t>other security-enhancing updates that are built into the system.</w:t>
      </w:r>
    </w:p>
    <w:p w:rsidR="006E0004" w:rsidRPr="00437808" w:rsidRDefault="007310B7" w:rsidP="006E0004">
      <w:r w:rsidRPr="00437808">
        <w:t xml:space="preserve">While Forefront Client Security may require additional server hardware and software, </w:t>
      </w:r>
      <w:r w:rsidR="006E0004" w:rsidRPr="00437808">
        <w:t>those</w:t>
      </w:r>
      <w:r w:rsidRPr="00437808">
        <w:t xml:space="preserve"> costs are more than offset by measurable cost reductions reported by survey participants. </w:t>
      </w:r>
      <w:r w:rsidR="006E0004" w:rsidRPr="00437808">
        <w:t>Again, participants realized $24</w:t>
      </w:r>
      <w:r w:rsidR="00CF2008" w:rsidRPr="00437808">
        <w:t>.00</w:t>
      </w:r>
      <w:r w:rsidR="006E0004" w:rsidRPr="00437808">
        <w:t xml:space="preserve"> in annual benefits from issue reduction, and a possible additional $7.50 in IT cost reductions, while averaging just </w:t>
      </w:r>
      <w:r w:rsidR="008C3717" w:rsidRPr="00437808">
        <w:t>$16.50</w:t>
      </w:r>
      <w:r w:rsidR="006E0004" w:rsidRPr="00437808">
        <w:t xml:space="preserve"> for deployment per desktop. All but one company estimated a payback period of less than one year, with most between </w:t>
      </w:r>
      <w:r w:rsidR="00482C34" w:rsidRPr="00437808">
        <w:t xml:space="preserve">two </w:t>
      </w:r>
      <w:r w:rsidR="006E0004" w:rsidRPr="00437808">
        <w:t xml:space="preserve">and </w:t>
      </w:r>
      <w:r w:rsidR="00482C34" w:rsidRPr="00437808">
        <w:t>seven</w:t>
      </w:r>
      <w:r w:rsidR="006E0004" w:rsidRPr="00437808">
        <w:t xml:space="preserve"> months.</w:t>
      </w:r>
    </w:p>
    <w:p w:rsidR="00FD5A6A" w:rsidRPr="00437808" w:rsidRDefault="006E0004" w:rsidP="00681D9F">
      <w:r w:rsidRPr="00437808">
        <w:t xml:space="preserve">Overall, the solution helps enterprises meet pressing security challenges by eliminating debilitating </w:t>
      </w:r>
      <w:r w:rsidR="009E3978" w:rsidRPr="00437808">
        <w:t xml:space="preserve">issues, </w:t>
      </w:r>
      <w:r w:rsidRPr="00437808">
        <w:t>reducing vulnerabilities</w:t>
      </w:r>
      <w:r w:rsidR="009E3978" w:rsidRPr="00437808">
        <w:t>,</w:t>
      </w:r>
      <w:r w:rsidRPr="00437808">
        <w:t xml:space="preserve"> and lowering total cost of ownership.</w:t>
      </w:r>
    </w:p>
    <w:p w:rsidR="009F2CCC" w:rsidRPr="00437808" w:rsidRDefault="00F022C0" w:rsidP="005003BD">
      <w:pPr>
        <w:pStyle w:val="Heading1"/>
      </w:pPr>
      <w:bookmarkStart w:id="38" w:name="_Toc199040409"/>
      <w:bookmarkStart w:id="39" w:name="_Toc199040618"/>
      <w:bookmarkStart w:id="40" w:name="_Toc200164812"/>
      <w:r w:rsidRPr="00437808">
        <w:lastRenderedPageBreak/>
        <w:t>Appendix</w:t>
      </w:r>
      <w:bookmarkEnd w:id="38"/>
      <w:bookmarkEnd w:id="39"/>
      <w:r w:rsidR="005003BD" w:rsidRPr="00437808">
        <w:t xml:space="preserve"> A: </w:t>
      </w:r>
      <w:bookmarkStart w:id="41" w:name="_Toc199040410"/>
      <w:bookmarkStart w:id="42" w:name="_Toc199040619"/>
      <w:r w:rsidR="00625E09" w:rsidRPr="00437808">
        <w:t>Study Details and Methodology</w:t>
      </w:r>
      <w:bookmarkEnd w:id="40"/>
      <w:bookmarkEnd w:id="41"/>
      <w:bookmarkEnd w:id="42"/>
    </w:p>
    <w:p w:rsidR="009F2CCC" w:rsidRPr="00437808" w:rsidRDefault="009F2CCC" w:rsidP="009F2CCC">
      <w:r w:rsidRPr="00437808">
        <w:t>Value Prism Consulting, a management consulting and financial analysis firm, interviewed eight early adopters of Microsoft Forefront Client Security (participants of Microsoft’s Technology Adoption Program)</w:t>
      </w:r>
      <w:r w:rsidR="008B7859" w:rsidRPr="00437808">
        <w:t xml:space="preserve"> in March and April of 2008</w:t>
      </w:r>
      <w:r w:rsidRPr="00437808">
        <w:t xml:space="preserve">.  Four are based in the United States, two in Australia, one in Europe, and one in Singapore.  </w:t>
      </w:r>
      <w:r w:rsidR="001B6718" w:rsidRPr="00437808">
        <w:t xml:space="preserve">Participants </w:t>
      </w:r>
      <w:r w:rsidRPr="00437808">
        <w:t>had switched to Forefront Client Security from Symantec, McAfee, or Computer Associates client security solutions.</w:t>
      </w:r>
    </w:p>
    <w:p w:rsidR="009F2CCC" w:rsidRPr="00437808" w:rsidRDefault="009F2CCC" w:rsidP="009F2CCC">
      <w:r w:rsidRPr="00437808">
        <w:t xml:space="preserve">Participants were a mix of midmarket and enterprise sizes, with an average company size of about </w:t>
      </w:r>
      <w:r w:rsidR="008C3717" w:rsidRPr="00437808">
        <w:t>6,600</w:t>
      </w:r>
      <w:r w:rsidRPr="00437808">
        <w:t xml:space="preserve"> employees (median about </w:t>
      </w:r>
      <w:r w:rsidR="008C3717" w:rsidRPr="00437808">
        <w:t>3,600</w:t>
      </w:r>
      <w:r w:rsidRPr="00437808">
        <w:t>).  All companies use Active Directory and</w:t>
      </w:r>
      <w:r w:rsidR="00251662" w:rsidRPr="00437808">
        <w:t xml:space="preserve"> Microsoft</w:t>
      </w:r>
      <w:r w:rsidRPr="00437808">
        <w:t xml:space="preserve"> Internet Explorer</w:t>
      </w:r>
      <w:r w:rsidR="00251662" w:rsidRPr="00437808">
        <w:t>®</w:t>
      </w:r>
      <w:r w:rsidRPr="00437808">
        <w:t xml:space="preserve"> version 6 or 7, and used policy-based deployment and/or configuration of Forefront Client Security.  Half the companies use Windows Firewall and half use Microsoft Operations Manager.</w:t>
      </w:r>
    </w:p>
    <w:p w:rsidR="009F2CCC" w:rsidRPr="00437808" w:rsidRDefault="009F2CCC" w:rsidP="009F2CCC">
      <w:r w:rsidRPr="00437808">
        <w:t>Most companies purchased at least some additional software and hardware to deploy Forefront Client Security and the server management software, though one company deployed all server software on existing servers.</w:t>
      </w:r>
    </w:p>
    <w:p w:rsidR="009F2CCC" w:rsidRPr="00437808" w:rsidRDefault="009F2CCC" w:rsidP="009F2CCC">
      <w:r w:rsidRPr="00437808">
        <w:t>Three companies interviewed deployed Forefront Client Security Manager, along with the SQL Server database, Microsoft Operations Manager and WSUS server software in a virtualized network environment.  One additional company deployed just WSUS in a virtualized environment.</w:t>
      </w:r>
    </w:p>
    <w:p w:rsidR="00681D9F" w:rsidRPr="00437808" w:rsidRDefault="00681D9F" w:rsidP="009F2CCC">
      <w:r w:rsidRPr="00437808">
        <w:t xml:space="preserve">Some companies actually saw a net drop in annual client security software costs, as the license cost of Forefront Client Security was </w:t>
      </w:r>
      <w:r w:rsidR="00251662" w:rsidRPr="00437808">
        <w:t xml:space="preserve">lower priced </w:t>
      </w:r>
      <w:r w:rsidRPr="00437808">
        <w:t>than the previous solution.  For these customers, a purchase price of $0 was substituted (instead of the negative cost).  Otherwise the customer’s Forefront Client Security licensed price was used.</w:t>
      </w:r>
    </w:p>
    <w:p w:rsidR="00681D9F" w:rsidRPr="00437808" w:rsidRDefault="00681D9F" w:rsidP="009F2CCC">
      <w:r w:rsidRPr="00437808">
        <w:t xml:space="preserve">For servers and software, baseline costs were used to standardize hardware and server software costs.  </w:t>
      </w:r>
      <w:r w:rsidR="008C3717" w:rsidRPr="00437808">
        <w:t>A cost of $5,000 wa</w:t>
      </w:r>
      <w:r w:rsidR="00077289">
        <w:t>s used for all purchased server equipment</w:t>
      </w:r>
      <w:r w:rsidR="008C3717" w:rsidRPr="00437808">
        <w:t xml:space="preserve">, Windows Server: $5,000, SQL Server: </w:t>
      </w:r>
      <w:r w:rsidR="00077289">
        <w:t xml:space="preserve">either </w:t>
      </w:r>
      <w:r w:rsidR="008C3717" w:rsidRPr="00437808">
        <w:t>$15,000 (per processor)</w:t>
      </w:r>
      <w:r w:rsidR="00077289">
        <w:t xml:space="preserve"> or $2,500 if purchased with Forefront</w:t>
      </w:r>
      <w:r w:rsidR="008C3717" w:rsidRPr="00437808">
        <w:t xml:space="preserve">, </w:t>
      </w:r>
      <w:r w:rsidR="00077289">
        <w:t xml:space="preserve">either </w:t>
      </w:r>
      <w:r w:rsidR="008C3717" w:rsidRPr="00437808">
        <w:t>MOM: $2,500</w:t>
      </w:r>
      <w:r w:rsidR="00077289">
        <w:t xml:space="preserve"> if purchased separately or $0 if acquired as part of the Forefront Client Security Management Console</w:t>
      </w:r>
      <w:r w:rsidR="008C3717" w:rsidRPr="00437808">
        <w:t xml:space="preserve">, and Forefront </w:t>
      </w:r>
      <w:r w:rsidR="00077289">
        <w:t>Client Security Management Console</w:t>
      </w:r>
      <w:r w:rsidR="008C3717" w:rsidRPr="00437808">
        <w:t xml:space="preserve"> $2,500 (if the company didn’t have SQL and MOM already).</w:t>
      </w:r>
    </w:p>
    <w:p w:rsidR="008B7859" w:rsidRPr="00437808" w:rsidRDefault="00681D9F" w:rsidP="009F2CCC">
      <w:r w:rsidRPr="00437808">
        <w:t xml:space="preserve">A standard $35 per hour was used for all IT productivity calculations, except for two exceptions where a lower </w:t>
      </w:r>
      <w:r w:rsidR="008B7859" w:rsidRPr="00437808">
        <w:t xml:space="preserve">hourly wage of $25 </w:t>
      </w:r>
      <w:r w:rsidRPr="00437808">
        <w:t>was used</w:t>
      </w:r>
      <w:r w:rsidR="007E2E07" w:rsidRPr="00437808">
        <w:t xml:space="preserve"> based on feedback</w:t>
      </w:r>
      <w:r w:rsidR="000E4B52" w:rsidRPr="00437808">
        <w:t xml:space="preserve"> from those organizations</w:t>
      </w:r>
      <w:r w:rsidRPr="00437808">
        <w:t>.</w:t>
      </w:r>
    </w:p>
    <w:p w:rsidR="009F2CCC" w:rsidRPr="00437808" w:rsidRDefault="00C75C9B" w:rsidP="005003BD">
      <w:pPr>
        <w:pStyle w:val="Heading1"/>
      </w:pPr>
      <w:bookmarkStart w:id="43" w:name="_Toc199040411"/>
      <w:bookmarkStart w:id="44" w:name="_Toc199040620"/>
      <w:bookmarkStart w:id="45" w:name="_Toc200164813"/>
      <w:r>
        <w:lastRenderedPageBreak/>
        <w:t>Appendix B</w:t>
      </w:r>
      <w:r w:rsidR="005003BD" w:rsidRPr="00437808">
        <w:t xml:space="preserve">: Study </w:t>
      </w:r>
      <w:r w:rsidR="009F2CCC" w:rsidRPr="00437808">
        <w:t>Participants</w:t>
      </w:r>
      <w:bookmarkEnd w:id="43"/>
      <w:bookmarkEnd w:id="44"/>
      <w:bookmarkEnd w:id="45"/>
    </w:p>
    <w:tbl>
      <w:tblPr>
        <w:tblStyle w:val="TableforText"/>
        <w:tblW w:w="0" w:type="auto"/>
        <w:tblLook w:val="04A0"/>
      </w:tblPr>
      <w:tblGrid>
        <w:gridCol w:w="2448"/>
        <w:gridCol w:w="6660"/>
      </w:tblGrid>
      <w:tr w:rsidR="00951B68" w:rsidRPr="00437808" w:rsidTr="00951B68">
        <w:trPr>
          <w:cnfStyle w:val="100000000000"/>
          <w:trHeight w:val="106"/>
        </w:trPr>
        <w:tc>
          <w:tcPr>
            <w:cnfStyle w:val="001000000000"/>
            <w:tcW w:w="2448" w:type="dxa"/>
          </w:tcPr>
          <w:p w:rsidR="00951B68" w:rsidRPr="00437808" w:rsidRDefault="00951B68" w:rsidP="00651F9C">
            <w:pPr>
              <w:spacing w:after="0" w:line="276" w:lineRule="auto"/>
            </w:pPr>
            <w:r w:rsidRPr="00437808">
              <w:t>Customer</w:t>
            </w:r>
          </w:p>
        </w:tc>
        <w:tc>
          <w:tcPr>
            <w:tcW w:w="6660" w:type="dxa"/>
          </w:tcPr>
          <w:p w:rsidR="00951B68" w:rsidRPr="00437808" w:rsidRDefault="00951B68" w:rsidP="00651F9C">
            <w:pPr>
              <w:spacing w:after="0" w:line="276" w:lineRule="auto"/>
              <w:cnfStyle w:val="100000000000"/>
            </w:pPr>
            <w:r w:rsidRPr="00437808">
              <w:t>Detail</w:t>
            </w:r>
          </w:p>
        </w:tc>
      </w:tr>
      <w:tr w:rsidR="00951B68" w:rsidRPr="00437808" w:rsidTr="00951B68">
        <w:trPr>
          <w:cnfStyle w:val="000000100000"/>
          <w:trHeight w:val="729"/>
        </w:trPr>
        <w:tc>
          <w:tcPr>
            <w:cnfStyle w:val="001000000000"/>
            <w:tcW w:w="2448" w:type="dxa"/>
          </w:tcPr>
          <w:p w:rsidR="00951B68" w:rsidRPr="00437808" w:rsidRDefault="00951B68" w:rsidP="00651F9C">
            <w:pPr>
              <w:spacing w:after="0" w:line="276" w:lineRule="auto"/>
            </w:pPr>
            <w:r w:rsidRPr="00437808">
              <w:t>Allina</w:t>
            </w:r>
          </w:p>
          <w:p w:rsidR="00951B68" w:rsidRPr="00437808" w:rsidRDefault="00951B68" w:rsidP="00951B68">
            <w:pPr>
              <w:spacing w:after="0" w:line="276" w:lineRule="auto"/>
              <w:ind w:left="720"/>
              <w:rPr>
                <w:b w:val="0"/>
              </w:rPr>
            </w:pPr>
            <w:r w:rsidRPr="00437808">
              <w:rPr>
                <w:b w:val="0"/>
              </w:rPr>
              <w:t>Healthcare</w:t>
            </w:r>
          </w:p>
          <w:p w:rsidR="00951B68" w:rsidRPr="00437808" w:rsidRDefault="00951B68" w:rsidP="00951B68">
            <w:pPr>
              <w:spacing w:after="0" w:line="276" w:lineRule="auto"/>
              <w:ind w:left="720"/>
              <w:rPr>
                <w:b w:val="0"/>
              </w:rPr>
            </w:pPr>
            <w:r w:rsidRPr="00437808">
              <w:rPr>
                <w:b w:val="0"/>
              </w:rPr>
              <w:t>United States</w:t>
            </w:r>
          </w:p>
        </w:tc>
        <w:tc>
          <w:tcPr>
            <w:tcW w:w="6660" w:type="dxa"/>
          </w:tcPr>
          <w:p w:rsidR="00951B68" w:rsidRPr="00437808" w:rsidRDefault="00951B68" w:rsidP="00651F9C">
            <w:pPr>
              <w:spacing w:after="0" w:line="276" w:lineRule="auto"/>
              <w:cnfStyle w:val="000000100000"/>
            </w:pPr>
            <w:r w:rsidRPr="00437808">
              <w:t xml:space="preserve">Allina Hospitals &amp; Clinics, headquartered in Minneapolis, Minnesota, is a system of hospitals, clinics, and other healthcare services in Minnesota and Wisconsin. The organization has more than 23,000 employees, who work in 11 hospitals, 75 health clinics, and a range of other healthcare facilities.  </w:t>
            </w:r>
          </w:p>
        </w:tc>
      </w:tr>
      <w:tr w:rsidR="00951B68" w:rsidRPr="00437808" w:rsidTr="00951B68">
        <w:trPr>
          <w:cnfStyle w:val="000000010000"/>
          <w:trHeight w:val="729"/>
        </w:trPr>
        <w:tc>
          <w:tcPr>
            <w:cnfStyle w:val="001000000000"/>
            <w:tcW w:w="2448" w:type="dxa"/>
          </w:tcPr>
          <w:p w:rsidR="00951B68" w:rsidRPr="00437808" w:rsidRDefault="00951B68" w:rsidP="00651F9C">
            <w:pPr>
              <w:spacing w:after="0" w:line="276" w:lineRule="auto"/>
            </w:pPr>
            <w:r w:rsidRPr="00437808">
              <w:t>Analog Devices</w:t>
            </w:r>
          </w:p>
          <w:p w:rsidR="00951B68" w:rsidRPr="00437808" w:rsidRDefault="00951B68" w:rsidP="00951B68">
            <w:pPr>
              <w:spacing w:after="0" w:line="276" w:lineRule="auto"/>
              <w:ind w:left="720"/>
              <w:rPr>
                <w:b w:val="0"/>
              </w:rPr>
            </w:pPr>
            <w:r w:rsidRPr="00437808">
              <w:rPr>
                <w:b w:val="0"/>
              </w:rPr>
              <w:t>Manufacturing</w:t>
            </w:r>
          </w:p>
          <w:p w:rsidR="00951B68" w:rsidRPr="00437808" w:rsidRDefault="00951B68" w:rsidP="00951B68">
            <w:pPr>
              <w:spacing w:after="0" w:line="276" w:lineRule="auto"/>
              <w:ind w:left="720"/>
              <w:rPr>
                <w:b w:val="0"/>
              </w:rPr>
            </w:pPr>
            <w:r w:rsidRPr="00437808">
              <w:rPr>
                <w:b w:val="0"/>
              </w:rPr>
              <w:t>United States</w:t>
            </w:r>
          </w:p>
        </w:tc>
        <w:tc>
          <w:tcPr>
            <w:tcW w:w="6660" w:type="dxa"/>
          </w:tcPr>
          <w:p w:rsidR="00951B68" w:rsidRPr="00437808" w:rsidRDefault="00951B68" w:rsidP="00951B68">
            <w:pPr>
              <w:spacing w:after="0" w:line="276" w:lineRule="auto"/>
              <w:cnfStyle w:val="000000010000"/>
            </w:pPr>
            <w:r w:rsidRPr="00437808">
              <w:t>Analog Devices designs, manufactures, and markets more than 10,000 different high-performance analog, mixed-signal, and digital-signal processing integrated circuits, which are used in products such as cell phones, LCD televisions, and digital cameras.</w:t>
            </w:r>
          </w:p>
        </w:tc>
      </w:tr>
      <w:tr w:rsidR="00951B68" w:rsidRPr="00437808" w:rsidTr="00951B68">
        <w:trPr>
          <w:cnfStyle w:val="000000100000"/>
          <w:trHeight w:val="729"/>
        </w:trPr>
        <w:tc>
          <w:tcPr>
            <w:cnfStyle w:val="001000000000"/>
            <w:tcW w:w="2448" w:type="dxa"/>
          </w:tcPr>
          <w:p w:rsidR="00951B68" w:rsidRPr="00437808" w:rsidRDefault="00951B68" w:rsidP="00651F9C">
            <w:pPr>
              <w:spacing w:after="0" w:line="276" w:lineRule="auto"/>
            </w:pPr>
            <w:r w:rsidRPr="00437808">
              <w:t>Advantage Sales &amp; Marketing</w:t>
            </w:r>
          </w:p>
          <w:p w:rsidR="00951B68" w:rsidRPr="00437808" w:rsidRDefault="00951B68" w:rsidP="00951B68">
            <w:pPr>
              <w:spacing w:after="0" w:line="276" w:lineRule="auto"/>
              <w:ind w:left="720"/>
              <w:rPr>
                <w:b w:val="0"/>
              </w:rPr>
            </w:pPr>
            <w:r w:rsidRPr="00437808">
              <w:rPr>
                <w:b w:val="0"/>
              </w:rPr>
              <w:t>Services</w:t>
            </w:r>
          </w:p>
          <w:p w:rsidR="00951B68" w:rsidRPr="00437808" w:rsidRDefault="00951B68" w:rsidP="00951B68">
            <w:pPr>
              <w:spacing w:after="0" w:line="276" w:lineRule="auto"/>
              <w:ind w:left="720"/>
              <w:rPr>
                <w:b w:val="0"/>
              </w:rPr>
            </w:pPr>
            <w:r w:rsidRPr="00437808">
              <w:rPr>
                <w:b w:val="0"/>
              </w:rPr>
              <w:t>United States</w:t>
            </w:r>
          </w:p>
        </w:tc>
        <w:tc>
          <w:tcPr>
            <w:tcW w:w="6660" w:type="dxa"/>
          </w:tcPr>
          <w:p w:rsidR="00951B68" w:rsidRPr="00437808" w:rsidRDefault="00E93ECC" w:rsidP="00651F9C">
            <w:pPr>
              <w:spacing w:after="0" w:line="276" w:lineRule="auto"/>
              <w:cnfStyle w:val="000000100000"/>
            </w:pPr>
            <w:r w:rsidRPr="00437808">
              <w:t>Advantage Sales and Marketing, LLC, based in Irvine, California, is one of the leading sales and marketing agencies specializing in outsourced sales, merchandising, category management, and marketing.</w:t>
            </w:r>
          </w:p>
        </w:tc>
      </w:tr>
      <w:tr w:rsidR="00951B68" w:rsidRPr="00437808" w:rsidTr="00951B68">
        <w:trPr>
          <w:cnfStyle w:val="000000010000"/>
          <w:trHeight w:val="729"/>
        </w:trPr>
        <w:tc>
          <w:tcPr>
            <w:cnfStyle w:val="001000000000"/>
            <w:tcW w:w="2448" w:type="dxa"/>
          </w:tcPr>
          <w:p w:rsidR="00951B68" w:rsidRPr="00437808" w:rsidRDefault="00951B68" w:rsidP="00651F9C">
            <w:pPr>
              <w:spacing w:after="0" w:line="276" w:lineRule="auto"/>
            </w:pPr>
            <w:r w:rsidRPr="00437808">
              <w:t>CSR Limited</w:t>
            </w:r>
          </w:p>
          <w:p w:rsidR="00951B68" w:rsidRPr="00437808" w:rsidRDefault="00951B68" w:rsidP="00951B68">
            <w:pPr>
              <w:spacing w:after="0" w:line="276" w:lineRule="auto"/>
              <w:ind w:left="720"/>
              <w:rPr>
                <w:b w:val="0"/>
              </w:rPr>
            </w:pPr>
            <w:r w:rsidRPr="00437808">
              <w:rPr>
                <w:b w:val="0"/>
              </w:rPr>
              <w:t>Manufacturing</w:t>
            </w:r>
          </w:p>
          <w:p w:rsidR="00951B68" w:rsidRPr="00437808" w:rsidRDefault="00951B68" w:rsidP="00951B68">
            <w:pPr>
              <w:spacing w:after="0" w:line="276" w:lineRule="auto"/>
              <w:ind w:left="720"/>
              <w:rPr>
                <w:b w:val="0"/>
              </w:rPr>
            </w:pPr>
            <w:r w:rsidRPr="00437808">
              <w:rPr>
                <w:b w:val="0"/>
              </w:rPr>
              <w:t>Australia</w:t>
            </w:r>
          </w:p>
        </w:tc>
        <w:tc>
          <w:tcPr>
            <w:tcW w:w="6660" w:type="dxa"/>
          </w:tcPr>
          <w:p w:rsidR="00951B68" w:rsidRPr="00437808" w:rsidRDefault="00E93ECC" w:rsidP="00E93ECC">
            <w:pPr>
              <w:spacing w:after="0" w:line="276" w:lineRule="auto"/>
              <w:cnfStyle w:val="000000010000"/>
            </w:pPr>
            <w:r w:rsidRPr="00437808">
              <w:t>CSR Limited is a major Australian industrial company, producing aluminum, sugar products (notably including pure ethanol), and construction products.</w:t>
            </w:r>
            <w:r w:rsidR="00251662" w:rsidRPr="00437808">
              <w:t xml:space="preserve"> </w:t>
            </w:r>
            <w:r w:rsidRPr="00437808">
              <w:t xml:space="preserve"> It has approximately 4,500 employees.</w:t>
            </w:r>
          </w:p>
        </w:tc>
      </w:tr>
      <w:tr w:rsidR="00951B68" w:rsidRPr="00437808" w:rsidTr="00E93ECC">
        <w:trPr>
          <w:cnfStyle w:val="000000100000"/>
          <w:trHeight w:val="1546"/>
        </w:trPr>
        <w:tc>
          <w:tcPr>
            <w:cnfStyle w:val="001000000000"/>
            <w:tcW w:w="2448" w:type="dxa"/>
          </w:tcPr>
          <w:p w:rsidR="00951B68" w:rsidRPr="00437808" w:rsidRDefault="00951B68" w:rsidP="00651F9C">
            <w:pPr>
              <w:spacing w:after="0" w:line="276" w:lineRule="auto"/>
            </w:pPr>
            <w:r w:rsidRPr="00437808">
              <w:t>Des Moines School District</w:t>
            </w:r>
          </w:p>
          <w:p w:rsidR="00951B68" w:rsidRPr="00437808" w:rsidRDefault="00951B68" w:rsidP="00951B68">
            <w:pPr>
              <w:spacing w:after="0" w:line="276" w:lineRule="auto"/>
              <w:ind w:left="720"/>
              <w:rPr>
                <w:b w:val="0"/>
              </w:rPr>
            </w:pPr>
            <w:r w:rsidRPr="00437808">
              <w:rPr>
                <w:b w:val="0"/>
              </w:rPr>
              <w:t>Education</w:t>
            </w:r>
          </w:p>
          <w:p w:rsidR="00951B68" w:rsidRPr="00437808" w:rsidRDefault="00951B68" w:rsidP="00951B68">
            <w:pPr>
              <w:spacing w:after="0" w:line="276" w:lineRule="auto"/>
              <w:ind w:left="720"/>
              <w:rPr>
                <w:b w:val="0"/>
              </w:rPr>
            </w:pPr>
            <w:r w:rsidRPr="00437808">
              <w:rPr>
                <w:b w:val="0"/>
              </w:rPr>
              <w:t>United States</w:t>
            </w:r>
          </w:p>
        </w:tc>
        <w:tc>
          <w:tcPr>
            <w:tcW w:w="6660" w:type="dxa"/>
          </w:tcPr>
          <w:p w:rsidR="00951B68" w:rsidRPr="00437808" w:rsidRDefault="00951B68" w:rsidP="00E93ECC">
            <w:pPr>
              <w:spacing w:after="0" w:line="276" w:lineRule="auto"/>
              <w:cnfStyle w:val="000000100000"/>
            </w:pPr>
            <w:r w:rsidRPr="00437808">
              <w:t>Located in central Iowa, Des Moines Public Schools serves 32,000 students from elementary through high school and has more than 5,000 employees. The school district enhances its curriculum by providing access to computing resources and the Internet, both from home computers and onsite at more than 60 locations.</w:t>
            </w:r>
          </w:p>
        </w:tc>
      </w:tr>
      <w:tr w:rsidR="00951B68" w:rsidRPr="00437808" w:rsidTr="00951B68">
        <w:trPr>
          <w:cnfStyle w:val="000000010000"/>
          <w:trHeight w:val="729"/>
        </w:trPr>
        <w:tc>
          <w:tcPr>
            <w:cnfStyle w:val="001000000000"/>
            <w:tcW w:w="2448" w:type="dxa"/>
          </w:tcPr>
          <w:p w:rsidR="00951B68" w:rsidRPr="00437808" w:rsidRDefault="00951B68" w:rsidP="00651F9C">
            <w:pPr>
              <w:spacing w:after="0" w:line="276" w:lineRule="auto"/>
            </w:pPr>
            <w:r w:rsidRPr="00437808">
              <w:t>Konnex</w:t>
            </w:r>
          </w:p>
          <w:p w:rsidR="00951B68" w:rsidRPr="00437808" w:rsidRDefault="00951B68" w:rsidP="00951B68">
            <w:pPr>
              <w:spacing w:after="0" w:line="276" w:lineRule="auto"/>
              <w:ind w:left="720"/>
              <w:rPr>
                <w:b w:val="0"/>
              </w:rPr>
            </w:pPr>
            <w:r w:rsidRPr="00437808">
              <w:rPr>
                <w:b w:val="0"/>
              </w:rPr>
              <w:t>IT Services</w:t>
            </w:r>
          </w:p>
          <w:p w:rsidR="00951B68" w:rsidRPr="00437808" w:rsidRDefault="00951B68" w:rsidP="00951B68">
            <w:pPr>
              <w:spacing w:after="0" w:line="276" w:lineRule="auto"/>
              <w:ind w:left="720"/>
              <w:rPr>
                <w:b w:val="0"/>
              </w:rPr>
            </w:pPr>
            <w:r w:rsidRPr="00437808">
              <w:rPr>
                <w:b w:val="0"/>
              </w:rPr>
              <w:t>Austria</w:t>
            </w:r>
          </w:p>
        </w:tc>
        <w:tc>
          <w:tcPr>
            <w:tcW w:w="6660" w:type="dxa"/>
          </w:tcPr>
          <w:p w:rsidR="00951B68" w:rsidRPr="00437808" w:rsidRDefault="00951B68" w:rsidP="00651F9C">
            <w:pPr>
              <w:spacing w:after="0" w:line="276" w:lineRule="auto"/>
              <w:cnfStyle w:val="000000010000"/>
            </w:pPr>
            <w:r w:rsidRPr="00437808">
              <w:t>Konnex Dienstleistungen is the internal IT services branch of the BBRZ Gruppe, a large Austrian company with 1,800 employees in 40 offices. The BBRZ Gruppe helps integrate people into the work force after they have suffered an accident or severe illness, offers vocational training and continuing education, and provides different forms of employment.</w:t>
            </w:r>
          </w:p>
        </w:tc>
      </w:tr>
      <w:tr w:rsidR="00951B68" w:rsidRPr="00437808" w:rsidTr="00951B68">
        <w:trPr>
          <w:cnfStyle w:val="000000100000"/>
          <w:trHeight w:val="729"/>
        </w:trPr>
        <w:tc>
          <w:tcPr>
            <w:cnfStyle w:val="001000000000"/>
            <w:tcW w:w="2448" w:type="dxa"/>
          </w:tcPr>
          <w:p w:rsidR="00951B68" w:rsidRPr="00437808" w:rsidRDefault="00951B68" w:rsidP="00651F9C">
            <w:pPr>
              <w:spacing w:after="0" w:line="276" w:lineRule="auto"/>
            </w:pPr>
            <w:r w:rsidRPr="00437808">
              <w:t>National Roads and Motorists' Association</w:t>
            </w:r>
          </w:p>
          <w:p w:rsidR="00951B68" w:rsidRPr="00437808" w:rsidRDefault="00951B68" w:rsidP="00951B68">
            <w:pPr>
              <w:spacing w:after="0" w:line="276" w:lineRule="auto"/>
              <w:ind w:left="720"/>
              <w:rPr>
                <w:b w:val="0"/>
              </w:rPr>
            </w:pPr>
            <w:r w:rsidRPr="00437808">
              <w:rPr>
                <w:b w:val="0"/>
              </w:rPr>
              <w:t>Services</w:t>
            </w:r>
          </w:p>
          <w:p w:rsidR="00951B68" w:rsidRPr="00437808" w:rsidRDefault="00951B68" w:rsidP="00951B68">
            <w:pPr>
              <w:spacing w:after="0" w:line="276" w:lineRule="auto"/>
              <w:ind w:left="720"/>
              <w:rPr>
                <w:b w:val="0"/>
              </w:rPr>
            </w:pPr>
            <w:r w:rsidRPr="00437808">
              <w:rPr>
                <w:b w:val="0"/>
              </w:rPr>
              <w:t>Australia</w:t>
            </w:r>
          </w:p>
        </w:tc>
        <w:tc>
          <w:tcPr>
            <w:tcW w:w="6660" w:type="dxa"/>
          </w:tcPr>
          <w:p w:rsidR="00951B68" w:rsidRPr="00437808" w:rsidRDefault="00AA2827" w:rsidP="008D396B">
            <w:pPr>
              <w:spacing w:after="0" w:line="276" w:lineRule="auto"/>
              <w:cnfStyle w:val="000000100000"/>
            </w:pPr>
            <w:r w:rsidRPr="00437808">
              <w:t xml:space="preserve">The NMRA is </w:t>
            </w:r>
            <w:r w:rsidR="008D396B" w:rsidRPr="00437808">
              <w:t xml:space="preserve">known as NRMA Motoring and Services, is a member-owned mutual organization offering roadside assistance, travel advisory, vehicle inspections and other services in New South Wales and The Australian Capital Territory. </w:t>
            </w:r>
            <w:r w:rsidRPr="00437808">
              <w:t>NMRA also has holdings in other travel and recreation businesses.</w:t>
            </w:r>
          </w:p>
        </w:tc>
      </w:tr>
      <w:tr w:rsidR="00951B68" w:rsidTr="00951B68">
        <w:trPr>
          <w:cnfStyle w:val="000000010000"/>
          <w:trHeight w:val="729"/>
        </w:trPr>
        <w:tc>
          <w:tcPr>
            <w:cnfStyle w:val="001000000000"/>
            <w:tcW w:w="2448" w:type="dxa"/>
          </w:tcPr>
          <w:p w:rsidR="00951B68" w:rsidRPr="00437808" w:rsidRDefault="00EF4593" w:rsidP="00651F9C">
            <w:pPr>
              <w:spacing w:after="0" w:line="276" w:lineRule="auto"/>
            </w:pPr>
            <w:r w:rsidRPr="00437808">
              <w:t>PhillipCapital</w:t>
            </w:r>
          </w:p>
          <w:p w:rsidR="00951B68" w:rsidRPr="00437808" w:rsidRDefault="00951B68" w:rsidP="00951B68">
            <w:pPr>
              <w:spacing w:after="0" w:line="276" w:lineRule="auto"/>
              <w:ind w:left="720"/>
              <w:rPr>
                <w:b w:val="0"/>
              </w:rPr>
            </w:pPr>
            <w:r w:rsidRPr="00437808">
              <w:rPr>
                <w:b w:val="0"/>
              </w:rPr>
              <w:t>Financial Services</w:t>
            </w:r>
          </w:p>
          <w:p w:rsidR="00951B68" w:rsidRPr="00437808" w:rsidRDefault="00951B68" w:rsidP="00951B68">
            <w:pPr>
              <w:spacing w:after="0" w:line="276" w:lineRule="auto"/>
              <w:ind w:left="720"/>
              <w:rPr>
                <w:b w:val="0"/>
              </w:rPr>
            </w:pPr>
            <w:r w:rsidRPr="00437808">
              <w:rPr>
                <w:b w:val="0"/>
              </w:rPr>
              <w:t>Singapore</w:t>
            </w:r>
          </w:p>
        </w:tc>
        <w:tc>
          <w:tcPr>
            <w:tcW w:w="6660" w:type="dxa"/>
          </w:tcPr>
          <w:p w:rsidR="00951B68" w:rsidRDefault="00E93ECC" w:rsidP="00E93ECC">
            <w:pPr>
              <w:spacing w:after="0" w:line="276" w:lineRule="auto"/>
              <w:cnfStyle w:val="000000010000"/>
            </w:pPr>
            <w:r w:rsidRPr="00437808">
              <w:t>Established in 1975 as Phillip Securities, PhillipCapital is a group of independent companies with common shareholders located in and outside Singapore. These companies offer a full range of financial services to individual, retail, corporate, and institutional customers. PhillipCapital has more than 2,500 employees in Asia and Europe, operates offices in 10 financial hubs.</w:t>
            </w:r>
          </w:p>
        </w:tc>
      </w:tr>
    </w:tbl>
    <w:p w:rsidR="00FF066F" w:rsidRDefault="00FF066F" w:rsidP="009F2CCC"/>
    <w:p w:rsidR="00C1770A" w:rsidRPr="00C1770A" w:rsidRDefault="00C1770A" w:rsidP="00C1770A">
      <w:pPr>
        <w:rPr>
          <w:sz w:val="20"/>
        </w:rPr>
      </w:pPr>
      <w:r w:rsidRPr="00C1770A">
        <w:rPr>
          <w:sz w:val="20"/>
        </w:rPr>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C1770A" w:rsidRPr="00C1770A" w:rsidRDefault="00C1770A" w:rsidP="00C1770A">
      <w:pPr>
        <w:rPr>
          <w:sz w:val="20"/>
        </w:rPr>
      </w:pPr>
      <w:r w:rsidRPr="00C1770A">
        <w:rPr>
          <w:sz w:val="20"/>
        </w:rPr>
        <w:t>This White Paper is for informational purposes only.  MICROSOFT MAKES NO WARRANTIES, EXPRESS, IMPLIED OR STATUTORY, AS TO THE INFORMATION IN THIS DOCUMENT.</w:t>
      </w:r>
    </w:p>
    <w:p w:rsidR="00C1770A" w:rsidRPr="00C1770A" w:rsidRDefault="00C1770A" w:rsidP="00C1770A">
      <w:pPr>
        <w:rPr>
          <w:sz w:val="20"/>
        </w:rPr>
      </w:pPr>
      <w:r w:rsidRPr="00C1770A">
        <w:rPr>
          <w:sz w:val="20"/>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C1770A" w:rsidRPr="00C1770A" w:rsidRDefault="00C1770A" w:rsidP="00C1770A">
      <w:pPr>
        <w:rPr>
          <w:sz w:val="20"/>
        </w:rPr>
      </w:pPr>
      <w:r w:rsidRPr="00C1770A">
        <w:rPr>
          <w:sz w:val="20"/>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C1770A" w:rsidRPr="00C1770A" w:rsidRDefault="00C1770A" w:rsidP="00C1770A">
      <w:pPr>
        <w:rPr>
          <w:sz w:val="20"/>
        </w:rPr>
      </w:pPr>
      <w:r w:rsidRPr="00C1770A">
        <w:rPr>
          <w:rFonts w:ascii="Symbol" w:hAnsi="Symbol"/>
          <w:sz w:val="20"/>
        </w:rPr>
        <w:t></w:t>
      </w:r>
      <w:r w:rsidRPr="00C1770A">
        <w:rPr>
          <w:sz w:val="20"/>
        </w:rPr>
        <w:t xml:space="preserve"> 2008 Microsoft Corporation.  All rights reserved.</w:t>
      </w:r>
    </w:p>
    <w:p w:rsidR="00C1770A" w:rsidRPr="00C1770A" w:rsidRDefault="00C1770A" w:rsidP="00C1770A">
      <w:pPr>
        <w:rPr>
          <w:sz w:val="20"/>
        </w:rPr>
      </w:pPr>
      <w:r w:rsidRPr="00C1770A">
        <w:rPr>
          <w:sz w:val="20"/>
        </w:rPr>
        <w:t>Microsoft, Forefront, SQL Server, Active Directory and Windows are either registered trademarks or trademarks of Microsoft Corporation in the United States and/or other countries.</w:t>
      </w:r>
    </w:p>
    <w:p w:rsidR="00C1770A" w:rsidRPr="00C1770A" w:rsidRDefault="00C1770A" w:rsidP="009F2CCC">
      <w:pPr>
        <w:rPr>
          <w:sz w:val="20"/>
        </w:rPr>
      </w:pPr>
      <w:r w:rsidRPr="00C1770A">
        <w:rPr>
          <w:sz w:val="20"/>
        </w:rPr>
        <w:t>The names of actual companies and products mentioned herein may be the trademarks of their respective owners.</w:t>
      </w:r>
    </w:p>
    <w:sectPr w:rsidR="00C1770A" w:rsidRPr="00C1770A" w:rsidSect="008B7859">
      <w:headerReference w:type="default" r:id="rId20"/>
      <w:footerReference w:type="default" r:id="rId21"/>
      <w:pgSz w:w="12240" w:h="15840"/>
      <w:pgMar w:top="1440" w:right="1584" w:bottom="1440"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220" w:rsidRDefault="00F50220" w:rsidP="005E33D8">
      <w:pPr>
        <w:spacing w:after="0" w:line="240" w:lineRule="auto"/>
      </w:pPr>
      <w:r>
        <w:separator/>
      </w:r>
    </w:p>
  </w:endnote>
  <w:endnote w:type="continuationSeparator" w:id="1">
    <w:p w:rsidR="00F50220" w:rsidRDefault="00F50220" w:rsidP="005E3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516" w:rsidRDefault="000575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952" w:rsidRPr="001C6781" w:rsidRDefault="00523952" w:rsidP="001C6781">
    <w:pPr>
      <w:pStyle w:val="Footer"/>
      <w:tabs>
        <w:tab w:val="clear" w:pos="9360"/>
        <w:tab w:val="right" w:pos="8640"/>
      </w:tabs>
      <w:rPr>
        <w:sz w:val="32"/>
      </w:rPr>
    </w:pPr>
    <w:r w:rsidRPr="001C6781">
      <w:rPr>
        <w:sz w:val="32"/>
      </w:rPr>
      <w:tab/>
    </w:r>
    <w:r w:rsidRPr="001C6781">
      <w:rPr>
        <w:sz w:val="32"/>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516" w:rsidRDefault="0005751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952" w:rsidRDefault="00421B97">
    <w:pPr>
      <w:pStyle w:val="Footer"/>
      <w:pBdr>
        <w:top w:val="thinThickSmallGap" w:sz="24" w:space="1" w:color="622423" w:themeColor="accent2" w:themeShade="7F"/>
      </w:pBdr>
      <w:rPr>
        <w:rFonts w:asciiTheme="majorHAnsi" w:hAnsiTheme="majorHAnsi"/>
      </w:rPr>
    </w:pPr>
    <w:r>
      <w:rPr>
        <w:rFonts w:asciiTheme="majorHAnsi" w:hAnsiTheme="majorHAnsi"/>
      </w:rPr>
      <w:t>Microsoft Forefront Client Security TCO Analysis</w:t>
    </w:r>
    <w:r w:rsidR="00523952">
      <w:rPr>
        <w:rFonts w:asciiTheme="majorHAnsi" w:hAnsiTheme="majorHAnsi"/>
      </w:rPr>
      <w:ptab w:relativeTo="margin" w:alignment="right" w:leader="none"/>
    </w:r>
    <w:r w:rsidR="00523952" w:rsidRPr="005E33D8">
      <w:rPr>
        <w:rFonts w:asciiTheme="majorHAnsi" w:hAnsiTheme="majorHAnsi"/>
      </w:rPr>
      <w:t xml:space="preserve">Page | </w:t>
    </w:r>
    <w:r w:rsidR="007F7745" w:rsidRPr="005E33D8">
      <w:rPr>
        <w:rFonts w:asciiTheme="majorHAnsi" w:hAnsiTheme="majorHAnsi"/>
      </w:rPr>
      <w:fldChar w:fldCharType="begin"/>
    </w:r>
    <w:r w:rsidR="00523952" w:rsidRPr="005E33D8">
      <w:rPr>
        <w:rFonts w:asciiTheme="majorHAnsi" w:hAnsiTheme="majorHAnsi"/>
      </w:rPr>
      <w:instrText xml:space="preserve"> PAGE   \* MERGEFORMAT </w:instrText>
    </w:r>
    <w:r w:rsidR="007F7745" w:rsidRPr="005E33D8">
      <w:rPr>
        <w:rFonts w:asciiTheme="majorHAnsi" w:hAnsiTheme="majorHAnsi"/>
      </w:rPr>
      <w:fldChar w:fldCharType="separate"/>
    </w:r>
    <w:r w:rsidR="00514AB5">
      <w:rPr>
        <w:rFonts w:asciiTheme="majorHAnsi" w:hAnsiTheme="majorHAnsi"/>
        <w:noProof/>
      </w:rPr>
      <w:t>21</w:t>
    </w:r>
    <w:r w:rsidR="007F7745" w:rsidRPr="005E33D8">
      <w:rPr>
        <w:rFonts w:asciiTheme="majorHAnsi" w:hAnsiTheme="majorHAnsi"/>
      </w:rPr>
      <w:fldChar w:fldCharType="end"/>
    </w:r>
  </w:p>
  <w:p w:rsidR="00523952" w:rsidRDefault="005239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220" w:rsidRDefault="00F50220" w:rsidP="005E33D8">
      <w:pPr>
        <w:spacing w:after="0" w:line="240" w:lineRule="auto"/>
      </w:pPr>
      <w:r>
        <w:separator/>
      </w:r>
    </w:p>
  </w:footnote>
  <w:footnote w:type="continuationSeparator" w:id="1">
    <w:p w:rsidR="00F50220" w:rsidRDefault="00F50220" w:rsidP="005E33D8">
      <w:pPr>
        <w:spacing w:after="0" w:line="240" w:lineRule="auto"/>
      </w:pPr>
      <w:r>
        <w:continuationSeparator/>
      </w:r>
    </w:p>
  </w:footnote>
  <w:footnote w:id="2">
    <w:p w:rsidR="00523952" w:rsidRDefault="00523952" w:rsidP="00D472C5">
      <w:pPr>
        <w:pStyle w:val="FootnoteText"/>
      </w:pPr>
      <w:r>
        <w:rPr>
          <w:rStyle w:val="FootnoteReference"/>
        </w:rPr>
        <w:footnoteRef/>
      </w:r>
      <w:r>
        <w:t xml:space="preserve"> Microsoft Security and Intelligence Report, July-December 2007, Microsoft Corporation, </w:t>
      </w:r>
    </w:p>
  </w:footnote>
  <w:footnote w:id="3">
    <w:p w:rsidR="00523952" w:rsidRDefault="00523952" w:rsidP="007B20C0">
      <w:pPr>
        <w:pStyle w:val="FootnoteText"/>
      </w:pPr>
      <w:r>
        <w:rPr>
          <w:rStyle w:val="FootnoteReference"/>
        </w:rPr>
        <w:footnoteRef/>
      </w:r>
      <w:r>
        <w:t xml:space="preserve"> </w:t>
      </w:r>
      <w:hyperlink r:id="rId1" w:history="1">
        <w:r w:rsidRPr="007250E4">
          <w:rPr>
            <w:rStyle w:val="Hyperlink"/>
          </w:rPr>
          <w:t>http://www.microsoft.com/casestudies/casestudy.aspx?casestudyid=201421</w:t>
        </w:r>
      </w:hyperlink>
      <w:r>
        <w:t xml:space="preserve"> </w:t>
      </w:r>
    </w:p>
  </w:footnote>
  <w:footnote w:id="4">
    <w:p w:rsidR="00523952" w:rsidRDefault="00523952">
      <w:pPr>
        <w:pStyle w:val="FootnoteText"/>
      </w:pPr>
      <w:r>
        <w:rPr>
          <w:rStyle w:val="FootnoteReference"/>
        </w:rPr>
        <w:footnoteRef/>
      </w:r>
      <w:r>
        <w:t xml:space="preserve"> </w:t>
      </w:r>
      <w:hyperlink r:id="rId2" w:history="1">
        <w:r w:rsidRPr="008F3F89">
          <w:rPr>
            <w:rStyle w:val="Hyperlink"/>
          </w:rPr>
          <w:t>http://www.microsoft.com/casestudies/casestudy.aspx?casestudyid=4000000072</w:t>
        </w:r>
      </w:hyperlink>
      <w:r>
        <w:t xml:space="preserve"> </w:t>
      </w:r>
    </w:p>
  </w:footnote>
  <w:footnote w:id="5">
    <w:p w:rsidR="00523952" w:rsidRDefault="00523952">
      <w:pPr>
        <w:pStyle w:val="FootnoteText"/>
      </w:pPr>
      <w:r>
        <w:rPr>
          <w:rStyle w:val="FootnoteReference"/>
        </w:rPr>
        <w:footnoteRef/>
      </w:r>
      <w:r>
        <w:t xml:space="preserve"> </w:t>
      </w:r>
      <w:hyperlink r:id="rId3" w:history="1">
        <w:r w:rsidRPr="00F803FC">
          <w:rPr>
            <w:rStyle w:val="Hyperlink"/>
          </w:rPr>
          <w:t>http://westcoastlabs.com/downloads/productTestReport_0051/Forefront_Client_Security.pdf</w:t>
        </w:r>
      </w:hyperlink>
      <w:r>
        <w:t xml:space="preserve"> </w:t>
      </w:r>
    </w:p>
  </w:footnote>
  <w:footnote w:id="6">
    <w:p w:rsidR="00523952" w:rsidRDefault="00523952" w:rsidP="006E4461">
      <w:pPr>
        <w:pStyle w:val="FootnoteText"/>
      </w:pPr>
      <w:r>
        <w:rPr>
          <w:rStyle w:val="FootnoteReference"/>
        </w:rPr>
        <w:footnoteRef/>
      </w:r>
      <w:r>
        <w:t xml:space="preserve"> </w:t>
      </w:r>
      <w:hyperlink r:id="rId4" w:history="1">
        <w:r w:rsidRPr="007250E4">
          <w:rPr>
            <w:rStyle w:val="Hyperlink"/>
          </w:rPr>
          <w:t>http://www.microsoft.com/casestudies/casestudy.aspx?casestudyid=201421</w:t>
        </w:r>
      </w:hyperlink>
      <w:r>
        <w:t xml:space="preserve"> </w:t>
      </w:r>
    </w:p>
  </w:footnote>
  <w:footnote w:id="7">
    <w:p w:rsidR="00523952" w:rsidRDefault="00523952">
      <w:pPr>
        <w:pStyle w:val="FootnoteText"/>
      </w:pPr>
      <w:r>
        <w:rPr>
          <w:rStyle w:val="FootnoteReference"/>
        </w:rPr>
        <w:footnoteRef/>
      </w:r>
      <w:r>
        <w:t xml:space="preserve"> </w:t>
      </w:r>
      <w:hyperlink r:id="rId5" w:history="1">
        <w:r w:rsidRPr="007250E4">
          <w:rPr>
            <w:rStyle w:val="Hyperlink"/>
          </w:rPr>
          <w:t>http://www.microsoft.com/casestudies/casestudy.aspx?casestudyid=201288</w:t>
        </w:r>
      </w:hyperlink>
      <w:r>
        <w:t xml:space="preserve"> </w:t>
      </w:r>
    </w:p>
  </w:footnote>
  <w:footnote w:id="8">
    <w:p w:rsidR="00523952" w:rsidRDefault="00523952" w:rsidP="003051C5">
      <w:pPr>
        <w:pStyle w:val="FootnoteText"/>
      </w:pPr>
      <w:r>
        <w:rPr>
          <w:rStyle w:val="FootnoteReference"/>
        </w:rPr>
        <w:footnoteRef/>
      </w:r>
      <w:r>
        <w:t xml:space="preserve"> </w:t>
      </w:r>
      <w:hyperlink r:id="rId6" w:history="1">
        <w:r w:rsidRPr="007250E4">
          <w:rPr>
            <w:rStyle w:val="Hyperlink"/>
          </w:rPr>
          <w:t>http://www.microsoft.com/casestudies/casestudy.aspx?casestudyid=201398</w:t>
        </w:r>
      </w:hyperlink>
      <w:r>
        <w:t xml:space="preserve"> </w:t>
      </w:r>
    </w:p>
  </w:footnote>
  <w:footnote w:id="9">
    <w:p w:rsidR="00523952" w:rsidRDefault="00523952">
      <w:pPr>
        <w:pStyle w:val="FootnoteText"/>
      </w:pPr>
      <w:r>
        <w:rPr>
          <w:rStyle w:val="FootnoteReference"/>
        </w:rPr>
        <w:footnoteRef/>
      </w:r>
      <w:r>
        <w:t xml:space="preserve"> </w:t>
      </w:r>
      <w:r w:rsidRPr="0018386B">
        <w:t>http://westcoastlabs.com/downloads/productTestReport_0051/Forefront_Client_Security.pdf</w:t>
      </w:r>
    </w:p>
  </w:footnote>
  <w:footnote w:id="10">
    <w:p w:rsidR="00523952" w:rsidRDefault="00523952">
      <w:pPr>
        <w:pStyle w:val="FootnoteText"/>
      </w:pPr>
      <w:r>
        <w:rPr>
          <w:rStyle w:val="FootnoteReference"/>
        </w:rPr>
        <w:footnoteRef/>
      </w:r>
      <w:r>
        <w:t xml:space="preserve"> </w:t>
      </w:r>
      <w:hyperlink r:id="rId7" w:history="1">
        <w:r w:rsidRPr="007250E4">
          <w:rPr>
            <w:rStyle w:val="Hyperlink"/>
          </w:rPr>
          <w:t>http://www.microsoft.com/casestudies/casestudy.aspx?casestudyid=201398</w:t>
        </w:r>
      </w:hyperlink>
      <w:r>
        <w:t xml:space="preserve"> </w:t>
      </w:r>
    </w:p>
  </w:footnote>
  <w:footnote w:id="11">
    <w:p w:rsidR="00523952" w:rsidRDefault="00523952" w:rsidP="007E2E07">
      <w:pPr>
        <w:pStyle w:val="FootnoteText"/>
      </w:pPr>
      <w:r>
        <w:rPr>
          <w:rStyle w:val="FootnoteReference"/>
        </w:rPr>
        <w:footnoteRef/>
      </w:r>
      <w:r>
        <w:t xml:space="preserve"> </w:t>
      </w:r>
      <w:hyperlink r:id="rId8" w:history="1">
        <w:r w:rsidRPr="007250E4">
          <w:rPr>
            <w:rStyle w:val="Hyperlink"/>
          </w:rPr>
          <w:t>http://www.microsoft.com/casestudies/casestudy.aspx?casestudyid=201398</w:t>
        </w:r>
      </w:hyperlink>
      <w:r>
        <w:t xml:space="preserve"> </w:t>
      </w:r>
    </w:p>
  </w:footnote>
  <w:footnote w:id="12">
    <w:p w:rsidR="00523952" w:rsidRDefault="00523952">
      <w:pPr>
        <w:pStyle w:val="FootnoteText"/>
      </w:pPr>
      <w:r>
        <w:rPr>
          <w:rStyle w:val="FootnoteReference"/>
        </w:rPr>
        <w:footnoteRef/>
      </w:r>
      <w:r>
        <w:t xml:space="preserve"> </w:t>
      </w:r>
      <w:hyperlink r:id="rId9" w:history="1">
        <w:r w:rsidRPr="007250E4">
          <w:rPr>
            <w:rStyle w:val="Hyperlink"/>
          </w:rPr>
          <w:t>http://www.microsoft.com/casestudies/casestudy.aspx?casestudyid=201421</w:t>
        </w:r>
      </w:hyperlink>
      <w:r>
        <w:t xml:space="preserve"> </w:t>
      </w:r>
    </w:p>
  </w:footnote>
  <w:footnote w:id="13">
    <w:p w:rsidR="00523952" w:rsidRDefault="00523952">
      <w:pPr>
        <w:pStyle w:val="FootnoteText"/>
      </w:pPr>
      <w:r>
        <w:rPr>
          <w:rStyle w:val="FootnoteReference"/>
        </w:rPr>
        <w:footnoteRef/>
      </w:r>
      <w:r>
        <w:t xml:space="preserve"> </w:t>
      </w:r>
      <w:hyperlink r:id="rId10" w:history="1">
        <w:r w:rsidRPr="008F3F89">
          <w:rPr>
            <w:rStyle w:val="Hyperlink"/>
          </w:rPr>
          <w:t>http://www.microsoft.com/casestudies/casestudy.aspx?casestudyid=4000000072</w:t>
        </w:r>
      </w:hyperlink>
      <w:r>
        <w:t xml:space="preserve"> </w:t>
      </w:r>
    </w:p>
  </w:footnote>
  <w:footnote w:id="14">
    <w:p w:rsidR="00523952" w:rsidRPr="00B40C4D" w:rsidRDefault="00523952">
      <w:pPr>
        <w:pStyle w:val="FootnoteText"/>
        <w:rPr>
          <w:b/>
        </w:rPr>
      </w:pPr>
      <w:r>
        <w:rPr>
          <w:rStyle w:val="FootnoteReference"/>
        </w:rPr>
        <w:footnoteRef/>
      </w:r>
      <w:r>
        <w:t xml:space="preserve"> For more information on Enterprise Client Access Licenses, visit </w:t>
      </w:r>
      <w:hyperlink r:id="rId11" w:history="1">
        <w:r w:rsidRPr="005B68BC">
          <w:rPr>
            <w:rStyle w:val="Hyperlink"/>
          </w:rPr>
          <w:t>http://www.microsoft.com/calsuites/enterprise.mspx</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516" w:rsidRDefault="000575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952" w:rsidRPr="001C6781" w:rsidRDefault="00523952" w:rsidP="001C6781">
    <w:pPr>
      <w:pStyle w:val="Header"/>
      <w:tabs>
        <w:tab w:val="clear" w:pos="9360"/>
        <w:tab w:val="right" w:pos="8640"/>
      </w:tabs>
      <w:rPr>
        <w:sz w:val="32"/>
      </w:rPr>
    </w:pPr>
    <w:r w:rsidRPr="001C6781">
      <w:rPr>
        <w:sz w:val="32"/>
      </w:rPr>
      <w:tab/>
    </w:r>
    <w:r w:rsidRPr="001C6781">
      <w:rPr>
        <w:sz w:val="32"/>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516" w:rsidRDefault="0005751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952" w:rsidRPr="001C6781" w:rsidRDefault="00523952" w:rsidP="001C6781">
    <w:pPr>
      <w:pStyle w:val="Header"/>
      <w:tabs>
        <w:tab w:val="clear" w:pos="9360"/>
        <w:tab w:val="right" w:pos="8640"/>
      </w:tabs>
      <w:rPr>
        <w:sz w:val="32"/>
      </w:rPr>
    </w:pPr>
    <w:r w:rsidRPr="001C6781">
      <w:rPr>
        <w:sz w:val="32"/>
      </w:rPr>
      <w:tab/>
    </w:r>
    <w:r w:rsidRPr="001C6781">
      <w:rPr>
        <w:sz w:val="3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7.5pt;height:8.4pt" o:bullet="t">
        <v:imagedata r:id="rId1" o:title="bullet-black"/>
      </v:shape>
    </w:pict>
  </w:numPicBullet>
  <w:abstractNum w:abstractNumId="0">
    <w:nsid w:val="01E01804"/>
    <w:multiLevelType w:val="hybridMultilevel"/>
    <w:tmpl w:val="341ED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43324"/>
    <w:multiLevelType w:val="hybridMultilevel"/>
    <w:tmpl w:val="30882A88"/>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
    <w:nsid w:val="155D3500"/>
    <w:multiLevelType w:val="hybridMultilevel"/>
    <w:tmpl w:val="F698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F2EA1"/>
    <w:multiLevelType w:val="hybridMultilevel"/>
    <w:tmpl w:val="1CF65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3716D3"/>
    <w:multiLevelType w:val="hybridMultilevel"/>
    <w:tmpl w:val="A484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7537A"/>
    <w:multiLevelType w:val="singleLevel"/>
    <w:tmpl w:val="65B68F5E"/>
    <w:lvl w:ilvl="0">
      <w:start w:val="1"/>
      <w:numFmt w:val="bullet"/>
      <w:pStyle w:val="Legalese"/>
      <w:lvlText w:val="-"/>
      <w:lvlJc w:val="left"/>
      <w:pPr>
        <w:tabs>
          <w:tab w:val="num" w:pos="360"/>
        </w:tabs>
        <w:ind w:left="360" w:hanging="360"/>
      </w:pPr>
      <w:rPr>
        <w:rFonts w:ascii="Arial" w:hAnsi="Arial" w:hint="default"/>
      </w:rPr>
    </w:lvl>
  </w:abstractNum>
  <w:abstractNum w:abstractNumId="6">
    <w:nsid w:val="28B316E7"/>
    <w:multiLevelType w:val="hybridMultilevel"/>
    <w:tmpl w:val="C024C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F3608B"/>
    <w:multiLevelType w:val="hybridMultilevel"/>
    <w:tmpl w:val="1BA2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BE11C8"/>
    <w:multiLevelType w:val="hybridMultilevel"/>
    <w:tmpl w:val="A918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7E49D0"/>
    <w:multiLevelType w:val="hybridMultilevel"/>
    <w:tmpl w:val="0D54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6877F8"/>
    <w:multiLevelType w:val="hybridMultilevel"/>
    <w:tmpl w:val="01B6E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7C5158"/>
    <w:multiLevelType w:val="hybridMultilevel"/>
    <w:tmpl w:val="A39C3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400C5C"/>
    <w:multiLevelType w:val="hybridMultilevel"/>
    <w:tmpl w:val="58401B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CC2F68"/>
    <w:multiLevelType w:val="hybridMultilevel"/>
    <w:tmpl w:val="B400D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CB08A0"/>
    <w:multiLevelType w:val="hybridMultilevel"/>
    <w:tmpl w:val="384A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CF2068"/>
    <w:multiLevelType w:val="hybridMultilevel"/>
    <w:tmpl w:val="D55E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2E2688"/>
    <w:multiLevelType w:val="multilevel"/>
    <w:tmpl w:val="D5906C98"/>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D751F0"/>
    <w:multiLevelType w:val="hybridMultilevel"/>
    <w:tmpl w:val="2FC8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480B2E"/>
    <w:multiLevelType w:val="hybridMultilevel"/>
    <w:tmpl w:val="48D2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B22CAB"/>
    <w:multiLevelType w:val="hybridMultilevel"/>
    <w:tmpl w:val="CFF21DCE"/>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0">
    <w:nsid w:val="7FBF237D"/>
    <w:multiLevelType w:val="hybridMultilevel"/>
    <w:tmpl w:val="5632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8"/>
  </w:num>
  <w:num w:numId="4">
    <w:abstractNumId w:val="0"/>
  </w:num>
  <w:num w:numId="5">
    <w:abstractNumId w:val="20"/>
  </w:num>
  <w:num w:numId="6">
    <w:abstractNumId w:val="4"/>
  </w:num>
  <w:num w:numId="7">
    <w:abstractNumId w:val="9"/>
  </w:num>
  <w:num w:numId="8">
    <w:abstractNumId w:val="2"/>
  </w:num>
  <w:num w:numId="9">
    <w:abstractNumId w:val="17"/>
  </w:num>
  <w:num w:numId="10">
    <w:abstractNumId w:val="15"/>
  </w:num>
  <w:num w:numId="11">
    <w:abstractNumId w:val="6"/>
  </w:num>
  <w:num w:numId="12">
    <w:abstractNumId w:val="12"/>
  </w:num>
  <w:num w:numId="13">
    <w:abstractNumId w:val="14"/>
  </w:num>
  <w:num w:numId="14">
    <w:abstractNumId w:val="3"/>
  </w:num>
  <w:num w:numId="15">
    <w:abstractNumId w:val="1"/>
  </w:num>
  <w:num w:numId="16">
    <w:abstractNumId w:val="13"/>
  </w:num>
  <w:num w:numId="17">
    <w:abstractNumId w:val="10"/>
  </w:num>
  <w:num w:numId="18">
    <w:abstractNumId w:val="8"/>
  </w:num>
  <w:num w:numId="19">
    <w:abstractNumId w:val="19"/>
  </w:num>
  <w:num w:numId="20">
    <w:abstractNumId w:val="16"/>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seFELayout/>
  </w:compat>
  <w:rsids>
    <w:rsidRoot w:val="00A179D9"/>
    <w:rsid w:val="00014EEC"/>
    <w:rsid w:val="000212BA"/>
    <w:rsid w:val="00022720"/>
    <w:rsid w:val="000303EA"/>
    <w:rsid w:val="00034C26"/>
    <w:rsid w:val="00057516"/>
    <w:rsid w:val="00071B19"/>
    <w:rsid w:val="00076498"/>
    <w:rsid w:val="00077289"/>
    <w:rsid w:val="0008059B"/>
    <w:rsid w:val="00082687"/>
    <w:rsid w:val="00084AB6"/>
    <w:rsid w:val="00092B6A"/>
    <w:rsid w:val="000B24A6"/>
    <w:rsid w:val="000B493C"/>
    <w:rsid w:val="000B62E3"/>
    <w:rsid w:val="000B6394"/>
    <w:rsid w:val="000B6516"/>
    <w:rsid w:val="000C2263"/>
    <w:rsid w:val="000C5AA6"/>
    <w:rsid w:val="000C7D82"/>
    <w:rsid w:val="000E16C2"/>
    <w:rsid w:val="000E4B52"/>
    <w:rsid w:val="000F02F2"/>
    <w:rsid w:val="000F14DA"/>
    <w:rsid w:val="000F1E7B"/>
    <w:rsid w:val="000F4A08"/>
    <w:rsid w:val="000F5212"/>
    <w:rsid w:val="00100378"/>
    <w:rsid w:val="001076B5"/>
    <w:rsid w:val="00107BA1"/>
    <w:rsid w:val="00123261"/>
    <w:rsid w:val="001307C9"/>
    <w:rsid w:val="0013157E"/>
    <w:rsid w:val="0013407A"/>
    <w:rsid w:val="00140301"/>
    <w:rsid w:val="00176A95"/>
    <w:rsid w:val="001823C1"/>
    <w:rsid w:val="0018386B"/>
    <w:rsid w:val="001876AF"/>
    <w:rsid w:val="001B30CB"/>
    <w:rsid w:val="001B6718"/>
    <w:rsid w:val="001C3312"/>
    <w:rsid w:val="001C5A11"/>
    <w:rsid w:val="001C6781"/>
    <w:rsid w:val="001D0737"/>
    <w:rsid w:val="001D7F89"/>
    <w:rsid w:val="001E580E"/>
    <w:rsid w:val="001E585F"/>
    <w:rsid w:val="00204109"/>
    <w:rsid w:val="00207B07"/>
    <w:rsid w:val="00207CFD"/>
    <w:rsid w:val="002216E5"/>
    <w:rsid w:val="00224861"/>
    <w:rsid w:val="00225D18"/>
    <w:rsid w:val="00240567"/>
    <w:rsid w:val="00250811"/>
    <w:rsid w:val="00251662"/>
    <w:rsid w:val="0026060F"/>
    <w:rsid w:val="0026198E"/>
    <w:rsid w:val="0027155F"/>
    <w:rsid w:val="00272718"/>
    <w:rsid w:val="002735CB"/>
    <w:rsid w:val="00274627"/>
    <w:rsid w:val="00274CF7"/>
    <w:rsid w:val="00282CCF"/>
    <w:rsid w:val="00290154"/>
    <w:rsid w:val="00290C8F"/>
    <w:rsid w:val="00293385"/>
    <w:rsid w:val="00297619"/>
    <w:rsid w:val="002B4FF6"/>
    <w:rsid w:val="002C1F9D"/>
    <w:rsid w:val="002C357C"/>
    <w:rsid w:val="002D4A7E"/>
    <w:rsid w:val="002E0ABB"/>
    <w:rsid w:val="002E295D"/>
    <w:rsid w:val="002F1C5A"/>
    <w:rsid w:val="003006C9"/>
    <w:rsid w:val="003031AC"/>
    <w:rsid w:val="00303264"/>
    <w:rsid w:val="00304730"/>
    <w:rsid w:val="003051C5"/>
    <w:rsid w:val="00322F95"/>
    <w:rsid w:val="00325A70"/>
    <w:rsid w:val="00327883"/>
    <w:rsid w:val="00332B48"/>
    <w:rsid w:val="003378D7"/>
    <w:rsid w:val="00340074"/>
    <w:rsid w:val="00340F55"/>
    <w:rsid w:val="00350E78"/>
    <w:rsid w:val="00356BA6"/>
    <w:rsid w:val="003640B3"/>
    <w:rsid w:val="00366443"/>
    <w:rsid w:val="00371B2B"/>
    <w:rsid w:val="003770E4"/>
    <w:rsid w:val="0039584B"/>
    <w:rsid w:val="003E4380"/>
    <w:rsid w:val="003F6643"/>
    <w:rsid w:val="00404349"/>
    <w:rsid w:val="00406032"/>
    <w:rsid w:val="00421AAE"/>
    <w:rsid w:val="00421B97"/>
    <w:rsid w:val="00427D7A"/>
    <w:rsid w:val="00433CA3"/>
    <w:rsid w:val="00437808"/>
    <w:rsid w:val="0043799D"/>
    <w:rsid w:val="00441035"/>
    <w:rsid w:val="00443212"/>
    <w:rsid w:val="0044516D"/>
    <w:rsid w:val="00445365"/>
    <w:rsid w:val="004460DC"/>
    <w:rsid w:val="0046450B"/>
    <w:rsid w:val="0047790C"/>
    <w:rsid w:val="00477A0B"/>
    <w:rsid w:val="00482C34"/>
    <w:rsid w:val="00483587"/>
    <w:rsid w:val="004857D3"/>
    <w:rsid w:val="00490E65"/>
    <w:rsid w:val="004955FB"/>
    <w:rsid w:val="004A7EBF"/>
    <w:rsid w:val="004B1DAC"/>
    <w:rsid w:val="004B6984"/>
    <w:rsid w:val="004B6A65"/>
    <w:rsid w:val="004C39A5"/>
    <w:rsid w:val="004C70E0"/>
    <w:rsid w:val="004D214D"/>
    <w:rsid w:val="004E2F91"/>
    <w:rsid w:val="004E3AA0"/>
    <w:rsid w:val="004E5E41"/>
    <w:rsid w:val="004F3382"/>
    <w:rsid w:val="005003BD"/>
    <w:rsid w:val="005007EA"/>
    <w:rsid w:val="00501CC2"/>
    <w:rsid w:val="00514AB5"/>
    <w:rsid w:val="005176CF"/>
    <w:rsid w:val="00517D82"/>
    <w:rsid w:val="00523952"/>
    <w:rsid w:val="00534EB6"/>
    <w:rsid w:val="005352A7"/>
    <w:rsid w:val="005355D2"/>
    <w:rsid w:val="00542E84"/>
    <w:rsid w:val="00544B69"/>
    <w:rsid w:val="005470B2"/>
    <w:rsid w:val="00551BA4"/>
    <w:rsid w:val="00564278"/>
    <w:rsid w:val="0057663B"/>
    <w:rsid w:val="00594962"/>
    <w:rsid w:val="005A2F2D"/>
    <w:rsid w:val="005B33C5"/>
    <w:rsid w:val="005C51F7"/>
    <w:rsid w:val="005D11BC"/>
    <w:rsid w:val="005D17BA"/>
    <w:rsid w:val="005E1820"/>
    <w:rsid w:val="005E2E28"/>
    <w:rsid w:val="005E33D8"/>
    <w:rsid w:val="005E5A86"/>
    <w:rsid w:val="00602D08"/>
    <w:rsid w:val="00604FC5"/>
    <w:rsid w:val="00614C24"/>
    <w:rsid w:val="00621721"/>
    <w:rsid w:val="00625E09"/>
    <w:rsid w:val="00626389"/>
    <w:rsid w:val="006277F5"/>
    <w:rsid w:val="00630FE0"/>
    <w:rsid w:val="00631C58"/>
    <w:rsid w:val="00640494"/>
    <w:rsid w:val="006420AF"/>
    <w:rsid w:val="006421B8"/>
    <w:rsid w:val="00643FF4"/>
    <w:rsid w:val="00651F9C"/>
    <w:rsid w:val="006563B0"/>
    <w:rsid w:val="006627E9"/>
    <w:rsid w:val="00681810"/>
    <w:rsid w:val="00681D9F"/>
    <w:rsid w:val="0068439F"/>
    <w:rsid w:val="00684CD1"/>
    <w:rsid w:val="006916F2"/>
    <w:rsid w:val="0069243A"/>
    <w:rsid w:val="006970B4"/>
    <w:rsid w:val="006A0BA4"/>
    <w:rsid w:val="006A1B1F"/>
    <w:rsid w:val="006A485B"/>
    <w:rsid w:val="006B08AC"/>
    <w:rsid w:val="006B5D22"/>
    <w:rsid w:val="006C37CD"/>
    <w:rsid w:val="006C420B"/>
    <w:rsid w:val="006C603E"/>
    <w:rsid w:val="006C7364"/>
    <w:rsid w:val="006D3AD0"/>
    <w:rsid w:val="006D5568"/>
    <w:rsid w:val="006D6211"/>
    <w:rsid w:val="006E0004"/>
    <w:rsid w:val="006E4461"/>
    <w:rsid w:val="006E7A88"/>
    <w:rsid w:val="006F093E"/>
    <w:rsid w:val="006F13E7"/>
    <w:rsid w:val="006F573E"/>
    <w:rsid w:val="00704F65"/>
    <w:rsid w:val="00725994"/>
    <w:rsid w:val="007310B7"/>
    <w:rsid w:val="0073249C"/>
    <w:rsid w:val="00734BA6"/>
    <w:rsid w:val="007372A7"/>
    <w:rsid w:val="00745018"/>
    <w:rsid w:val="00745281"/>
    <w:rsid w:val="007526AB"/>
    <w:rsid w:val="00763298"/>
    <w:rsid w:val="007640B2"/>
    <w:rsid w:val="007649A4"/>
    <w:rsid w:val="00764B22"/>
    <w:rsid w:val="00765DDB"/>
    <w:rsid w:val="0076672D"/>
    <w:rsid w:val="0077354F"/>
    <w:rsid w:val="007823A9"/>
    <w:rsid w:val="00787B00"/>
    <w:rsid w:val="00793523"/>
    <w:rsid w:val="007A1042"/>
    <w:rsid w:val="007A3CBA"/>
    <w:rsid w:val="007B0FCE"/>
    <w:rsid w:val="007B20C0"/>
    <w:rsid w:val="007B2211"/>
    <w:rsid w:val="007C0440"/>
    <w:rsid w:val="007D71EA"/>
    <w:rsid w:val="007E2E07"/>
    <w:rsid w:val="007F3678"/>
    <w:rsid w:val="007F4097"/>
    <w:rsid w:val="007F6FC2"/>
    <w:rsid w:val="007F7745"/>
    <w:rsid w:val="00823A2D"/>
    <w:rsid w:val="0082481F"/>
    <w:rsid w:val="00846E87"/>
    <w:rsid w:val="00856619"/>
    <w:rsid w:val="0086223E"/>
    <w:rsid w:val="00864770"/>
    <w:rsid w:val="008649B6"/>
    <w:rsid w:val="00865877"/>
    <w:rsid w:val="00865E7D"/>
    <w:rsid w:val="00867B8E"/>
    <w:rsid w:val="00871CF7"/>
    <w:rsid w:val="00880DD5"/>
    <w:rsid w:val="008852A9"/>
    <w:rsid w:val="00887152"/>
    <w:rsid w:val="008903C5"/>
    <w:rsid w:val="008B22C8"/>
    <w:rsid w:val="008B59C3"/>
    <w:rsid w:val="008B7859"/>
    <w:rsid w:val="008B7FBF"/>
    <w:rsid w:val="008C352D"/>
    <w:rsid w:val="008C3717"/>
    <w:rsid w:val="008C427F"/>
    <w:rsid w:val="008D052A"/>
    <w:rsid w:val="008D396B"/>
    <w:rsid w:val="008D7250"/>
    <w:rsid w:val="008E0B5F"/>
    <w:rsid w:val="008E1424"/>
    <w:rsid w:val="008F1466"/>
    <w:rsid w:val="008F2D2C"/>
    <w:rsid w:val="00900947"/>
    <w:rsid w:val="009028C0"/>
    <w:rsid w:val="009168C7"/>
    <w:rsid w:val="009203DD"/>
    <w:rsid w:val="00921531"/>
    <w:rsid w:val="00926C3A"/>
    <w:rsid w:val="00931C87"/>
    <w:rsid w:val="009329CE"/>
    <w:rsid w:val="00945FE0"/>
    <w:rsid w:val="00946451"/>
    <w:rsid w:val="00947314"/>
    <w:rsid w:val="00951B68"/>
    <w:rsid w:val="00953CEC"/>
    <w:rsid w:val="00960531"/>
    <w:rsid w:val="009608B8"/>
    <w:rsid w:val="00962768"/>
    <w:rsid w:val="00971B68"/>
    <w:rsid w:val="00977F12"/>
    <w:rsid w:val="00982A14"/>
    <w:rsid w:val="00985970"/>
    <w:rsid w:val="009A322F"/>
    <w:rsid w:val="009A7734"/>
    <w:rsid w:val="009B0C95"/>
    <w:rsid w:val="009B2EF3"/>
    <w:rsid w:val="009B6163"/>
    <w:rsid w:val="009C2B45"/>
    <w:rsid w:val="009C67A1"/>
    <w:rsid w:val="009C7EAE"/>
    <w:rsid w:val="009D2744"/>
    <w:rsid w:val="009D2F20"/>
    <w:rsid w:val="009D4362"/>
    <w:rsid w:val="009E390C"/>
    <w:rsid w:val="009E3978"/>
    <w:rsid w:val="009E3FF6"/>
    <w:rsid w:val="009E5CBB"/>
    <w:rsid w:val="009F022D"/>
    <w:rsid w:val="009F2CCC"/>
    <w:rsid w:val="009F32D7"/>
    <w:rsid w:val="009F59E5"/>
    <w:rsid w:val="009F66A5"/>
    <w:rsid w:val="00A01B2A"/>
    <w:rsid w:val="00A107A5"/>
    <w:rsid w:val="00A179D9"/>
    <w:rsid w:val="00A25C98"/>
    <w:rsid w:val="00A32C3F"/>
    <w:rsid w:val="00A34905"/>
    <w:rsid w:val="00A377B0"/>
    <w:rsid w:val="00A419CA"/>
    <w:rsid w:val="00A46F2A"/>
    <w:rsid w:val="00A540B7"/>
    <w:rsid w:val="00A549C8"/>
    <w:rsid w:val="00A57FA5"/>
    <w:rsid w:val="00A64E39"/>
    <w:rsid w:val="00A742F1"/>
    <w:rsid w:val="00A75B88"/>
    <w:rsid w:val="00A7676D"/>
    <w:rsid w:val="00A83298"/>
    <w:rsid w:val="00A86139"/>
    <w:rsid w:val="00A96374"/>
    <w:rsid w:val="00AA2827"/>
    <w:rsid w:val="00AB5549"/>
    <w:rsid w:val="00AB5F69"/>
    <w:rsid w:val="00AC31F6"/>
    <w:rsid w:val="00AC78D5"/>
    <w:rsid w:val="00AD09DF"/>
    <w:rsid w:val="00AD0E10"/>
    <w:rsid w:val="00AD4B15"/>
    <w:rsid w:val="00AE3139"/>
    <w:rsid w:val="00AE50EF"/>
    <w:rsid w:val="00AF2B7B"/>
    <w:rsid w:val="00AF4A46"/>
    <w:rsid w:val="00B02646"/>
    <w:rsid w:val="00B05B3A"/>
    <w:rsid w:val="00B1352A"/>
    <w:rsid w:val="00B13B6B"/>
    <w:rsid w:val="00B223B5"/>
    <w:rsid w:val="00B26A3B"/>
    <w:rsid w:val="00B342F5"/>
    <w:rsid w:val="00B35F34"/>
    <w:rsid w:val="00B374D4"/>
    <w:rsid w:val="00B40C4D"/>
    <w:rsid w:val="00B45428"/>
    <w:rsid w:val="00B60525"/>
    <w:rsid w:val="00B648E2"/>
    <w:rsid w:val="00B81E50"/>
    <w:rsid w:val="00B8535D"/>
    <w:rsid w:val="00B8681E"/>
    <w:rsid w:val="00B901AB"/>
    <w:rsid w:val="00B950E4"/>
    <w:rsid w:val="00BA358D"/>
    <w:rsid w:val="00BC29AC"/>
    <w:rsid w:val="00BC7983"/>
    <w:rsid w:val="00BD4629"/>
    <w:rsid w:val="00BE1A5B"/>
    <w:rsid w:val="00BE3FBD"/>
    <w:rsid w:val="00BE4397"/>
    <w:rsid w:val="00BE48E2"/>
    <w:rsid w:val="00BF0B85"/>
    <w:rsid w:val="00BF2840"/>
    <w:rsid w:val="00BF4893"/>
    <w:rsid w:val="00BF552C"/>
    <w:rsid w:val="00C02B55"/>
    <w:rsid w:val="00C05796"/>
    <w:rsid w:val="00C066F8"/>
    <w:rsid w:val="00C1770A"/>
    <w:rsid w:val="00C2389B"/>
    <w:rsid w:val="00C23EC5"/>
    <w:rsid w:val="00C44CC7"/>
    <w:rsid w:val="00C44EDC"/>
    <w:rsid w:val="00C45AB5"/>
    <w:rsid w:val="00C5293C"/>
    <w:rsid w:val="00C530A6"/>
    <w:rsid w:val="00C6340B"/>
    <w:rsid w:val="00C64AEF"/>
    <w:rsid w:val="00C701C6"/>
    <w:rsid w:val="00C72344"/>
    <w:rsid w:val="00C75119"/>
    <w:rsid w:val="00C75C9B"/>
    <w:rsid w:val="00C82EB9"/>
    <w:rsid w:val="00C942E6"/>
    <w:rsid w:val="00CA0FFA"/>
    <w:rsid w:val="00CA163D"/>
    <w:rsid w:val="00CA3437"/>
    <w:rsid w:val="00CA65F7"/>
    <w:rsid w:val="00CA7A0A"/>
    <w:rsid w:val="00CA7B97"/>
    <w:rsid w:val="00CB2402"/>
    <w:rsid w:val="00CC2DF8"/>
    <w:rsid w:val="00CC5835"/>
    <w:rsid w:val="00CD2C8A"/>
    <w:rsid w:val="00CD686B"/>
    <w:rsid w:val="00CE42A2"/>
    <w:rsid w:val="00CE4BF2"/>
    <w:rsid w:val="00CF2008"/>
    <w:rsid w:val="00D10B43"/>
    <w:rsid w:val="00D11A64"/>
    <w:rsid w:val="00D121F0"/>
    <w:rsid w:val="00D1302C"/>
    <w:rsid w:val="00D1426E"/>
    <w:rsid w:val="00D22CED"/>
    <w:rsid w:val="00D35E1D"/>
    <w:rsid w:val="00D455ED"/>
    <w:rsid w:val="00D472C5"/>
    <w:rsid w:val="00D63747"/>
    <w:rsid w:val="00D70558"/>
    <w:rsid w:val="00D917AD"/>
    <w:rsid w:val="00D9392A"/>
    <w:rsid w:val="00DA29F1"/>
    <w:rsid w:val="00DA5E03"/>
    <w:rsid w:val="00DA6160"/>
    <w:rsid w:val="00DC044E"/>
    <w:rsid w:val="00DC0C7E"/>
    <w:rsid w:val="00DC109F"/>
    <w:rsid w:val="00DC7375"/>
    <w:rsid w:val="00DD5D06"/>
    <w:rsid w:val="00DE7DD1"/>
    <w:rsid w:val="00DF1F01"/>
    <w:rsid w:val="00DF5981"/>
    <w:rsid w:val="00E12D58"/>
    <w:rsid w:val="00E14B55"/>
    <w:rsid w:val="00E2084E"/>
    <w:rsid w:val="00E326A9"/>
    <w:rsid w:val="00E3403E"/>
    <w:rsid w:val="00E400E6"/>
    <w:rsid w:val="00E5126F"/>
    <w:rsid w:val="00E60070"/>
    <w:rsid w:val="00E63950"/>
    <w:rsid w:val="00E64B6C"/>
    <w:rsid w:val="00E702DA"/>
    <w:rsid w:val="00E75130"/>
    <w:rsid w:val="00E76B85"/>
    <w:rsid w:val="00E77652"/>
    <w:rsid w:val="00E83263"/>
    <w:rsid w:val="00E83535"/>
    <w:rsid w:val="00E83BE9"/>
    <w:rsid w:val="00E86F82"/>
    <w:rsid w:val="00E93ECC"/>
    <w:rsid w:val="00EB7057"/>
    <w:rsid w:val="00ED066E"/>
    <w:rsid w:val="00ED25E1"/>
    <w:rsid w:val="00ED5B00"/>
    <w:rsid w:val="00EE0D6C"/>
    <w:rsid w:val="00EF0BE9"/>
    <w:rsid w:val="00EF0E25"/>
    <w:rsid w:val="00EF4593"/>
    <w:rsid w:val="00EF5764"/>
    <w:rsid w:val="00F022C0"/>
    <w:rsid w:val="00F11325"/>
    <w:rsid w:val="00F113E3"/>
    <w:rsid w:val="00F124E8"/>
    <w:rsid w:val="00F1730A"/>
    <w:rsid w:val="00F20243"/>
    <w:rsid w:val="00F2528A"/>
    <w:rsid w:val="00F2715B"/>
    <w:rsid w:val="00F346B7"/>
    <w:rsid w:val="00F36058"/>
    <w:rsid w:val="00F466B4"/>
    <w:rsid w:val="00F46F79"/>
    <w:rsid w:val="00F50220"/>
    <w:rsid w:val="00F515A9"/>
    <w:rsid w:val="00F54712"/>
    <w:rsid w:val="00F56AD8"/>
    <w:rsid w:val="00F57A2A"/>
    <w:rsid w:val="00F66804"/>
    <w:rsid w:val="00F70BDD"/>
    <w:rsid w:val="00F75F63"/>
    <w:rsid w:val="00F87B7E"/>
    <w:rsid w:val="00F966F4"/>
    <w:rsid w:val="00FA4E7D"/>
    <w:rsid w:val="00FC0980"/>
    <w:rsid w:val="00FC13DD"/>
    <w:rsid w:val="00FC3291"/>
    <w:rsid w:val="00FC5F48"/>
    <w:rsid w:val="00FD1BB2"/>
    <w:rsid w:val="00FD5A6A"/>
    <w:rsid w:val="00FE6541"/>
    <w:rsid w:val="00FF066F"/>
    <w:rsid w:val="00FF1E14"/>
    <w:rsid w:val="00FF34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531"/>
    <w:pPr>
      <w:spacing w:after="240" w:line="360" w:lineRule="auto"/>
    </w:pPr>
  </w:style>
  <w:style w:type="paragraph" w:styleId="Heading1">
    <w:name w:val="heading 1"/>
    <w:basedOn w:val="Normal"/>
    <w:next w:val="Normal"/>
    <w:link w:val="Heading1Char"/>
    <w:uiPriority w:val="9"/>
    <w:qFormat/>
    <w:rsid w:val="00960531"/>
    <w:pPr>
      <w:keepNext/>
      <w:keepLines/>
      <w:pageBreakBefore/>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24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24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79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79D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A17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9D9"/>
    <w:rPr>
      <w:rFonts w:ascii="Tahoma" w:hAnsi="Tahoma" w:cs="Tahoma"/>
      <w:sz w:val="16"/>
      <w:szCs w:val="16"/>
    </w:rPr>
  </w:style>
  <w:style w:type="paragraph" w:customStyle="1" w:styleId="Legalese">
    <w:name w:val="Legalese"/>
    <w:rsid w:val="00A179D9"/>
    <w:pPr>
      <w:numPr>
        <w:numId w:val="1"/>
      </w:numPr>
      <w:tabs>
        <w:tab w:val="clear" w:pos="360"/>
      </w:tabs>
      <w:spacing w:after="80" w:line="240" w:lineRule="auto"/>
      <w:ind w:left="0" w:firstLine="0"/>
    </w:pPr>
    <w:rPr>
      <w:rFonts w:ascii="Arial" w:eastAsia="Times New Roman" w:hAnsi="Arial" w:cs="Times New Roman"/>
      <w:sz w:val="14"/>
      <w:szCs w:val="20"/>
    </w:rPr>
  </w:style>
  <w:style w:type="character" w:customStyle="1" w:styleId="Heading1Char">
    <w:name w:val="Heading 1 Char"/>
    <w:basedOn w:val="DefaultParagraphFont"/>
    <w:link w:val="Heading1"/>
    <w:uiPriority w:val="9"/>
    <w:rsid w:val="00960531"/>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960531"/>
    <w:pPr>
      <w:spacing w:before="240" w:after="120"/>
    </w:pPr>
    <w:rPr>
      <w:b/>
      <w:bCs/>
      <w:sz w:val="20"/>
      <w:szCs w:val="20"/>
    </w:rPr>
  </w:style>
  <w:style w:type="character" w:styleId="Hyperlink">
    <w:name w:val="Hyperlink"/>
    <w:basedOn w:val="DefaultParagraphFont"/>
    <w:uiPriority w:val="99"/>
    <w:unhideWhenUsed/>
    <w:rsid w:val="00960531"/>
    <w:rPr>
      <w:color w:val="0000FF" w:themeColor="hyperlink"/>
      <w:u w:val="single"/>
    </w:rPr>
  </w:style>
  <w:style w:type="character" w:customStyle="1" w:styleId="Heading2Char">
    <w:name w:val="Heading 2 Char"/>
    <w:basedOn w:val="DefaultParagraphFont"/>
    <w:link w:val="Heading2"/>
    <w:uiPriority w:val="9"/>
    <w:rsid w:val="007324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3249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1302C"/>
    <w:pPr>
      <w:ind w:left="720"/>
      <w:contextualSpacing/>
    </w:pPr>
  </w:style>
  <w:style w:type="paragraph" w:styleId="TOC2">
    <w:name w:val="toc 2"/>
    <w:basedOn w:val="Normal"/>
    <w:next w:val="Normal"/>
    <w:autoRedefine/>
    <w:uiPriority w:val="39"/>
    <w:unhideWhenUsed/>
    <w:rsid w:val="0026198E"/>
    <w:pPr>
      <w:spacing w:before="120" w:after="0"/>
      <w:ind w:left="220"/>
    </w:pPr>
    <w:rPr>
      <w:i/>
      <w:iCs/>
      <w:sz w:val="20"/>
      <w:szCs w:val="20"/>
    </w:rPr>
  </w:style>
  <w:style w:type="paragraph" w:styleId="Header">
    <w:name w:val="header"/>
    <w:basedOn w:val="Normal"/>
    <w:link w:val="HeaderChar"/>
    <w:uiPriority w:val="99"/>
    <w:semiHidden/>
    <w:unhideWhenUsed/>
    <w:rsid w:val="005E33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33D8"/>
  </w:style>
  <w:style w:type="paragraph" w:styleId="Footer">
    <w:name w:val="footer"/>
    <w:basedOn w:val="Normal"/>
    <w:link w:val="FooterChar"/>
    <w:uiPriority w:val="99"/>
    <w:unhideWhenUsed/>
    <w:rsid w:val="005E3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3D8"/>
  </w:style>
  <w:style w:type="paragraph" w:styleId="FootnoteText">
    <w:name w:val="footnote text"/>
    <w:basedOn w:val="Normal"/>
    <w:link w:val="FootnoteTextChar"/>
    <w:uiPriority w:val="99"/>
    <w:unhideWhenUsed/>
    <w:rsid w:val="00FF1E14"/>
    <w:pPr>
      <w:spacing w:after="0" w:line="240" w:lineRule="auto"/>
    </w:pPr>
    <w:rPr>
      <w:sz w:val="20"/>
      <w:szCs w:val="20"/>
    </w:rPr>
  </w:style>
  <w:style w:type="character" w:customStyle="1" w:styleId="FootnoteTextChar">
    <w:name w:val="Footnote Text Char"/>
    <w:basedOn w:val="DefaultParagraphFont"/>
    <w:link w:val="FootnoteText"/>
    <w:uiPriority w:val="99"/>
    <w:rsid w:val="00FF1E14"/>
    <w:rPr>
      <w:sz w:val="20"/>
      <w:szCs w:val="20"/>
    </w:rPr>
  </w:style>
  <w:style w:type="character" w:styleId="FootnoteReference">
    <w:name w:val="footnote reference"/>
    <w:basedOn w:val="DefaultParagraphFont"/>
    <w:uiPriority w:val="99"/>
    <w:semiHidden/>
    <w:unhideWhenUsed/>
    <w:rsid w:val="00FF1E14"/>
    <w:rPr>
      <w:vertAlign w:val="superscript"/>
    </w:rPr>
  </w:style>
  <w:style w:type="character" w:styleId="CommentReference">
    <w:name w:val="annotation reference"/>
    <w:basedOn w:val="DefaultParagraphFont"/>
    <w:uiPriority w:val="99"/>
    <w:semiHidden/>
    <w:unhideWhenUsed/>
    <w:rsid w:val="0044516D"/>
    <w:rPr>
      <w:sz w:val="16"/>
      <w:szCs w:val="16"/>
    </w:rPr>
  </w:style>
  <w:style w:type="paragraph" w:styleId="CommentText">
    <w:name w:val="annotation text"/>
    <w:basedOn w:val="Normal"/>
    <w:link w:val="CommentTextChar"/>
    <w:uiPriority w:val="99"/>
    <w:semiHidden/>
    <w:unhideWhenUsed/>
    <w:rsid w:val="0044516D"/>
    <w:pPr>
      <w:spacing w:line="240" w:lineRule="auto"/>
    </w:pPr>
    <w:rPr>
      <w:sz w:val="20"/>
      <w:szCs w:val="20"/>
    </w:rPr>
  </w:style>
  <w:style w:type="character" w:customStyle="1" w:styleId="CommentTextChar">
    <w:name w:val="Comment Text Char"/>
    <w:basedOn w:val="DefaultParagraphFont"/>
    <w:link w:val="CommentText"/>
    <w:uiPriority w:val="99"/>
    <w:semiHidden/>
    <w:rsid w:val="0044516D"/>
    <w:rPr>
      <w:sz w:val="20"/>
      <w:szCs w:val="20"/>
    </w:rPr>
  </w:style>
  <w:style w:type="paragraph" w:styleId="CommentSubject">
    <w:name w:val="annotation subject"/>
    <w:basedOn w:val="CommentText"/>
    <w:next w:val="CommentText"/>
    <w:link w:val="CommentSubjectChar"/>
    <w:uiPriority w:val="99"/>
    <w:semiHidden/>
    <w:unhideWhenUsed/>
    <w:rsid w:val="0044516D"/>
    <w:rPr>
      <w:b/>
      <w:bCs/>
    </w:rPr>
  </w:style>
  <w:style w:type="character" w:customStyle="1" w:styleId="CommentSubjectChar">
    <w:name w:val="Comment Subject Char"/>
    <w:basedOn w:val="CommentTextChar"/>
    <w:link w:val="CommentSubject"/>
    <w:uiPriority w:val="99"/>
    <w:semiHidden/>
    <w:rsid w:val="0044516D"/>
    <w:rPr>
      <w:b/>
      <w:bCs/>
    </w:rPr>
  </w:style>
  <w:style w:type="character" w:styleId="FollowedHyperlink">
    <w:name w:val="FollowedHyperlink"/>
    <w:basedOn w:val="DefaultParagraphFont"/>
    <w:uiPriority w:val="99"/>
    <w:semiHidden/>
    <w:unhideWhenUsed/>
    <w:rsid w:val="00745281"/>
    <w:rPr>
      <w:color w:val="800080" w:themeColor="followedHyperlink"/>
      <w:u w:val="single"/>
    </w:rPr>
  </w:style>
  <w:style w:type="table" w:styleId="TableGrid">
    <w:name w:val="Table Grid"/>
    <w:basedOn w:val="TableNormal"/>
    <w:uiPriority w:val="59"/>
    <w:rsid w:val="002E29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forText">
    <w:name w:val="Table for Text"/>
    <w:basedOn w:val="TableNormal"/>
    <w:uiPriority w:val="61"/>
    <w:rsid w:val="00B901AB"/>
    <w:pPr>
      <w:spacing w:after="0" w:line="240" w:lineRule="auto"/>
    </w:pPr>
    <w:tblPr>
      <w:tblStyleRowBandSize w:val="1"/>
      <w:tblStyleColBandSize w:val="1"/>
      <w:tblInd w:w="0" w:type="dxa"/>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7365D" w:themeFill="text2" w:themeFillShade="BF"/>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cBorders>
      </w:tcPr>
    </w:tblStylePr>
    <w:tblStylePr w:type="band2Horz">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cBorders>
      </w:tcPr>
    </w:tblStylePr>
  </w:style>
  <w:style w:type="paragraph" w:styleId="Caption">
    <w:name w:val="caption"/>
    <w:basedOn w:val="Normal"/>
    <w:next w:val="Normal"/>
    <w:uiPriority w:val="35"/>
    <w:unhideWhenUsed/>
    <w:qFormat/>
    <w:rsid w:val="00D70558"/>
    <w:pPr>
      <w:spacing w:after="200" w:line="240" w:lineRule="auto"/>
    </w:pPr>
    <w:rPr>
      <w:b/>
      <w:bCs/>
      <w:color w:val="4F81BD" w:themeColor="accent1"/>
      <w:sz w:val="18"/>
      <w:szCs w:val="18"/>
    </w:rPr>
  </w:style>
  <w:style w:type="paragraph" w:styleId="TOC3">
    <w:name w:val="toc 3"/>
    <w:basedOn w:val="Normal"/>
    <w:next w:val="Normal"/>
    <w:autoRedefine/>
    <w:uiPriority w:val="39"/>
    <w:unhideWhenUsed/>
    <w:rsid w:val="00240567"/>
    <w:pPr>
      <w:spacing w:after="0"/>
      <w:ind w:left="440"/>
    </w:pPr>
    <w:rPr>
      <w:sz w:val="20"/>
      <w:szCs w:val="20"/>
    </w:rPr>
  </w:style>
  <w:style w:type="paragraph" w:styleId="Revision">
    <w:name w:val="Revision"/>
    <w:hidden/>
    <w:uiPriority w:val="99"/>
    <w:semiHidden/>
    <w:rsid w:val="00C23EC5"/>
    <w:pPr>
      <w:spacing w:after="0" w:line="240" w:lineRule="auto"/>
    </w:pPr>
  </w:style>
  <w:style w:type="paragraph" w:styleId="TOCHeading">
    <w:name w:val="TOC Heading"/>
    <w:basedOn w:val="Heading1"/>
    <w:next w:val="Normal"/>
    <w:uiPriority w:val="39"/>
    <w:semiHidden/>
    <w:unhideWhenUsed/>
    <w:qFormat/>
    <w:rsid w:val="0076672D"/>
    <w:pPr>
      <w:pageBreakBefore w:val="0"/>
      <w:spacing w:line="276" w:lineRule="auto"/>
      <w:outlineLvl w:val="9"/>
    </w:pPr>
  </w:style>
  <w:style w:type="paragraph" w:styleId="TOC4">
    <w:name w:val="toc 4"/>
    <w:basedOn w:val="Normal"/>
    <w:next w:val="Normal"/>
    <w:autoRedefine/>
    <w:uiPriority w:val="39"/>
    <w:unhideWhenUsed/>
    <w:rsid w:val="0076672D"/>
    <w:pPr>
      <w:spacing w:after="0"/>
      <w:ind w:left="660"/>
    </w:pPr>
    <w:rPr>
      <w:sz w:val="20"/>
      <w:szCs w:val="20"/>
    </w:rPr>
  </w:style>
  <w:style w:type="paragraph" w:styleId="TOC5">
    <w:name w:val="toc 5"/>
    <w:basedOn w:val="Normal"/>
    <w:next w:val="Normal"/>
    <w:autoRedefine/>
    <w:uiPriority w:val="39"/>
    <w:unhideWhenUsed/>
    <w:rsid w:val="0076672D"/>
    <w:pPr>
      <w:spacing w:after="0"/>
      <w:ind w:left="880"/>
    </w:pPr>
    <w:rPr>
      <w:sz w:val="20"/>
      <w:szCs w:val="20"/>
    </w:rPr>
  </w:style>
  <w:style w:type="paragraph" w:styleId="TOC6">
    <w:name w:val="toc 6"/>
    <w:basedOn w:val="Normal"/>
    <w:next w:val="Normal"/>
    <w:autoRedefine/>
    <w:uiPriority w:val="39"/>
    <w:unhideWhenUsed/>
    <w:rsid w:val="0076672D"/>
    <w:pPr>
      <w:spacing w:after="0"/>
      <w:ind w:left="1100"/>
    </w:pPr>
    <w:rPr>
      <w:sz w:val="20"/>
      <w:szCs w:val="20"/>
    </w:rPr>
  </w:style>
  <w:style w:type="paragraph" w:styleId="TOC7">
    <w:name w:val="toc 7"/>
    <w:basedOn w:val="Normal"/>
    <w:next w:val="Normal"/>
    <w:autoRedefine/>
    <w:uiPriority w:val="39"/>
    <w:unhideWhenUsed/>
    <w:rsid w:val="0076672D"/>
    <w:pPr>
      <w:spacing w:after="0"/>
      <w:ind w:left="1320"/>
    </w:pPr>
    <w:rPr>
      <w:sz w:val="20"/>
      <w:szCs w:val="20"/>
    </w:rPr>
  </w:style>
  <w:style w:type="paragraph" w:styleId="TOC8">
    <w:name w:val="toc 8"/>
    <w:basedOn w:val="Normal"/>
    <w:next w:val="Normal"/>
    <w:autoRedefine/>
    <w:uiPriority w:val="39"/>
    <w:unhideWhenUsed/>
    <w:rsid w:val="0076672D"/>
    <w:pPr>
      <w:spacing w:after="0"/>
      <w:ind w:left="1540"/>
    </w:pPr>
    <w:rPr>
      <w:sz w:val="20"/>
      <w:szCs w:val="20"/>
    </w:rPr>
  </w:style>
  <w:style w:type="paragraph" w:styleId="TOC9">
    <w:name w:val="toc 9"/>
    <w:basedOn w:val="Normal"/>
    <w:next w:val="Normal"/>
    <w:autoRedefine/>
    <w:uiPriority w:val="39"/>
    <w:unhideWhenUsed/>
    <w:rsid w:val="0076672D"/>
    <w:pPr>
      <w:spacing w:after="0"/>
      <w:ind w:left="1760"/>
    </w:pPr>
    <w:rPr>
      <w:sz w:val="20"/>
      <w:szCs w:val="20"/>
    </w:rPr>
  </w:style>
  <w:style w:type="paragraph" w:styleId="BodyText">
    <w:name w:val="Body Text"/>
    <w:basedOn w:val="Normal"/>
    <w:link w:val="BodyTextChar"/>
    <w:rsid w:val="00C1770A"/>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1770A"/>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785735105">
      <w:bodyDiv w:val="1"/>
      <w:marLeft w:val="0"/>
      <w:marRight w:val="0"/>
      <w:marTop w:val="0"/>
      <w:marBottom w:val="0"/>
      <w:divBdr>
        <w:top w:val="none" w:sz="0" w:space="0" w:color="auto"/>
        <w:left w:val="none" w:sz="0" w:space="0" w:color="auto"/>
        <w:bottom w:val="none" w:sz="0" w:space="0" w:color="auto"/>
        <w:right w:val="none" w:sz="0" w:space="0" w:color="auto"/>
      </w:divBdr>
    </w:div>
    <w:div w:id="1175650506">
      <w:bodyDiv w:val="1"/>
      <w:marLeft w:val="0"/>
      <w:marRight w:val="0"/>
      <w:marTop w:val="0"/>
      <w:marBottom w:val="0"/>
      <w:divBdr>
        <w:top w:val="none" w:sz="0" w:space="0" w:color="auto"/>
        <w:left w:val="none" w:sz="0" w:space="0" w:color="auto"/>
        <w:bottom w:val="none" w:sz="0" w:space="0" w:color="auto"/>
        <w:right w:val="none" w:sz="0" w:space="0" w:color="auto"/>
      </w:divBdr>
      <w:divsChild>
        <w:div w:id="49504431">
          <w:marLeft w:val="0"/>
          <w:marRight w:val="0"/>
          <w:marTop w:val="0"/>
          <w:marBottom w:val="0"/>
          <w:divBdr>
            <w:top w:val="none" w:sz="0" w:space="0" w:color="auto"/>
            <w:left w:val="none" w:sz="0" w:space="0" w:color="auto"/>
            <w:bottom w:val="none" w:sz="0" w:space="0" w:color="auto"/>
            <w:right w:val="none" w:sz="0" w:space="0" w:color="auto"/>
          </w:divBdr>
          <w:divsChild>
            <w:div w:id="130176503">
              <w:marLeft w:val="0"/>
              <w:marRight w:val="0"/>
              <w:marTop w:val="0"/>
              <w:marBottom w:val="0"/>
              <w:divBdr>
                <w:top w:val="none" w:sz="0" w:space="0" w:color="auto"/>
                <w:left w:val="none" w:sz="0" w:space="0" w:color="auto"/>
                <w:bottom w:val="none" w:sz="0" w:space="0" w:color="auto"/>
                <w:right w:val="none" w:sz="0" w:space="0" w:color="auto"/>
              </w:divBdr>
              <w:divsChild>
                <w:div w:id="852569835">
                  <w:marLeft w:val="0"/>
                  <w:marRight w:val="0"/>
                  <w:marTop w:val="0"/>
                  <w:marBottom w:val="0"/>
                  <w:divBdr>
                    <w:top w:val="none" w:sz="0" w:space="0" w:color="auto"/>
                    <w:left w:val="none" w:sz="0" w:space="0" w:color="auto"/>
                    <w:bottom w:val="none" w:sz="0" w:space="0" w:color="auto"/>
                    <w:right w:val="none" w:sz="0" w:space="0" w:color="auto"/>
                  </w:divBdr>
                  <w:divsChild>
                    <w:div w:id="438374492">
                      <w:marLeft w:val="0"/>
                      <w:marRight w:val="0"/>
                      <w:marTop w:val="251"/>
                      <w:marBottom w:val="167"/>
                      <w:divBdr>
                        <w:top w:val="single" w:sz="18" w:space="0" w:color="999999"/>
                        <w:left w:val="none" w:sz="0" w:space="0" w:color="auto"/>
                        <w:bottom w:val="single" w:sz="18" w:space="0" w:color="999999"/>
                        <w:right w:val="none" w:sz="0" w:space="0" w:color="auto"/>
                      </w:divBdr>
                      <w:divsChild>
                        <w:div w:id="20518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7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microsoft.com/forefront/clientsecurity/howtobuy/default.mspx"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microsoft.com/windowsserversystem/virtualserve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microsoft.com/casestudies/casestudy.aspx?casestudyid=201398" TargetMode="External"/><Relationship Id="rId3" Type="http://schemas.openxmlformats.org/officeDocument/2006/relationships/hyperlink" Target="http://westcoastlabs.com/downloads/productTestReport_0051/Forefront_Client_Security.pdf" TargetMode="External"/><Relationship Id="rId7" Type="http://schemas.openxmlformats.org/officeDocument/2006/relationships/hyperlink" Target="http://www.microsoft.com/casestudies/casestudy.aspx?casestudyid=201398" TargetMode="External"/><Relationship Id="rId2" Type="http://schemas.openxmlformats.org/officeDocument/2006/relationships/hyperlink" Target="http://www.microsoft.com/casestudies/casestudy.aspx?casestudyid=4000000072" TargetMode="External"/><Relationship Id="rId1" Type="http://schemas.openxmlformats.org/officeDocument/2006/relationships/hyperlink" Target="http://www.microsoft.com/casestudies/casestudy.aspx?casestudyid=201421" TargetMode="External"/><Relationship Id="rId6" Type="http://schemas.openxmlformats.org/officeDocument/2006/relationships/hyperlink" Target="http://www.microsoft.com/casestudies/casestudy.aspx?casestudyid=201398" TargetMode="External"/><Relationship Id="rId11" Type="http://schemas.openxmlformats.org/officeDocument/2006/relationships/hyperlink" Target="http://www.microsoft.com/calsuites/enterprise.mspx" TargetMode="External"/><Relationship Id="rId5" Type="http://schemas.openxmlformats.org/officeDocument/2006/relationships/hyperlink" Target="http://www.microsoft.com/casestudies/casestudy.aspx?casestudyid=201288" TargetMode="External"/><Relationship Id="rId10" Type="http://schemas.openxmlformats.org/officeDocument/2006/relationships/hyperlink" Target="http://www.microsoft.com/casestudies/casestudy.aspx?casestudyid=4000000072" TargetMode="External"/><Relationship Id="rId4" Type="http://schemas.openxmlformats.org/officeDocument/2006/relationships/hyperlink" Target="http://www.microsoft.com/casestudies/casestudy.aspx?casestudyid=201421" TargetMode="External"/><Relationship Id="rId9" Type="http://schemas.openxmlformats.org/officeDocument/2006/relationships/hyperlink" Target="http://www.microsoft.com/casestudies/casestudy.aspx?casestudyid=20142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35A75-63C9-440C-AF63-581F9837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5562</Words>
  <Characters>31709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2008-06-10T16:03:00Z</dcterms:created>
  <dcterms:modified xsi:type="dcterms:W3CDTF">2008-06-10T16:04:00Z</dcterms:modified>
</cp:coreProperties>
</file>