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48" w:type="dxa"/>
        <w:tblLayout w:type="fixed"/>
        <w:tblCellMar>
          <w:left w:w="0" w:type="dxa"/>
          <w:right w:w="0" w:type="dxa"/>
        </w:tblCellMar>
        <w:tblLook w:val="0000"/>
      </w:tblPr>
      <w:tblGrid>
        <w:gridCol w:w="3119"/>
        <w:gridCol w:w="284"/>
        <w:gridCol w:w="284"/>
        <w:gridCol w:w="6861"/>
      </w:tblGrid>
      <w:tr w:rsidR="00F456BE" w:rsidRPr="001E1734">
        <w:tblPrEx>
          <w:tblCellMar>
            <w:top w:w="0" w:type="dxa"/>
            <w:left w:w="0" w:type="dxa"/>
            <w:bottom w:w="0" w:type="dxa"/>
            <w:right w:w="0" w:type="dxa"/>
          </w:tblCellMar>
        </w:tblPrEx>
        <w:trPr>
          <w:cantSplit/>
          <w:trHeight w:hRule="exact" w:val="1970"/>
        </w:trPr>
        <w:tc>
          <w:tcPr>
            <w:tcW w:w="3119" w:type="dxa"/>
            <w:vMerge w:val="restart"/>
          </w:tcPr>
          <w:p w:rsidR="00F456BE" w:rsidRPr="00587987" w:rsidRDefault="00F456BE">
            <w:pPr>
              <w:pStyle w:val="SectionHeading"/>
              <w:spacing w:before="100"/>
              <w:rPr>
                <w:lang w:val="es-ES"/>
              </w:rPr>
            </w:pPr>
            <w:bookmarkStart w:id="0" w:name="TableColumn" w:colFirst="1" w:colLast="1"/>
            <w:r w:rsidRPr="00587987">
              <w:rPr>
                <w:lang w:val="es-ES"/>
              </w:rPr>
              <w:t>Resumen</w:t>
            </w:r>
          </w:p>
          <w:p w:rsidR="00F456BE" w:rsidRPr="00587987" w:rsidRDefault="00F456BE">
            <w:pPr>
              <w:pStyle w:val="Bodycopy"/>
              <w:rPr>
                <w:lang w:val="es-ES"/>
              </w:rPr>
            </w:pPr>
            <w:r w:rsidRPr="00587987">
              <w:rPr>
                <w:rFonts w:ascii="Franklin Gothic Heavy" w:hAnsi="Franklin Gothic Heavy"/>
                <w:lang w:val="es-ES"/>
              </w:rPr>
              <w:t>País:</w:t>
            </w:r>
            <w:r w:rsidRPr="00587987">
              <w:rPr>
                <w:lang w:val="es-ES"/>
              </w:rPr>
              <w:t xml:space="preserve"> </w:t>
            </w:r>
            <w:bookmarkStart w:id="1" w:name="OverviewCountry"/>
            <w:r w:rsidRPr="00587987">
              <w:rPr>
                <w:lang w:val="es-ES"/>
              </w:rPr>
              <w:t>España</w:t>
            </w:r>
            <w:bookmarkEnd w:id="1"/>
          </w:p>
          <w:p w:rsidR="00F456BE" w:rsidRPr="00587987" w:rsidRDefault="00F456BE">
            <w:pPr>
              <w:pStyle w:val="Bodycopy"/>
              <w:rPr>
                <w:lang w:val="es-ES"/>
              </w:rPr>
            </w:pPr>
            <w:r w:rsidRPr="00587987">
              <w:rPr>
                <w:rFonts w:ascii="Franklin Gothic Heavy" w:hAnsi="Franklin Gothic Heavy"/>
                <w:lang w:val="es-ES"/>
              </w:rPr>
              <w:t>Sector:</w:t>
            </w:r>
            <w:r w:rsidRPr="00587987">
              <w:rPr>
                <w:lang w:val="es-ES"/>
              </w:rPr>
              <w:t xml:space="preserve"> </w:t>
            </w:r>
            <w:r>
              <w:rPr>
                <w:lang w:val="es-ES"/>
              </w:rPr>
              <w:t>Servicios Financieros</w:t>
            </w:r>
          </w:p>
          <w:p w:rsidR="00F456BE" w:rsidRPr="00587987" w:rsidRDefault="00F456BE">
            <w:pPr>
              <w:pStyle w:val="Bodycopy"/>
              <w:rPr>
                <w:lang w:val="es-ES"/>
              </w:rPr>
            </w:pPr>
          </w:p>
          <w:p w:rsidR="00F456BE" w:rsidRPr="00587987" w:rsidRDefault="00F456BE">
            <w:pPr>
              <w:pStyle w:val="Bodycopyheading"/>
              <w:rPr>
                <w:lang w:val="it-IT"/>
              </w:rPr>
            </w:pPr>
            <w:r w:rsidRPr="00587987">
              <w:rPr>
                <w:lang w:val="it-IT"/>
              </w:rPr>
              <w:t>Perfil del Cliente</w:t>
            </w:r>
          </w:p>
          <w:p w:rsidR="00F456BE" w:rsidRPr="00AD38E7" w:rsidRDefault="00F456BE" w:rsidP="00F456BE">
            <w:pPr>
              <w:rPr>
                <w:lang w:val="es-ES"/>
              </w:rPr>
            </w:pPr>
            <w:r w:rsidRPr="00AD38E7">
              <w:rPr>
                <w:lang w:val="es-ES"/>
              </w:rPr>
              <w:t>Caja de Navarra es una entidad financiera con más de 600.000 clientes, una cuota de mercado en su ámbito de origen superior al 50% y un beneficio neto de 94,3 millones de euros en el año 2006.</w:t>
            </w:r>
          </w:p>
          <w:p w:rsidR="00F456BE" w:rsidRPr="00CA439F" w:rsidRDefault="00F456BE">
            <w:pPr>
              <w:pStyle w:val="Bodycopy"/>
              <w:rPr>
                <w:lang w:val="es-ES"/>
              </w:rPr>
            </w:pPr>
          </w:p>
          <w:p w:rsidR="00F456BE" w:rsidRPr="00587987" w:rsidRDefault="00F456BE">
            <w:pPr>
              <w:pStyle w:val="Bodycopyheading"/>
              <w:rPr>
                <w:lang w:val="it-IT"/>
              </w:rPr>
            </w:pPr>
            <w:r>
              <w:rPr>
                <w:lang w:val="it-IT"/>
              </w:rPr>
              <w:t>Situación de Negocio</w:t>
            </w:r>
          </w:p>
          <w:p w:rsidR="00F456BE" w:rsidRPr="00AD38E7" w:rsidRDefault="00F456BE" w:rsidP="00F456BE">
            <w:pPr>
              <w:pStyle w:val="Bodycopy"/>
              <w:rPr>
                <w:bCs/>
                <w:lang w:val="es-ES"/>
              </w:rPr>
            </w:pPr>
            <w:r w:rsidRPr="00AD38E7">
              <w:rPr>
                <w:bCs/>
                <w:lang w:val="es-ES"/>
              </w:rPr>
              <w:t>Caja Navarra contaba</w:t>
            </w:r>
            <w:r w:rsidRPr="00AD38E7">
              <w:rPr>
                <w:b/>
                <w:bCs/>
                <w:lang w:val="es-ES"/>
              </w:rPr>
              <w:t xml:space="preserve"> </w:t>
            </w:r>
            <w:r w:rsidRPr="00AD38E7">
              <w:rPr>
                <w:bCs/>
                <w:lang w:val="es-ES"/>
              </w:rPr>
              <w:t>con una red de 250 oficinas circuns</w:t>
            </w:r>
            <w:r w:rsidRPr="00AD38E7">
              <w:rPr>
                <w:bCs/>
                <w:lang w:val="es-ES"/>
              </w:rPr>
              <w:softHyphen/>
              <w:t xml:space="preserve">critas en su mayoría a </w:t>
            </w:r>
            <w:smartTag w:uri="urn:schemas-microsoft-com:office:smarttags" w:element="PersonName">
              <w:smartTagPr>
                <w:attr w:name="ProductID" w:val="la Comunidad Foral."/>
              </w:smartTagPr>
              <w:r w:rsidRPr="00AD38E7">
                <w:rPr>
                  <w:bCs/>
                  <w:lang w:val="es-ES"/>
                </w:rPr>
                <w:t>la Comunidad Foral.</w:t>
              </w:r>
            </w:smartTag>
            <w:r w:rsidRPr="00AD38E7">
              <w:rPr>
                <w:bCs/>
                <w:lang w:val="es-ES"/>
              </w:rPr>
              <w:t xml:space="preserve"> Hace tres años, puso en marcha un ambicioso plan trienal de expansión con la apertura de 150 oficinas por todo el territorio nacional. Como consecuen</w:t>
            </w:r>
            <w:r w:rsidRPr="00AD38E7">
              <w:rPr>
                <w:bCs/>
                <w:lang w:val="es-ES"/>
              </w:rPr>
              <w:softHyphen/>
              <w:t xml:space="preserve">cia, experimentó un fuerte crecimiento con la entrada de un importante número de profesionales cualificados. </w:t>
            </w:r>
          </w:p>
          <w:p w:rsidR="00F456BE" w:rsidRPr="00CA439F" w:rsidRDefault="00F456BE">
            <w:pPr>
              <w:pStyle w:val="Bodycopy"/>
              <w:rPr>
                <w:lang w:val="es-ES"/>
              </w:rPr>
            </w:pPr>
          </w:p>
          <w:p w:rsidR="00F456BE" w:rsidRPr="00612354" w:rsidRDefault="00F456BE">
            <w:pPr>
              <w:pStyle w:val="Bodycopyheading"/>
              <w:rPr>
                <w:lang w:val="es-ES"/>
              </w:rPr>
            </w:pPr>
            <w:r w:rsidRPr="00612354">
              <w:rPr>
                <w:lang w:val="es-ES"/>
              </w:rPr>
              <w:t>Solución</w:t>
            </w:r>
          </w:p>
          <w:p w:rsidR="00F456BE" w:rsidRPr="00CA439F" w:rsidRDefault="00F456BE" w:rsidP="00F456BE">
            <w:pPr>
              <w:pStyle w:val="Bodycopy"/>
              <w:rPr>
                <w:b/>
                <w:lang w:val="es-ES"/>
              </w:rPr>
            </w:pPr>
            <w:r w:rsidRPr="00CA439F">
              <w:rPr>
                <w:lang w:val="es-ES"/>
              </w:rPr>
              <w:t xml:space="preserve">Eligió </w:t>
            </w:r>
            <w:r>
              <w:rPr>
                <w:lang w:val="es-ES"/>
              </w:rPr>
              <w:t xml:space="preserve">a </w:t>
            </w:r>
            <w:r w:rsidRPr="00CA439F">
              <w:rPr>
                <w:lang w:val="es-ES"/>
              </w:rPr>
              <w:t>Informática El Corte Inglés como integrador de solu</w:t>
            </w:r>
            <w:r w:rsidRPr="00CA439F">
              <w:rPr>
                <w:lang w:val="es-ES"/>
              </w:rPr>
              <w:softHyphen/>
              <w:t>ciones y la tecnologí</w:t>
            </w:r>
            <w:r>
              <w:rPr>
                <w:lang w:val="es-ES"/>
              </w:rPr>
              <w:t xml:space="preserve">a Microsoft Live Communications </w:t>
            </w:r>
            <w:r w:rsidRPr="00CA439F">
              <w:rPr>
                <w:lang w:val="es-ES"/>
              </w:rPr>
              <w:t xml:space="preserve">Server 2005 para </w:t>
            </w:r>
            <w:r>
              <w:rPr>
                <w:lang w:val="es-ES"/>
              </w:rPr>
              <w:t>mejorar la relación entre los profesiones y su eficiencia</w:t>
            </w:r>
            <w:r w:rsidRPr="00CA439F">
              <w:rPr>
                <w:lang w:val="es-ES"/>
              </w:rPr>
              <w:t xml:space="preserve">. </w:t>
            </w:r>
          </w:p>
          <w:p w:rsidR="00F456BE" w:rsidRPr="00CA439F" w:rsidRDefault="00F456BE">
            <w:pPr>
              <w:pStyle w:val="Bodycopy"/>
              <w:rPr>
                <w:lang w:val="es-ES"/>
              </w:rPr>
            </w:pPr>
          </w:p>
          <w:p w:rsidR="00F456BE" w:rsidRPr="00612354" w:rsidRDefault="00F456BE">
            <w:pPr>
              <w:pStyle w:val="Bodycopyheading"/>
              <w:rPr>
                <w:lang w:val="es-ES"/>
              </w:rPr>
            </w:pPr>
            <w:r w:rsidRPr="00612354">
              <w:rPr>
                <w:lang w:val="es-ES"/>
              </w:rPr>
              <w:t>Beneficios</w:t>
            </w:r>
          </w:p>
          <w:p w:rsidR="00F456BE" w:rsidRPr="00612354" w:rsidRDefault="00F456BE">
            <w:pPr>
              <w:pStyle w:val="Bullet"/>
              <w:rPr>
                <w:lang w:val="es-ES"/>
              </w:rPr>
            </w:pPr>
            <w:bookmarkStart w:id="2" w:name="OverviewBenefits"/>
            <w:r>
              <w:rPr>
                <w:lang w:val="es-ES"/>
              </w:rPr>
              <w:t>Mayor eficiencia y ahorro de costes.</w:t>
            </w:r>
          </w:p>
          <w:p w:rsidR="00F456BE" w:rsidRPr="00612354" w:rsidRDefault="00F456BE">
            <w:pPr>
              <w:pStyle w:val="Bullet"/>
              <w:rPr>
                <w:lang w:val="es-ES"/>
              </w:rPr>
            </w:pPr>
            <w:r>
              <w:rPr>
                <w:lang w:val="es-ES"/>
              </w:rPr>
              <w:t xml:space="preserve">Mejora en la relación directa con el cliente. </w:t>
            </w:r>
          </w:p>
          <w:p w:rsidR="00F456BE" w:rsidRPr="00612354" w:rsidRDefault="00F456BE">
            <w:pPr>
              <w:pStyle w:val="Bullet"/>
              <w:rPr>
                <w:lang w:val="es-ES"/>
              </w:rPr>
            </w:pPr>
            <w:r>
              <w:rPr>
                <w:lang w:val="es-ES"/>
              </w:rPr>
              <w:t xml:space="preserve">Mayor transparencia y proximidad. </w:t>
            </w:r>
          </w:p>
          <w:p w:rsidR="00F456BE" w:rsidRPr="00612354" w:rsidRDefault="00F456BE">
            <w:pPr>
              <w:pStyle w:val="Bullet"/>
              <w:rPr>
                <w:lang w:val="es-ES"/>
              </w:rPr>
            </w:pPr>
            <w:r w:rsidRPr="00612354">
              <w:rPr>
                <w:lang w:val="es-ES"/>
              </w:rPr>
              <w:t>Beneficio 4</w:t>
            </w:r>
          </w:p>
          <w:p w:rsidR="00F456BE" w:rsidRDefault="00F456BE">
            <w:pPr>
              <w:pStyle w:val="Bullet"/>
            </w:pPr>
            <w:r w:rsidRPr="00612354">
              <w:rPr>
                <w:lang w:val="es-ES"/>
              </w:rPr>
              <w:t>Beneficio</w:t>
            </w:r>
            <w:r>
              <w:t xml:space="preserve"> 5</w:t>
            </w:r>
            <w:bookmarkEnd w:id="2"/>
          </w:p>
          <w:p w:rsidR="00F456BE" w:rsidRDefault="00F456BE">
            <w:pPr>
              <w:pStyle w:val="Bodycopy"/>
            </w:pPr>
          </w:p>
        </w:tc>
        <w:tc>
          <w:tcPr>
            <w:tcW w:w="284" w:type="dxa"/>
            <w:tcBorders>
              <w:left w:val="nil"/>
              <w:right w:val="single" w:sz="8" w:space="0" w:color="005825"/>
            </w:tcBorders>
            <w:shd w:val="clear" w:color="auto" w:fill="auto"/>
          </w:tcPr>
          <w:p w:rsidR="00F456BE" w:rsidRDefault="00F456BE"/>
        </w:tc>
        <w:tc>
          <w:tcPr>
            <w:tcW w:w="284" w:type="dxa"/>
            <w:tcBorders>
              <w:left w:val="single" w:sz="8" w:space="0" w:color="005825"/>
            </w:tcBorders>
          </w:tcPr>
          <w:p w:rsidR="00F456BE" w:rsidRDefault="00F456BE"/>
        </w:tc>
        <w:tc>
          <w:tcPr>
            <w:tcW w:w="6861" w:type="dxa"/>
          </w:tcPr>
          <w:p w:rsidR="00F456BE" w:rsidRPr="000507A8" w:rsidRDefault="00F456BE">
            <w:pPr>
              <w:pStyle w:val="Pullquote"/>
              <w:rPr>
                <w:lang w:val="es-ES"/>
              </w:rPr>
            </w:pPr>
            <w:bookmarkStart w:id="3" w:name="DocumentIntroduction"/>
            <w:r>
              <w:rPr>
                <w:lang w:val="es-ES"/>
              </w:rPr>
              <w:t>“</w:t>
            </w:r>
            <w:r w:rsidRPr="00500756">
              <w:rPr>
                <w:lang w:val="es-ES"/>
              </w:rPr>
              <w:t xml:space="preserve">Microsoft Live Communications Server </w:t>
            </w:r>
            <w:r>
              <w:rPr>
                <w:lang w:val="es-ES"/>
              </w:rPr>
              <w:t xml:space="preserve">2005 es </w:t>
            </w:r>
            <w:r w:rsidRPr="00500756">
              <w:rPr>
                <w:lang w:val="es-ES"/>
              </w:rPr>
              <w:t xml:space="preserve">la </w:t>
            </w:r>
            <w:r>
              <w:rPr>
                <w:lang w:val="es-ES"/>
              </w:rPr>
              <w:t xml:space="preserve">solución </w:t>
            </w:r>
            <w:r w:rsidRPr="00500756">
              <w:rPr>
                <w:lang w:val="es-ES"/>
              </w:rPr>
              <w:t>que mejor se adaptaba al funciona</w:t>
            </w:r>
            <w:r w:rsidRPr="00500756">
              <w:rPr>
                <w:lang w:val="es-ES"/>
              </w:rPr>
              <w:softHyphen/>
              <w:t>miento al que están acostumbra</w:t>
            </w:r>
            <w:r w:rsidRPr="00500756">
              <w:rPr>
                <w:lang w:val="es-ES"/>
              </w:rPr>
              <w:softHyphen/>
              <w:t>dos nuestros empleados”</w:t>
            </w:r>
            <w:bookmarkEnd w:id="3"/>
          </w:p>
          <w:p w:rsidR="00F456BE" w:rsidRPr="00500756" w:rsidRDefault="00F456BE">
            <w:pPr>
              <w:pStyle w:val="PullQuotecredit"/>
              <w:rPr>
                <w:lang w:val="es-ES"/>
              </w:rPr>
            </w:pPr>
            <w:r w:rsidRPr="00500756">
              <w:rPr>
                <w:lang w:val="es-ES"/>
              </w:rPr>
              <w:t>Laura Urquizu, directora de Organización, Tecnología e Inmovilizado y subdirectora general adjunta de Caja Navarra.</w:t>
            </w:r>
          </w:p>
          <w:p w:rsidR="00F456BE" w:rsidRPr="001E1734" w:rsidRDefault="00F456BE" w:rsidP="00F456BE">
            <w:pPr>
              <w:pStyle w:val="PullQuotecredit"/>
              <w:spacing w:line="240" w:lineRule="auto"/>
              <w:rPr>
                <w:color w:val="FF9900"/>
                <w:lang w:val="es-ES"/>
              </w:rPr>
            </w:pPr>
          </w:p>
        </w:tc>
      </w:tr>
      <w:tr w:rsidR="00F456BE" w:rsidRPr="00AD38E7">
        <w:tblPrEx>
          <w:tblCellMar>
            <w:top w:w="0" w:type="dxa"/>
            <w:left w:w="0" w:type="dxa"/>
            <w:bottom w:w="0" w:type="dxa"/>
            <w:right w:w="0" w:type="dxa"/>
          </w:tblCellMar>
        </w:tblPrEx>
        <w:trPr>
          <w:cantSplit/>
          <w:trHeight w:hRule="exact" w:val="6300"/>
        </w:trPr>
        <w:tc>
          <w:tcPr>
            <w:tcW w:w="3119" w:type="dxa"/>
            <w:vMerge/>
          </w:tcPr>
          <w:p w:rsidR="00F456BE" w:rsidRPr="001E1734" w:rsidRDefault="00F456BE">
            <w:pPr>
              <w:pStyle w:val="Bodycopy"/>
              <w:rPr>
                <w:lang w:val="es-ES"/>
              </w:rPr>
            </w:pPr>
          </w:p>
        </w:tc>
        <w:tc>
          <w:tcPr>
            <w:tcW w:w="284" w:type="dxa"/>
            <w:tcBorders>
              <w:left w:val="nil"/>
              <w:right w:val="single" w:sz="8" w:space="0" w:color="005825"/>
            </w:tcBorders>
            <w:shd w:val="clear" w:color="auto" w:fill="auto"/>
          </w:tcPr>
          <w:p w:rsidR="00F456BE" w:rsidRPr="001E1734" w:rsidRDefault="00F456BE">
            <w:pPr>
              <w:pStyle w:val="Bodycopy"/>
              <w:rPr>
                <w:lang w:val="es-ES"/>
              </w:rPr>
            </w:pPr>
          </w:p>
        </w:tc>
        <w:tc>
          <w:tcPr>
            <w:tcW w:w="284" w:type="dxa"/>
            <w:tcBorders>
              <w:left w:val="single" w:sz="8" w:space="0" w:color="005825"/>
            </w:tcBorders>
          </w:tcPr>
          <w:p w:rsidR="00F456BE" w:rsidRPr="001E1734" w:rsidRDefault="00F456BE">
            <w:pPr>
              <w:pStyle w:val="Bodycopy"/>
              <w:rPr>
                <w:lang w:val="es-ES"/>
              </w:rPr>
            </w:pPr>
          </w:p>
        </w:tc>
        <w:tc>
          <w:tcPr>
            <w:tcW w:w="6861" w:type="dxa"/>
          </w:tcPr>
          <w:p w:rsidR="00F456BE" w:rsidRPr="00AD38E7" w:rsidRDefault="00F456BE" w:rsidP="00F456BE">
            <w:pPr>
              <w:pStyle w:val="StandFirstIntroduction"/>
              <w:rPr>
                <w:lang w:val="es-ES"/>
              </w:rPr>
            </w:pPr>
            <w:bookmarkStart w:id="4" w:name="DocumentFirstPageBody"/>
            <w:r w:rsidRPr="00AD38E7">
              <w:rPr>
                <w:lang w:val="es-ES"/>
              </w:rPr>
              <w:t>Para propiciar una relación cara a cara y un entorno de colaboración entre todos los profesionales de la caja, a finales de 2005 comenzó a gestarse el proyecto Webca</w:t>
            </w:r>
            <w:r>
              <w:rPr>
                <w:lang w:val="es-ES"/>
              </w:rPr>
              <w:t>n</w:t>
            </w:r>
            <w:r w:rsidRPr="00AD38E7">
              <w:rPr>
                <w:lang w:val="es-ES"/>
              </w:rPr>
              <w:t>, cuyo objetivo principal era mejorar la relación de conocimiento personal y, por tanto, la eficiencia y la mejo</w:t>
            </w:r>
            <w:r w:rsidRPr="00AD38E7">
              <w:rPr>
                <w:lang w:val="es-ES"/>
              </w:rPr>
              <w:softHyphen/>
              <w:t xml:space="preserve">ra de capacidades. La implantación de Microsoft Live Communications Server 2005 se inició durante el primer trimestre de 2006. En diciembre del mismo año se terminaron de instalar el hardware y el software correspondientes en los 1.700 puestos de trabajo </w:t>
            </w:r>
            <w:r>
              <w:rPr>
                <w:lang w:val="es-ES"/>
              </w:rPr>
              <w:t>de la enti</w:t>
            </w:r>
            <w:r w:rsidRPr="00AD38E7">
              <w:rPr>
                <w:lang w:val="es-ES"/>
              </w:rPr>
              <w:t>dad, incluidos los portátiles de los tra</w:t>
            </w:r>
            <w:r w:rsidRPr="00AD38E7">
              <w:rPr>
                <w:lang w:val="es-ES"/>
              </w:rPr>
              <w:softHyphen/>
              <w:t>bajadores en movilidad. Aumento del conocimiento entre los empleados, mejora de las capacidades y ahorro de costes son los principales beneficios que se derivan de la implantación en Caja Navarra de Microsoft Live Communications Server 2005.</w:t>
            </w:r>
          </w:p>
          <w:p w:rsidR="00F456BE" w:rsidRDefault="00F456BE" w:rsidP="00F456BE">
            <w:pPr>
              <w:pStyle w:val="StandFirstIntroduction"/>
              <w:rPr>
                <w:lang w:val="es-ES"/>
              </w:rPr>
            </w:pPr>
          </w:p>
          <w:bookmarkEnd w:id="4"/>
          <w:p w:rsidR="00F456BE" w:rsidRPr="00AD38E7" w:rsidRDefault="00F456BE">
            <w:pPr>
              <w:pStyle w:val="Bodycopy"/>
              <w:rPr>
                <w:lang w:val="es-ES"/>
              </w:rPr>
            </w:pPr>
          </w:p>
        </w:tc>
      </w:tr>
      <w:tr w:rsidR="00F456BE" w:rsidRPr="00AD38E7">
        <w:tblPrEx>
          <w:tblCellMar>
            <w:top w:w="0" w:type="dxa"/>
            <w:left w:w="0" w:type="dxa"/>
            <w:bottom w:w="0" w:type="dxa"/>
            <w:right w:w="0" w:type="dxa"/>
          </w:tblCellMar>
        </w:tblPrEx>
        <w:trPr>
          <w:cantSplit/>
          <w:trHeight w:hRule="exact" w:val="180"/>
        </w:trPr>
        <w:tc>
          <w:tcPr>
            <w:tcW w:w="3119" w:type="dxa"/>
          </w:tcPr>
          <w:p w:rsidR="00F456BE" w:rsidRPr="00AD38E7" w:rsidRDefault="00F456BE">
            <w:pPr>
              <w:rPr>
                <w:lang w:val="es-ES"/>
              </w:rPr>
            </w:pPr>
          </w:p>
        </w:tc>
        <w:tc>
          <w:tcPr>
            <w:tcW w:w="284" w:type="dxa"/>
            <w:tcBorders>
              <w:left w:val="nil"/>
              <w:right w:val="single" w:sz="8" w:space="0" w:color="005825"/>
            </w:tcBorders>
            <w:shd w:val="clear" w:color="auto" w:fill="auto"/>
          </w:tcPr>
          <w:p w:rsidR="00F456BE" w:rsidRPr="00AD38E7" w:rsidRDefault="00F456BE">
            <w:pPr>
              <w:rPr>
                <w:lang w:val="es-ES"/>
              </w:rPr>
            </w:pPr>
          </w:p>
        </w:tc>
        <w:tc>
          <w:tcPr>
            <w:tcW w:w="284" w:type="dxa"/>
            <w:tcBorders>
              <w:left w:val="single" w:sz="8" w:space="0" w:color="005825"/>
            </w:tcBorders>
          </w:tcPr>
          <w:p w:rsidR="00F456BE" w:rsidRPr="00AD38E7" w:rsidRDefault="00F456BE">
            <w:pPr>
              <w:rPr>
                <w:lang w:val="es-ES"/>
              </w:rPr>
            </w:pPr>
          </w:p>
        </w:tc>
        <w:tc>
          <w:tcPr>
            <w:tcW w:w="6861" w:type="dxa"/>
          </w:tcPr>
          <w:p w:rsidR="00F456BE" w:rsidRPr="00AD38E7" w:rsidRDefault="00F456BE">
            <w:pPr>
              <w:spacing w:after="80"/>
              <w:jc w:val="right"/>
              <w:rPr>
                <w:color w:val="FF9900"/>
                <w:lang w:val="es-ES"/>
              </w:rPr>
            </w:pPr>
          </w:p>
        </w:tc>
      </w:tr>
      <w:tr w:rsidR="00F456BE">
        <w:tblPrEx>
          <w:tblCellMar>
            <w:top w:w="0" w:type="dxa"/>
            <w:left w:w="0" w:type="dxa"/>
            <w:bottom w:w="0" w:type="dxa"/>
            <w:right w:w="0" w:type="dxa"/>
          </w:tblCellMar>
        </w:tblPrEx>
        <w:trPr>
          <w:cantSplit/>
          <w:trHeight w:val="1740"/>
        </w:trPr>
        <w:tc>
          <w:tcPr>
            <w:tcW w:w="3119" w:type="dxa"/>
            <w:vMerge w:val="restart"/>
            <w:vAlign w:val="bottom"/>
          </w:tcPr>
          <w:p w:rsidR="00F456BE" w:rsidRDefault="006F0148">
            <w:r>
              <w:rPr>
                <w:noProof/>
                <w:lang w:val="es-ES" w:eastAsia="es-ES"/>
              </w:rPr>
              <w:drawing>
                <wp:inline distT="0" distB="0" distL="0" distR="0">
                  <wp:extent cx="1981200" cy="787400"/>
                  <wp:effectExtent l="19050" t="0" r="0" b="0"/>
                  <wp:docPr id="3" name="Imagen 3" descr="iec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cisa"/>
                          <pic:cNvPicPr>
                            <a:picLocks noChangeAspect="1" noChangeArrowheads="1"/>
                          </pic:cNvPicPr>
                        </pic:nvPicPr>
                        <pic:blipFill>
                          <a:blip r:embed="rId7"/>
                          <a:srcRect/>
                          <a:stretch>
                            <a:fillRect/>
                          </a:stretch>
                        </pic:blipFill>
                        <pic:spPr bwMode="auto">
                          <a:xfrm>
                            <a:off x="0" y="0"/>
                            <a:ext cx="1981200" cy="787400"/>
                          </a:xfrm>
                          <a:prstGeom prst="rect">
                            <a:avLst/>
                          </a:prstGeom>
                          <a:noFill/>
                          <a:ln w="9525">
                            <a:noFill/>
                            <a:miter lim="800000"/>
                            <a:headEnd/>
                            <a:tailEnd/>
                          </a:ln>
                        </pic:spPr>
                      </pic:pic>
                    </a:graphicData>
                  </a:graphic>
                </wp:inline>
              </w:drawing>
            </w:r>
          </w:p>
        </w:tc>
        <w:tc>
          <w:tcPr>
            <w:tcW w:w="284" w:type="dxa"/>
            <w:tcBorders>
              <w:left w:val="nil"/>
              <w:right w:val="single" w:sz="8" w:space="0" w:color="005825"/>
            </w:tcBorders>
            <w:shd w:val="clear" w:color="auto" w:fill="auto"/>
          </w:tcPr>
          <w:p w:rsidR="00F456BE" w:rsidRDefault="00F456BE"/>
        </w:tc>
        <w:tc>
          <w:tcPr>
            <w:tcW w:w="284" w:type="dxa"/>
            <w:vMerge w:val="restart"/>
            <w:tcBorders>
              <w:left w:val="single" w:sz="8" w:space="0" w:color="005825"/>
            </w:tcBorders>
          </w:tcPr>
          <w:p w:rsidR="00F456BE" w:rsidRDefault="00F456BE"/>
        </w:tc>
        <w:tc>
          <w:tcPr>
            <w:tcW w:w="6861" w:type="dxa"/>
            <w:vMerge w:val="restart"/>
            <w:vAlign w:val="bottom"/>
          </w:tcPr>
          <w:p w:rsidR="00F456BE" w:rsidRPr="00D57737" w:rsidRDefault="006F0148">
            <w:pPr>
              <w:jc w:val="right"/>
              <w:rPr>
                <w:color w:val="FF9900"/>
                <w:vertAlign w:val="subscript"/>
              </w:rPr>
            </w:pPr>
            <w:r>
              <w:rPr>
                <w:noProof/>
                <w:color w:val="FF9900"/>
                <w:vertAlign w:val="subscript"/>
                <w:lang w:val="es-ES" w:eastAsia="es-ES"/>
              </w:rPr>
              <w:drawing>
                <wp:inline distT="0" distB="0" distL="0" distR="0">
                  <wp:extent cx="2190750" cy="387350"/>
                  <wp:effectExtent l="19050" t="0" r="0" b="0"/>
                  <wp:docPr id="4" name="Imagen 4" descr="LiveCommSrv_05_1_c_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veCommSrv_05_1_c_ai"/>
                          <pic:cNvPicPr>
                            <a:picLocks noChangeAspect="1" noChangeArrowheads="1"/>
                          </pic:cNvPicPr>
                        </pic:nvPicPr>
                        <pic:blipFill>
                          <a:blip r:embed="rId8"/>
                          <a:srcRect/>
                          <a:stretch>
                            <a:fillRect/>
                          </a:stretch>
                        </pic:blipFill>
                        <pic:spPr bwMode="auto">
                          <a:xfrm>
                            <a:off x="0" y="0"/>
                            <a:ext cx="2190750" cy="387350"/>
                          </a:xfrm>
                          <a:prstGeom prst="rect">
                            <a:avLst/>
                          </a:prstGeom>
                          <a:noFill/>
                          <a:ln w="9525">
                            <a:noFill/>
                            <a:miter lim="800000"/>
                            <a:headEnd/>
                            <a:tailEnd/>
                          </a:ln>
                        </pic:spPr>
                      </pic:pic>
                    </a:graphicData>
                  </a:graphic>
                </wp:inline>
              </w:drawing>
            </w:r>
          </w:p>
        </w:tc>
      </w:tr>
      <w:bookmarkEnd w:id="0"/>
      <w:tr w:rsidR="00F456BE">
        <w:tblPrEx>
          <w:tblCellMar>
            <w:top w:w="0" w:type="dxa"/>
            <w:left w:w="0" w:type="dxa"/>
            <w:bottom w:w="0" w:type="dxa"/>
            <w:right w:w="0" w:type="dxa"/>
          </w:tblCellMar>
        </w:tblPrEx>
        <w:trPr>
          <w:cantSplit/>
          <w:trHeight w:val="80"/>
        </w:trPr>
        <w:tc>
          <w:tcPr>
            <w:tcW w:w="3119" w:type="dxa"/>
            <w:vMerge/>
            <w:vAlign w:val="bottom"/>
          </w:tcPr>
          <w:p w:rsidR="00F456BE" w:rsidRDefault="00F456BE"/>
        </w:tc>
        <w:tc>
          <w:tcPr>
            <w:tcW w:w="284" w:type="dxa"/>
            <w:tcBorders>
              <w:left w:val="nil"/>
            </w:tcBorders>
          </w:tcPr>
          <w:p w:rsidR="00F456BE" w:rsidRDefault="00F456BE">
            <w:pPr>
              <w:rPr>
                <w:sz w:val="12"/>
              </w:rPr>
            </w:pPr>
          </w:p>
        </w:tc>
        <w:tc>
          <w:tcPr>
            <w:tcW w:w="284" w:type="dxa"/>
            <w:vMerge/>
            <w:tcBorders>
              <w:left w:val="nil"/>
            </w:tcBorders>
          </w:tcPr>
          <w:p w:rsidR="00F456BE" w:rsidRDefault="00F456BE"/>
        </w:tc>
        <w:tc>
          <w:tcPr>
            <w:tcW w:w="6861" w:type="dxa"/>
            <w:vMerge/>
            <w:vAlign w:val="bottom"/>
          </w:tcPr>
          <w:p w:rsidR="00F456BE" w:rsidRDefault="00F456BE">
            <w:pPr>
              <w:jc w:val="right"/>
              <w:rPr>
                <w:color w:val="FF9900"/>
              </w:rPr>
            </w:pPr>
          </w:p>
        </w:tc>
      </w:tr>
    </w:tbl>
    <w:p w:rsidR="00F456BE" w:rsidRDefault="00F456BE">
      <w:pPr>
        <w:rPr>
          <w:sz w:val="2"/>
        </w:rPr>
      </w:pPr>
    </w:p>
    <w:p w:rsidR="00F456BE" w:rsidRDefault="00F456BE">
      <w:pPr>
        <w:rPr>
          <w:sz w:val="2"/>
        </w:rPr>
        <w:sectPr w:rsidR="00F456BE">
          <w:headerReference w:type="default" r:id="rId9"/>
          <w:pgSz w:w="12242" w:h="15842" w:code="1"/>
          <w:pgMar w:top="3600" w:right="851" w:bottom="200" w:left="851" w:header="0" w:footer="300" w:gutter="0"/>
          <w:cols w:space="227"/>
          <w:docGrid w:linePitch="360"/>
        </w:sectPr>
      </w:pPr>
    </w:p>
    <w:p w:rsidR="00F456BE" w:rsidRPr="00FB54A7" w:rsidRDefault="00F456BE" w:rsidP="00F456BE">
      <w:pPr>
        <w:pStyle w:val="SectionHeading"/>
        <w:rPr>
          <w:b/>
          <w:lang w:val="es-ES"/>
        </w:rPr>
      </w:pPr>
      <w:r w:rsidRPr="00FB54A7">
        <w:rPr>
          <w:b/>
          <w:lang w:val="es-ES"/>
        </w:rPr>
        <w:lastRenderedPageBreak/>
        <w:pict>
          <v:shapetype id="_x0000_t202" coordsize="21600,21600" o:spt="202" path="m,l,21600r21600,l21600,xe">
            <v:stroke joinstyle="miter"/>
            <v:path gradientshapeok="t" o:connecttype="rect"/>
          </v:shapetype>
          <v:shape id="_x0000_s1152" type="#_x0000_t202" style="position:absolute;margin-left:42.55pt;margin-top:159.35pt;width:155.9pt;height:299.65pt;z-index:251658752;mso-position-horizontal-relative:page;mso-position-vertical-relative:page" stroked="f">
            <v:textbox style="mso-next-textbox:#_x0000_s1152"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33"/>
                  </w:tblGrid>
                  <w:tr w:rsidR="00F456BE" w:rsidRPr="00FF7F5C">
                    <w:tc>
                      <w:tcPr>
                        <w:tcW w:w="3133" w:type="dxa"/>
                        <w:tcBorders>
                          <w:top w:val="nil"/>
                          <w:left w:val="nil"/>
                          <w:bottom w:val="nil"/>
                          <w:right w:val="nil"/>
                        </w:tcBorders>
                      </w:tcPr>
                      <w:p w:rsidR="00F456BE" w:rsidRDefault="00F456BE">
                        <w:pPr>
                          <w:pStyle w:val="Pullquote"/>
                          <w:rPr>
                            <w:lang w:val="es-ES"/>
                          </w:rPr>
                        </w:pPr>
                        <w:r w:rsidRPr="00B74838">
                          <w:rPr>
                            <w:lang w:val="es-ES"/>
                          </w:rPr>
                          <w:t>“</w:t>
                        </w:r>
                        <w:r w:rsidRPr="00500756">
                          <w:rPr>
                            <w:lang w:val="es-ES"/>
                          </w:rPr>
                          <w:t>Los profesionales han asumido el cambio muy rápido y la aceptación ha sido muy alta. Casi no fue necesaria ningún tipo de formación específica porque es una solución muy intuitiva y nuestros profesionales están acos</w:t>
                        </w:r>
                        <w:r w:rsidRPr="00500756">
                          <w:rPr>
                            <w:lang w:val="es-ES"/>
                          </w:rPr>
                          <w:softHyphen/>
                          <w:t>tumbrad</w:t>
                        </w:r>
                        <w:r>
                          <w:rPr>
                            <w:lang w:val="es-ES"/>
                          </w:rPr>
                          <w:t>os al uso de estas aplica</w:t>
                        </w:r>
                        <w:r>
                          <w:rPr>
                            <w:lang w:val="es-ES"/>
                          </w:rPr>
                          <w:softHyphen/>
                          <w:t>ciones</w:t>
                        </w:r>
                        <w:r w:rsidRPr="00B74838">
                          <w:rPr>
                            <w:lang w:val="es-ES"/>
                          </w:rPr>
                          <w:t>”.</w:t>
                        </w:r>
                      </w:p>
                      <w:p w:rsidR="00F456BE" w:rsidRPr="00BB5727" w:rsidRDefault="00F456BE" w:rsidP="00F456BE">
                        <w:pPr>
                          <w:pStyle w:val="PullQuotecredit"/>
                          <w:rPr>
                            <w:lang w:val="es-ES"/>
                          </w:rPr>
                        </w:pPr>
                        <w:r w:rsidRPr="00BB5727">
                          <w:rPr>
                            <w:lang w:val="es-ES"/>
                          </w:rPr>
                          <w:t>Javier Álvaro, director de Innovación Tecnológica de Caja Navarra.</w:t>
                        </w:r>
                      </w:p>
                      <w:p w:rsidR="00F456BE" w:rsidRDefault="00F456BE">
                        <w:pPr>
                          <w:pStyle w:val="PullQuotecredit"/>
                          <w:rPr>
                            <w:lang w:val="es-ES"/>
                          </w:rPr>
                        </w:pPr>
                      </w:p>
                    </w:tc>
                  </w:tr>
                </w:tbl>
                <w:p w:rsidR="00F456BE" w:rsidRDefault="00F456BE" w:rsidP="00F456BE">
                  <w:pPr>
                    <w:pStyle w:val="PullQuotecredit"/>
                    <w:rPr>
                      <w:lang w:val="es-ES"/>
                    </w:rPr>
                  </w:pPr>
                </w:p>
              </w:txbxContent>
            </v:textbox>
            <w10:wrap anchorx="page" anchory="page"/>
            <w10:anchorlock/>
          </v:shape>
        </w:pict>
      </w:r>
      <w:r w:rsidRPr="00FB54A7">
        <w:rPr>
          <w:b/>
          <w:lang w:val="es-ES"/>
        </w:rPr>
        <w:t>Situación</w:t>
      </w:r>
    </w:p>
    <w:p w:rsidR="00F456BE" w:rsidRPr="00BB4C7F" w:rsidRDefault="00F456BE" w:rsidP="00F456BE">
      <w:pPr>
        <w:pStyle w:val="Bodycopy"/>
        <w:rPr>
          <w:noProof/>
          <w:lang w:val="es-ES" w:eastAsia="es-ES"/>
        </w:rPr>
      </w:pPr>
      <w:r w:rsidRPr="00BB4C7F">
        <w:rPr>
          <w:bCs/>
          <w:noProof/>
          <w:lang w:val="es-ES" w:eastAsia="es-ES"/>
        </w:rPr>
        <w:t>Hasta hace tres años, Caja Navarra contaba</w:t>
      </w:r>
      <w:r w:rsidRPr="00BB4C7F">
        <w:rPr>
          <w:b/>
          <w:bCs/>
          <w:noProof/>
          <w:lang w:val="es-ES" w:eastAsia="es-ES"/>
        </w:rPr>
        <w:t xml:space="preserve"> </w:t>
      </w:r>
      <w:r w:rsidRPr="00BB4C7F">
        <w:rPr>
          <w:noProof/>
          <w:lang w:val="es-ES" w:eastAsia="es-ES"/>
        </w:rPr>
        <w:t>con una red de 250 oficinas circuns</w:t>
      </w:r>
      <w:r w:rsidRPr="00BB4C7F">
        <w:rPr>
          <w:noProof/>
          <w:lang w:val="es-ES" w:eastAsia="es-ES"/>
        </w:rPr>
        <w:softHyphen/>
        <w:t xml:space="preserve">critas en su mayoría a </w:t>
      </w:r>
      <w:smartTag w:uri="urn:schemas-microsoft-com:office:smarttags" w:element="PersonName">
        <w:smartTagPr>
          <w:attr w:name="ProductID" w:val="la Comunidad Foral."/>
        </w:smartTagPr>
        <w:r w:rsidRPr="00BB4C7F">
          <w:rPr>
            <w:noProof/>
            <w:lang w:val="es-ES" w:eastAsia="es-ES"/>
          </w:rPr>
          <w:t>la Comunidad Foral.</w:t>
        </w:r>
      </w:smartTag>
      <w:r w:rsidRPr="00BB4C7F">
        <w:rPr>
          <w:noProof/>
          <w:lang w:val="es-ES" w:eastAsia="es-ES"/>
        </w:rPr>
        <w:t xml:space="preserve"> Justo por esas fechas, la enti</w:t>
      </w:r>
      <w:r w:rsidRPr="00BB4C7F">
        <w:rPr>
          <w:noProof/>
          <w:lang w:val="es-ES" w:eastAsia="es-ES"/>
        </w:rPr>
        <w:softHyphen/>
        <w:t>dad puso en marcha un ambicioso plan trienal de expansión con la apertura de 150 oficinas por todo el territorio nacional. Como consecuen</w:t>
      </w:r>
      <w:r w:rsidRPr="00BB4C7F">
        <w:rPr>
          <w:noProof/>
          <w:lang w:val="es-ES" w:eastAsia="es-ES"/>
        </w:rPr>
        <w:softHyphen/>
        <w:t>cia, la entidad experimentó un fuerte crecimiento con la entrada de un importante número de profesionales cualificados. “Los nuevos profesiona</w:t>
      </w:r>
      <w:r w:rsidRPr="00BB4C7F">
        <w:rPr>
          <w:noProof/>
          <w:lang w:val="es-ES" w:eastAsia="es-ES"/>
        </w:rPr>
        <w:softHyphen/>
        <w:t>les que se han incorporado recien</w:t>
      </w:r>
      <w:r w:rsidRPr="00BB4C7F">
        <w:rPr>
          <w:noProof/>
          <w:lang w:val="es-ES" w:eastAsia="es-ES"/>
        </w:rPr>
        <w:softHyphen/>
        <w:t>temente no conocen personalmente a la mayoría de sus compañeros, fundamentalmente por la dispersión geográfica de las oficinas, lo que puede suponer una mayor dificultad para relacionarse profesionalmen</w:t>
      </w:r>
      <w:r w:rsidRPr="00BB4C7F">
        <w:rPr>
          <w:noProof/>
          <w:lang w:val="es-ES" w:eastAsia="es-ES"/>
        </w:rPr>
        <w:softHyphen/>
        <w:t>te”, explica Laura Urquizu, direc</w:t>
      </w:r>
      <w:r w:rsidRPr="00BB4C7F">
        <w:rPr>
          <w:noProof/>
          <w:lang w:val="es-ES" w:eastAsia="es-ES"/>
        </w:rPr>
        <w:softHyphen/>
        <w:t>tora de Organización, Tecnología e Inmovilizado y subdirectora general adjunta de Caja Navarra.</w:t>
      </w:r>
    </w:p>
    <w:p w:rsidR="00F456BE" w:rsidRPr="00BB4C7F" w:rsidRDefault="00F456BE" w:rsidP="00F456BE">
      <w:pPr>
        <w:pStyle w:val="Bodycopy"/>
        <w:rPr>
          <w:noProof/>
          <w:lang w:val="es-ES" w:eastAsia="es-ES"/>
        </w:rPr>
      </w:pPr>
    </w:p>
    <w:p w:rsidR="00F456BE" w:rsidRPr="00BB4C7F" w:rsidRDefault="00F456BE" w:rsidP="00F456BE">
      <w:pPr>
        <w:pStyle w:val="Bodycopy"/>
        <w:rPr>
          <w:noProof/>
          <w:lang w:val="es-ES" w:eastAsia="es-ES"/>
        </w:rPr>
      </w:pPr>
      <w:r w:rsidRPr="00BB4C7F">
        <w:rPr>
          <w:noProof/>
          <w:lang w:val="es-ES" w:eastAsia="es-ES"/>
        </w:rPr>
        <w:t>Para propiciar una relación cara a cara y un entorno de colaboración entre todos los profesionales de la caja, a finales de 2005 comenzó a gestarse el proyecto Webcan, cuyo objetivo principal era mejorar la relación de conocimiento personal y, por tanto, la eficiencia y la mejo</w:t>
      </w:r>
      <w:r w:rsidRPr="00BB4C7F">
        <w:rPr>
          <w:noProof/>
          <w:lang w:val="es-ES" w:eastAsia="es-ES"/>
        </w:rPr>
        <w:softHyphen/>
        <w:t>ra de capacidades. “Vimos que la tecnología dispone de medios para procurar un entorno de trabajo colaborativo, como las videocon</w:t>
      </w:r>
      <w:r w:rsidRPr="00BB4C7F">
        <w:rPr>
          <w:noProof/>
          <w:lang w:val="es-ES" w:eastAsia="es-ES"/>
        </w:rPr>
        <w:softHyphen/>
        <w:t>ferencias entre empleados o la mensajería instantánea. Pero tam</w:t>
      </w:r>
      <w:r w:rsidRPr="00BB4C7F">
        <w:rPr>
          <w:noProof/>
          <w:lang w:val="es-ES" w:eastAsia="es-ES"/>
        </w:rPr>
        <w:softHyphen/>
        <w:t>bién hay funcionalidades adicio</w:t>
      </w:r>
      <w:r w:rsidRPr="00BB4C7F">
        <w:rPr>
          <w:noProof/>
          <w:lang w:val="es-ES" w:eastAsia="es-ES"/>
        </w:rPr>
        <w:softHyphen/>
        <w:t>nales muy interesantes como el uso compartido de aplicaciones y documentos”, señala Javier Álvaro, director de Innovación Tecnológica de Caja Navarra.</w:t>
      </w:r>
    </w:p>
    <w:p w:rsidR="00F456BE" w:rsidRPr="00BB4C7F" w:rsidRDefault="00F456BE" w:rsidP="00F456BE">
      <w:pPr>
        <w:pStyle w:val="Bodycopy"/>
        <w:rPr>
          <w:noProof/>
          <w:lang w:val="es-ES" w:eastAsia="es-ES"/>
        </w:rPr>
      </w:pPr>
    </w:p>
    <w:p w:rsidR="00F456BE" w:rsidRPr="00BB4C7F" w:rsidRDefault="00F456BE" w:rsidP="00F456BE">
      <w:pPr>
        <w:pStyle w:val="Bodycopy"/>
        <w:rPr>
          <w:noProof/>
          <w:lang w:val="es-ES" w:eastAsia="es-ES"/>
        </w:rPr>
      </w:pPr>
      <w:r w:rsidRPr="00BB4C7F">
        <w:rPr>
          <w:noProof/>
          <w:lang w:val="es-ES" w:eastAsia="es-ES"/>
        </w:rPr>
        <w:t>El proyecto Webcan, que se desarro</w:t>
      </w:r>
      <w:r w:rsidRPr="00BB4C7F">
        <w:rPr>
          <w:noProof/>
          <w:lang w:val="es-ES" w:eastAsia="es-ES"/>
        </w:rPr>
        <w:softHyphen/>
        <w:t>lló a lo largo de todo 2006, se reali</w:t>
      </w:r>
      <w:r w:rsidRPr="00BB4C7F">
        <w:rPr>
          <w:noProof/>
          <w:lang w:val="es-ES" w:eastAsia="es-ES"/>
        </w:rPr>
        <w:softHyphen/>
        <w:t>zó dentro del marco del plan estra</w:t>
      </w:r>
      <w:r w:rsidRPr="00BB4C7F">
        <w:rPr>
          <w:noProof/>
          <w:lang w:val="es-ES" w:eastAsia="es-ES"/>
        </w:rPr>
        <w:softHyphen/>
        <w:t xml:space="preserve">tégico de Caja Navarra, en el que la inversión en innovación </w:t>
      </w:r>
      <w:r w:rsidRPr="00BB4C7F">
        <w:rPr>
          <w:noProof/>
          <w:lang w:val="es-ES" w:eastAsia="es-ES"/>
        </w:rPr>
        <w:lastRenderedPageBreak/>
        <w:t>tecnológica ocupa un lugar muy importante. “El conocimiento entre nosotros mejora las capacidades y resulta una fór</w:t>
      </w:r>
      <w:r w:rsidRPr="00BB4C7F">
        <w:rPr>
          <w:noProof/>
          <w:lang w:val="es-ES" w:eastAsia="es-ES"/>
        </w:rPr>
        <w:softHyphen/>
        <w:t>mula de trabajo más eficaz y eficien</w:t>
      </w:r>
      <w:r w:rsidRPr="00BB4C7F">
        <w:rPr>
          <w:noProof/>
          <w:lang w:val="es-ES" w:eastAsia="es-ES"/>
        </w:rPr>
        <w:softHyphen/>
        <w:t>te”, dice Urquizu. “El Plan Cantera —plan estratégico de la entidad para el periodo comprendido entre 2007 y 2010— incluye el despliegue de las oficinas Canchas, muy diferentes a las oficinas bancarias convenciona</w:t>
      </w:r>
      <w:r w:rsidRPr="00BB4C7F">
        <w:rPr>
          <w:noProof/>
          <w:lang w:val="es-ES" w:eastAsia="es-ES"/>
        </w:rPr>
        <w:softHyphen/>
        <w:t>les y además muy dotadas tecnoló</w:t>
      </w:r>
      <w:r w:rsidRPr="00BB4C7F">
        <w:rPr>
          <w:noProof/>
          <w:lang w:val="es-ES" w:eastAsia="es-ES"/>
        </w:rPr>
        <w:softHyphen/>
        <w:t>gicamente, en las que herramientas como la videoconferencia o Messen</w:t>
      </w:r>
      <w:r w:rsidRPr="00BB4C7F">
        <w:rPr>
          <w:noProof/>
          <w:lang w:val="es-ES" w:eastAsia="es-ES"/>
        </w:rPr>
        <w:softHyphen/>
        <w:t>ger resultan muy útiles”, añade.</w:t>
      </w:r>
    </w:p>
    <w:p w:rsidR="00F456BE" w:rsidRPr="000507A8" w:rsidRDefault="00F456BE" w:rsidP="00F456BE">
      <w:pPr>
        <w:pStyle w:val="Bodycopy"/>
        <w:rPr>
          <w:lang w:val="es-ES"/>
        </w:rPr>
      </w:pPr>
    </w:p>
    <w:p w:rsidR="00F456BE" w:rsidRPr="00612354" w:rsidRDefault="00F456BE" w:rsidP="00F456BE">
      <w:pPr>
        <w:pStyle w:val="SectionHeading"/>
        <w:rPr>
          <w:b/>
          <w:lang w:val="es-ES"/>
        </w:rPr>
      </w:pPr>
      <w:r w:rsidRPr="00612354">
        <w:rPr>
          <w:b/>
          <w:lang w:val="es-ES"/>
        </w:rPr>
        <w:t>Solución</w:t>
      </w:r>
    </w:p>
    <w:p w:rsidR="00F456BE" w:rsidRPr="009A2461" w:rsidRDefault="00F456BE" w:rsidP="00F456BE">
      <w:pPr>
        <w:pStyle w:val="Bodycopy"/>
        <w:rPr>
          <w:lang w:val="es-ES"/>
        </w:rPr>
      </w:pPr>
      <w:r w:rsidRPr="009A2461">
        <w:rPr>
          <w:lang w:val="es-ES"/>
        </w:rPr>
        <w:t>Después de estudiar a varios proveedores y analizar las solu</w:t>
      </w:r>
      <w:r w:rsidRPr="009A2461">
        <w:rPr>
          <w:lang w:val="es-ES"/>
        </w:rPr>
        <w:softHyphen/>
        <w:t>ciones existentes en el merca</w:t>
      </w:r>
      <w:r w:rsidRPr="009A2461">
        <w:rPr>
          <w:lang w:val="es-ES"/>
        </w:rPr>
        <w:softHyphen/>
        <w:t>do, la entidad financiera optó por Informática El Corte Inglés (IECISA) como integrador de solu</w:t>
      </w:r>
      <w:r w:rsidRPr="009A2461">
        <w:rPr>
          <w:lang w:val="es-ES"/>
        </w:rPr>
        <w:softHyphen/>
        <w:t>ciones y la tecnología Microsoft Live Communications Server 2005 para alcanzar el objetivo marcado y proporcionar funcionalidades adicionales. “Era la aplicación que mejor se integraba con la infraes</w:t>
      </w:r>
      <w:r w:rsidRPr="009A2461">
        <w:rPr>
          <w:lang w:val="es-ES"/>
        </w:rPr>
        <w:softHyphen/>
        <w:t>tructura de Caja Navarra. Resulta ser la menos intrusiva y la que mejor se adaptaba al funciona</w:t>
      </w:r>
      <w:r w:rsidRPr="009A2461">
        <w:rPr>
          <w:lang w:val="es-ES"/>
        </w:rPr>
        <w:softHyphen/>
        <w:t>miento al que están acostumbra</w:t>
      </w:r>
      <w:r w:rsidRPr="009A2461">
        <w:rPr>
          <w:lang w:val="es-ES"/>
        </w:rPr>
        <w:softHyphen/>
        <w:t>dos nuestros empleados”, afirma la directora de Organización, Tecnología e Inmovilizado de Caja Navarra. “Los profesionales han asumido el cambio muy rápido y la aceptación ha sido muy alta. Casi no fue necesaria ningún tipo de formación específica porque es una solución muy intuitiva y nuestros profesionales están acos</w:t>
      </w:r>
      <w:r w:rsidRPr="009A2461">
        <w:rPr>
          <w:lang w:val="es-ES"/>
        </w:rPr>
        <w:softHyphen/>
        <w:t>tumbrados al uso de estas aplica</w:t>
      </w:r>
      <w:r w:rsidRPr="009A2461">
        <w:rPr>
          <w:lang w:val="es-ES"/>
        </w:rPr>
        <w:softHyphen/>
        <w:t xml:space="preserve">ciones”, apunta Javier Álvaro. </w:t>
      </w:r>
    </w:p>
    <w:p w:rsidR="00F456BE" w:rsidRPr="009A2461" w:rsidRDefault="00F456BE" w:rsidP="00F456BE">
      <w:pPr>
        <w:pStyle w:val="Bodycopy"/>
        <w:rPr>
          <w:lang w:val="es-ES"/>
        </w:rPr>
      </w:pPr>
    </w:p>
    <w:p w:rsidR="00F456BE" w:rsidRPr="009A2461" w:rsidRDefault="00F456BE" w:rsidP="00F456BE">
      <w:pPr>
        <w:pStyle w:val="Bodycopy"/>
        <w:rPr>
          <w:lang w:val="es-ES"/>
        </w:rPr>
      </w:pPr>
      <w:r w:rsidRPr="009A2461">
        <w:rPr>
          <w:lang w:val="es-ES"/>
        </w:rPr>
        <w:t xml:space="preserve">La implantación de Microsoft Live Communications Server 2005 se inició durante el primer trimestre de 2006. En diciembre del mismo año se terminó de instalar el hardware y el software correspondientes en los 1.700 puestos de </w:t>
      </w:r>
      <w:r w:rsidRPr="009A2461">
        <w:rPr>
          <w:lang w:val="es-ES"/>
        </w:rPr>
        <w:lastRenderedPageBreak/>
        <w:t>trabajo del Grupo, incluidos los portátiles de los tra</w:t>
      </w:r>
      <w:r w:rsidRPr="009A2461">
        <w:rPr>
          <w:lang w:val="es-ES"/>
        </w:rPr>
        <w:softHyphen/>
        <w:t>bajadores en movilidad. “En una primera fase se llevó a cabo la integración de la nueva platafor</w:t>
      </w:r>
      <w:r w:rsidRPr="009A2461">
        <w:rPr>
          <w:lang w:val="es-ES"/>
        </w:rPr>
        <w:softHyphen/>
        <w:t>ma con el directorio activo que teníamos instalado hasta enton</w:t>
      </w:r>
      <w:r w:rsidRPr="009A2461">
        <w:rPr>
          <w:lang w:val="es-ES"/>
        </w:rPr>
        <w:softHyphen/>
        <w:t>ces. El hecho de que se basara en Microsoft ha facilitado la rapidez en la integración”, dice Álvaro. Paralelamente, se realizó el des</w:t>
      </w:r>
      <w:r w:rsidRPr="009A2461">
        <w:rPr>
          <w:lang w:val="es-ES"/>
        </w:rPr>
        <w:softHyphen/>
        <w:t>pliegue de infraestructuras de hardware y software a todos los puestos de trabajo: “Había que dotarles de cámaras para estable</w:t>
      </w:r>
      <w:r w:rsidRPr="009A2461">
        <w:rPr>
          <w:lang w:val="es-ES"/>
        </w:rPr>
        <w:softHyphen/>
        <w:t>cer videoconferencias y hubo que distribuir e instalar para cada empleado el programa Microsoft Office Communicator”, añade.</w:t>
      </w:r>
    </w:p>
    <w:p w:rsidR="00F456BE" w:rsidRPr="009A2461" w:rsidRDefault="00F456BE" w:rsidP="00F456BE">
      <w:pPr>
        <w:pStyle w:val="Bodycopy"/>
        <w:rPr>
          <w:lang w:val="es-ES"/>
        </w:rPr>
      </w:pPr>
    </w:p>
    <w:p w:rsidR="00F456BE" w:rsidRPr="009A2461" w:rsidRDefault="00F456BE" w:rsidP="00F456BE">
      <w:pPr>
        <w:pStyle w:val="Bodycopy"/>
        <w:rPr>
          <w:lang w:val="es-ES"/>
        </w:rPr>
      </w:pPr>
      <w:r w:rsidRPr="009A2461">
        <w:rPr>
          <w:lang w:val="es-ES"/>
        </w:rPr>
        <w:t>Actualmente, el proyecto se encuen</w:t>
      </w:r>
      <w:r w:rsidRPr="009A2461">
        <w:rPr>
          <w:lang w:val="es-ES"/>
        </w:rPr>
        <w:softHyphen/>
        <w:t>tra en su fase final, que consiste en realizar la integración con una nueva versión de Outlook, que les ofrecerá mayores funcionalidades y facilidad de uso de cara a los profesionales. “Lo que hemos hecho es integrar esta solución dentro del puesto de trabajo estándar que tenemos en Caja Navarra. En una segunda fase, el objetivo era garantizar a todas las ofi</w:t>
      </w:r>
      <w:r w:rsidRPr="009A2461">
        <w:rPr>
          <w:lang w:val="es-ES"/>
        </w:rPr>
        <w:softHyphen/>
        <w:t xml:space="preserve">cinas comerciales el ancho de banda necesario, con velocidades de </w:t>
      </w:r>
      <w:smartTag w:uri="urn:schemas-microsoft-com:office:smarttags" w:element="metricconverter">
        <w:smartTagPr>
          <w:attr w:name="ProductID" w:val="2 a"/>
        </w:smartTagPr>
        <w:r w:rsidRPr="009A2461">
          <w:rPr>
            <w:lang w:val="es-ES"/>
          </w:rPr>
          <w:t>2 a</w:t>
        </w:r>
      </w:smartTag>
      <w:r w:rsidRPr="009A2461">
        <w:rPr>
          <w:lang w:val="es-ES"/>
        </w:rPr>
        <w:t xml:space="preserve"> 10 Mb, para que no se vieran afectadas las aplicaciones de negocio”, resume el director de Innovación Tecnológica de Caja Navarra.</w:t>
      </w:r>
    </w:p>
    <w:p w:rsidR="00F456BE" w:rsidRPr="009A2461" w:rsidRDefault="00F456BE" w:rsidP="00F456BE">
      <w:pPr>
        <w:pStyle w:val="Bodycopy"/>
        <w:rPr>
          <w:lang w:val="es-ES"/>
        </w:rPr>
      </w:pPr>
    </w:p>
    <w:p w:rsidR="00F456BE" w:rsidRPr="009A2461" w:rsidRDefault="00F456BE" w:rsidP="00F456BE">
      <w:pPr>
        <w:pStyle w:val="Bodycopy"/>
        <w:rPr>
          <w:lang w:val="es-ES"/>
        </w:rPr>
      </w:pPr>
      <w:r w:rsidRPr="009A2461">
        <w:rPr>
          <w:lang w:val="es-ES"/>
        </w:rPr>
        <w:t>La utilización del nuevo sistema entre oficinas se incrementa semana a semana y ya asciende a una media de 600 contactos diarios. Entre ellos, unas cien conexiones corresponden a videocon</w:t>
      </w:r>
      <w:r w:rsidRPr="009A2461">
        <w:rPr>
          <w:lang w:val="es-ES"/>
        </w:rPr>
        <w:softHyphen/>
        <w:t>ferencias: el resto son contactos a través de Messenger. El proyecto de implantación de Microsoft Live Communications también facilita la conciliación entre vida laboral y familiar en Caja Navarra. “Estamos posibilitando que de</w:t>
      </w:r>
      <w:r w:rsidRPr="009A2461">
        <w:rPr>
          <w:lang w:val="es-ES"/>
        </w:rPr>
        <w:softHyphen/>
        <w:t xml:space="preserve">terminados profesionales que lo deseen se </w:t>
      </w:r>
      <w:r w:rsidRPr="009A2461">
        <w:rPr>
          <w:lang w:val="es-ES"/>
        </w:rPr>
        <w:lastRenderedPageBreak/>
        <w:t>co</w:t>
      </w:r>
      <w:r w:rsidRPr="009A2461">
        <w:rPr>
          <w:lang w:val="es-ES"/>
        </w:rPr>
        <w:softHyphen/>
        <w:t>necten desde casa, si disponen de una cámara, como si estuvieran en la oficina”, explica Laura Urquizu. Caja Navarra puede presumir de ser la única entidad financiera que ha llevado a cabo un despliegue tan amplio (1.700 puestos), que abarca todos los puestos de los profesiona</w:t>
      </w:r>
      <w:r w:rsidRPr="009A2461">
        <w:rPr>
          <w:lang w:val="es-ES"/>
        </w:rPr>
        <w:softHyphen/>
        <w:t>les de trabajo, incluso en aquellos que utilizan portátiles para el desempeño de su trabajo.</w:t>
      </w:r>
    </w:p>
    <w:p w:rsidR="00F456BE" w:rsidRPr="000507A8" w:rsidRDefault="00F456BE" w:rsidP="00F456BE">
      <w:pPr>
        <w:pStyle w:val="Bodycopy"/>
        <w:rPr>
          <w:b/>
          <w:lang w:val="es-ES"/>
        </w:rPr>
      </w:pPr>
    </w:p>
    <w:p w:rsidR="00F456BE" w:rsidRDefault="00F456BE" w:rsidP="00F456BE">
      <w:pPr>
        <w:pStyle w:val="SectionHeading"/>
        <w:rPr>
          <w:b/>
          <w:lang w:val="es-ES"/>
        </w:rPr>
      </w:pPr>
    </w:p>
    <w:p w:rsidR="00F456BE" w:rsidRDefault="00F456BE" w:rsidP="00F456BE">
      <w:pPr>
        <w:pStyle w:val="SectionHeading"/>
        <w:rPr>
          <w:b/>
          <w:lang w:val="es-ES"/>
        </w:rPr>
      </w:pPr>
    </w:p>
    <w:p w:rsidR="00F456BE" w:rsidRPr="00CE445C" w:rsidRDefault="00F456BE" w:rsidP="00F456BE">
      <w:pPr>
        <w:pStyle w:val="SectionHeading"/>
        <w:rPr>
          <w:b/>
          <w:lang w:val="es-ES"/>
        </w:rPr>
      </w:pPr>
      <w:r w:rsidRPr="00CE445C">
        <w:rPr>
          <w:b/>
          <w:lang w:val="es-ES"/>
        </w:rPr>
        <w:t>Beneficios</w:t>
      </w:r>
    </w:p>
    <w:p w:rsidR="00F456BE" w:rsidRPr="002B0C29" w:rsidRDefault="00F456BE" w:rsidP="00F456BE">
      <w:pPr>
        <w:pStyle w:val="Bodycopy"/>
        <w:rPr>
          <w:lang w:val="es-ES"/>
        </w:rPr>
      </w:pPr>
      <w:bookmarkStart w:id="7" w:name="DocumentBenefits"/>
      <w:r w:rsidRPr="002B0C29">
        <w:rPr>
          <w:b/>
          <w:lang w:val="es-ES"/>
        </w:rPr>
        <w:t xml:space="preserve">Mayor eficiencia y ahorro de costes. </w:t>
      </w:r>
      <w:r w:rsidRPr="002B0C29">
        <w:rPr>
          <w:lang w:val="es-ES"/>
        </w:rPr>
        <w:t>El principal objetivo del proyecto Webca</w:t>
      </w:r>
      <w:r>
        <w:rPr>
          <w:lang w:val="es-ES"/>
        </w:rPr>
        <w:t>n</w:t>
      </w:r>
      <w:r w:rsidRPr="002B0C29">
        <w:rPr>
          <w:lang w:val="es-ES"/>
        </w:rPr>
        <w:t xml:space="preserve">, que en un principio se denominó </w:t>
      </w:r>
      <w:r w:rsidRPr="002B0C29">
        <w:rPr>
          <w:i/>
          <w:lang w:val="es-ES"/>
        </w:rPr>
        <w:t>Mírame a los ojos,</w:t>
      </w:r>
      <w:r w:rsidRPr="002B0C29">
        <w:rPr>
          <w:lang w:val="es-ES"/>
        </w:rPr>
        <w:t xml:space="preserve"> era faci</w:t>
      </w:r>
      <w:r w:rsidRPr="002B0C29">
        <w:rPr>
          <w:lang w:val="es-ES"/>
        </w:rPr>
        <w:softHyphen/>
        <w:t>litar esa relación personal de cono</w:t>
      </w:r>
      <w:r w:rsidRPr="002B0C29">
        <w:rPr>
          <w:lang w:val="es-ES"/>
        </w:rPr>
        <w:softHyphen/>
        <w:t>cimiento y de entorno colaborativo. “No se buscaba la eficiencia como objetivo primordial del proyecto, pero hemos visto que es un bene</w:t>
      </w:r>
      <w:r w:rsidRPr="002B0C29">
        <w:rPr>
          <w:lang w:val="es-ES"/>
        </w:rPr>
        <w:softHyphen/>
        <w:t>ficio claro”, afirma Urquizu. Javier Álvaro resalta la importancia de que los empleados se pudieran cono</w:t>
      </w:r>
      <w:r w:rsidRPr="002B0C29">
        <w:rPr>
          <w:lang w:val="es-ES"/>
        </w:rPr>
        <w:softHyphen/>
        <w:t>cer visualmente: “Poner cara, ojos y sentimientos a la comunicación tradicional es vital. Además, hemos conseguido una mayor eficiencia y ahorro de costes al evitar desplaza</w:t>
      </w:r>
      <w:r w:rsidRPr="002B0C29">
        <w:rPr>
          <w:lang w:val="es-ES"/>
        </w:rPr>
        <w:softHyphen/>
        <w:t>mientos y esperas innecesarias”.</w:t>
      </w:r>
    </w:p>
    <w:p w:rsidR="00F456BE" w:rsidRPr="002B0C29" w:rsidRDefault="00F456BE" w:rsidP="00F456BE">
      <w:pPr>
        <w:pStyle w:val="Bodycopy"/>
        <w:rPr>
          <w:lang w:val="es-ES"/>
        </w:rPr>
      </w:pPr>
    </w:p>
    <w:p w:rsidR="00F456BE" w:rsidRPr="002B0C29" w:rsidRDefault="00F456BE" w:rsidP="00F456BE">
      <w:pPr>
        <w:pStyle w:val="Bodycopy"/>
        <w:rPr>
          <w:lang w:val="es-ES"/>
        </w:rPr>
      </w:pPr>
      <w:r w:rsidRPr="002B0C29">
        <w:rPr>
          <w:b/>
          <w:lang w:val="es-ES"/>
        </w:rPr>
        <w:t xml:space="preserve">Mejora en la relación directa con el cliente. </w:t>
      </w:r>
      <w:r w:rsidRPr="002B0C29">
        <w:rPr>
          <w:lang w:val="es-ES"/>
        </w:rPr>
        <w:t>El próximo paso de Caja Navarra, todavía en fase de conceptualización, es extender una forma nueva de tra</w:t>
      </w:r>
      <w:r w:rsidRPr="002B0C29">
        <w:rPr>
          <w:lang w:val="es-ES"/>
        </w:rPr>
        <w:softHyphen/>
        <w:t>bajar a sus clientes. “Estamos inmer</w:t>
      </w:r>
      <w:r w:rsidRPr="002B0C29">
        <w:rPr>
          <w:lang w:val="es-ES"/>
        </w:rPr>
        <w:softHyphen/>
        <w:t>sos en un cambio organizativo muy importante. Los servicios que tradi</w:t>
      </w:r>
      <w:r w:rsidRPr="002B0C29">
        <w:rPr>
          <w:lang w:val="es-ES"/>
        </w:rPr>
        <w:softHyphen/>
        <w:t>cionalmente se llamaban centrales se están transformando en servicios al cliente, de manera que se atiende al cliente final, no a la oficina. En este sentido, el proyecto Webcan contri</w:t>
      </w:r>
      <w:r w:rsidRPr="002B0C29">
        <w:rPr>
          <w:lang w:val="es-ES"/>
        </w:rPr>
        <w:softHyphen/>
        <w:t>buirá a favorecer la relación directa con el cliente”, dice Urquizu.</w:t>
      </w:r>
    </w:p>
    <w:p w:rsidR="00F456BE" w:rsidRPr="002B0C29" w:rsidRDefault="00F456BE" w:rsidP="00F456BE">
      <w:pPr>
        <w:pStyle w:val="Bodycopy"/>
        <w:rPr>
          <w:lang w:val="es-ES"/>
        </w:rPr>
      </w:pPr>
    </w:p>
    <w:p w:rsidR="00F456BE" w:rsidRPr="002B0C29" w:rsidRDefault="00F456BE" w:rsidP="00F456BE">
      <w:pPr>
        <w:pStyle w:val="Bodycopy"/>
        <w:rPr>
          <w:b/>
          <w:lang w:val="es-ES"/>
        </w:rPr>
      </w:pPr>
      <w:r w:rsidRPr="002B0C29">
        <w:rPr>
          <w:b/>
          <w:lang w:val="es-ES"/>
        </w:rPr>
        <w:lastRenderedPageBreak/>
        <w:t xml:space="preserve">Mayor transparencia y proximidad. </w:t>
      </w:r>
      <w:r w:rsidRPr="002B0C29">
        <w:rPr>
          <w:lang w:val="es-ES"/>
        </w:rPr>
        <w:t>“Hacemos banca cívica con la práctica de una serie de valores que hemos expresado a los clientes: transparencia y proximidad. En este sentido, queremos llegar a ellos, que sientan que somos trans</w:t>
      </w:r>
      <w:r w:rsidRPr="002B0C29">
        <w:rPr>
          <w:lang w:val="es-ES"/>
        </w:rPr>
        <w:softHyphen/>
        <w:t>parentes y que nos ocupamos del cliente. Entendemos que este pro</w:t>
      </w:r>
      <w:r w:rsidRPr="002B0C29">
        <w:rPr>
          <w:lang w:val="es-ES"/>
        </w:rPr>
        <w:softHyphen/>
        <w:t>yecto también se alinea totalmente con este objetivo”, concluye la direc</w:t>
      </w:r>
      <w:r w:rsidRPr="002B0C29">
        <w:rPr>
          <w:lang w:val="es-ES"/>
        </w:rPr>
        <w:softHyphen/>
        <w:t>tora de Organización, Tecnología e Inmovilizado de Caja Navarra</w:t>
      </w:r>
      <w:r w:rsidRPr="002B0C29">
        <w:rPr>
          <w:b/>
          <w:lang w:val="es-ES"/>
        </w:rPr>
        <w:t xml:space="preserve">. </w:t>
      </w:r>
    </w:p>
    <w:bookmarkEnd w:id="7"/>
    <w:p w:rsidR="00F456BE" w:rsidRPr="00DE66C6" w:rsidRDefault="00F456BE">
      <w:pPr>
        <w:pStyle w:val="SectionHeading"/>
        <w:rPr>
          <w:noProof/>
          <w:sz w:val="20"/>
          <w:lang w:val="es-ES"/>
        </w:rPr>
      </w:pPr>
      <w:r w:rsidRPr="00612354">
        <w:rPr>
          <w:b/>
          <w:lang w:val="es-ES"/>
        </w:rPr>
        <w:br w:type="column"/>
      </w:r>
      <w:bookmarkStart w:id="8" w:name="ProductBoilerplateTitle"/>
      <w:r>
        <w:rPr>
          <w:noProof/>
          <w:sz w:val="20"/>
        </w:rPr>
        <w:lastRenderedPageBreak/>
        <w:pict>
          <v:shape id="_x0000_s1126" type="#_x0000_t202" style="position:absolute;margin-left:225pt;margin-top:610pt;width:348.3pt;height:92pt;z-index:251657728;mso-position-horizontal-relative:page;mso-position-vertical-relative:page" fillcolor="#ccc" stroked="f">
            <v:textbox style="mso-next-textbox:#_x0000_s1126" inset="0,0,0,0">
              <w:txbxContent>
                <w:tbl>
                  <w:tblPr>
                    <w:tblW w:w="0" w:type="auto"/>
                    <w:tblInd w:w="156" w:type="dxa"/>
                    <w:tblCellMar>
                      <w:left w:w="0" w:type="dxa"/>
                      <w:right w:w="120" w:type="dxa"/>
                    </w:tblCellMar>
                    <w:tblLook w:val="0000"/>
                  </w:tblPr>
                  <w:tblGrid>
                    <w:gridCol w:w="3302"/>
                    <w:gridCol w:w="3390"/>
                  </w:tblGrid>
                  <w:tr w:rsidR="00F456BE">
                    <w:tblPrEx>
                      <w:tblCellMar>
                        <w:top w:w="0" w:type="dxa"/>
                        <w:left w:w="0" w:type="dxa"/>
                        <w:bottom w:w="0" w:type="dxa"/>
                      </w:tblCellMar>
                    </w:tblPrEx>
                    <w:trPr>
                      <w:cantSplit/>
                      <w:trHeight w:hRule="exact" w:val="170"/>
                    </w:trPr>
                    <w:tc>
                      <w:tcPr>
                        <w:tcW w:w="6692" w:type="dxa"/>
                        <w:gridSpan w:val="2"/>
                      </w:tcPr>
                      <w:p w:rsidR="00F456BE" w:rsidRDefault="00F456BE">
                        <w:pPr>
                          <w:pStyle w:val="SectionHeadingGrey"/>
                        </w:pPr>
                        <w:bookmarkStart w:id="9" w:name="Softwareandservicestable"/>
                        <w:bookmarkEnd w:id="9"/>
                      </w:p>
                    </w:tc>
                  </w:tr>
                  <w:tr w:rsidR="00F456BE">
                    <w:tblPrEx>
                      <w:tblCellMar>
                        <w:top w:w="0" w:type="dxa"/>
                        <w:left w:w="0" w:type="dxa"/>
                        <w:bottom w:w="0" w:type="dxa"/>
                      </w:tblCellMar>
                    </w:tblPrEx>
                    <w:trPr>
                      <w:trHeight w:val="3846"/>
                    </w:trPr>
                    <w:tc>
                      <w:tcPr>
                        <w:tcW w:w="3302" w:type="dxa"/>
                      </w:tcPr>
                      <w:p w:rsidR="00F456BE" w:rsidRDefault="00F456BE" w:rsidP="00F456BE">
                        <w:pPr>
                          <w:pStyle w:val="SectionHeadingGrey"/>
                        </w:pPr>
                        <w:bookmarkStart w:id="10" w:name="SoftwareandServices1"/>
                        <w:bookmarkEnd w:id="10"/>
                        <w:r>
                          <w:t xml:space="preserve">Software y </w:t>
                        </w:r>
                        <w:r w:rsidRPr="00DE66C6">
                          <w:rPr>
                            <w:lang w:val="es-ES"/>
                          </w:rPr>
                          <w:t>Servicios</w:t>
                        </w:r>
                      </w:p>
                      <w:p w:rsidR="00F456BE" w:rsidRPr="00DE66C6" w:rsidRDefault="00F456BE" w:rsidP="00F456BE">
                        <w:pPr>
                          <w:pStyle w:val="BulletGrey"/>
                          <w:rPr>
                            <w:lang w:val="es-ES"/>
                          </w:rPr>
                        </w:pPr>
                        <w:r w:rsidRPr="00DE66C6">
                          <w:rPr>
                            <w:lang w:val="es-ES"/>
                          </w:rPr>
                          <w:t>Productos</w:t>
                        </w:r>
                      </w:p>
                      <w:p w:rsidR="00F456BE" w:rsidRDefault="00F456BE" w:rsidP="00F456BE">
                        <w:pPr>
                          <w:numPr>
                            <w:ilvl w:val="0"/>
                            <w:numId w:val="15"/>
                          </w:numPr>
                        </w:pPr>
                        <w:r>
                          <w:t>Microsoft Live Communications Server 2005</w:t>
                        </w:r>
                      </w:p>
                      <w:p w:rsidR="00F456BE" w:rsidRDefault="00F456BE" w:rsidP="00F456BE">
                        <w:pPr>
                          <w:numPr>
                            <w:ilvl w:val="0"/>
                            <w:numId w:val="15"/>
                          </w:numPr>
                        </w:pPr>
                        <w:r w:rsidRPr="00837BF1">
                          <w:rPr>
                            <w:lang w:val="it-IT"/>
                          </w:rPr>
                          <w:t>Microsoft Office Communicator</w:t>
                        </w:r>
                      </w:p>
                      <w:p w:rsidR="00F456BE" w:rsidRPr="00837BF1" w:rsidRDefault="00F456BE" w:rsidP="00F456BE">
                        <w:pPr>
                          <w:numPr>
                            <w:ilvl w:val="0"/>
                            <w:numId w:val="15"/>
                          </w:numPr>
                        </w:pPr>
                        <w:r w:rsidRPr="00837BF1">
                          <w:rPr>
                            <w:lang w:val="it-IT"/>
                          </w:rPr>
                          <w:t>Microsoft Outlook</w:t>
                        </w:r>
                      </w:p>
                      <w:p w:rsidR="00F456BE" w:rsidRPr="00C10916" w:rsidRDefault="00F456BE" w:rsidP="00F456BE">
                        <w:pPr>
                          <w:pStyle w:val="BulletLevel2"/>
                          <w:numPr>
                            <w:ilvl w:val="0"/>
                            <w:numId w:val="0"/>
                          </w:numPr>
                          <w:rPr>
                            <w:b/>
                          </w:rPr>
                        </w:pPr>
                      </w:p>
                    </w:tc>
                    <w:tc>
                      <w:tcPr>
                        <w:tcW w:w="3390" w:type="dxa"/>
                      </w:tcPr>
                      <w:p w:rsidR="00F456BE" w:rsidRDefault="00F456BE" w:rsidP="00F456BE">
                        <w:pPr>
                          <w:pStyle w:val="BulletGrey"/>
                          <w:numPr>
                            <w:ilvl w:val="0"/>
                            <w:numId w:val="0"/>
                          </w:numPr>
                        </w:pPr>
                        <w:bookmarkStart w:id="11" w:name="SoftwareandServices2"/>
                        <w:bookmarkEnd w:id="11"/>
                      </w:p>
                      <w:p w:rsidR="00F456BE" w:rsidRDefault="00F456BE" w:rsidP="00F456BE">
                        <w:pPr>
                          <w:pStyle w:val="Bodycopy"/>
                        </w:pPr>
                      </w:p>
                      <w:p w:rsidR="00F456BE" w:rsidRDefault="00F456BE" w:rsidP="00F456BE">
                        <w:pPr>
                          <w:pStyle w:val="SectionHeadingGrey"/>
                        </w:pPr>
                        <w:r>
                          <w:t>Partners</w:t>
                        </w:r>
                      </w:p>
                      <w:p w:rsidR="00F456BE" w:rsidRDefault="00F456BE" w:rsidP="00F456BE">
                        <w:pPr>
                          <w:pStyle w:val="BulletGrey"/>
                        </w:pPr>
                        <w:r>
                          <w:t>Informática El Corte Inglés</w:t>
                        </w:r>
                      </w:p>
                    </w:tc>
                  </w:tr>
                </w:tbl>
                <w:p w:rsidR="00F456BE" w:rsidRDefault="00F456BE">
                  <w:pPr>
                    <w:pStyle w:val="Bodycopy"/>
                    <w:rPr>
                      <w:lang w:val="sv-SE"/>
                    </w:rPr>
                  </w:pPr>
                </w:p>
              </w:txbxContent>
            </v:textbox>
            <w10:wrap type="square" anchorx="page" anchory="page"/>
            <w10:anchorlock/>
          </v:shape>
        </w:pict>
      </w:r>
      <w:r>
        <w:rPr>
          <w:noProof/>
          <w:sz w:val="20"/>
        </w:rPr>
        <w:pict>
          <v:shape id="_x0000_s1111" type="#_x0000_t202" style="position:absolute;margin-left:42.55pt;margin-top:161.95pt;width:155.9pt;height:484.4pt;z-index:251656704;mso-position-horizontal-relative:page;mso-position-vertical-relative:page" stroked="f">
            <v:textbox style="mso-next-textbox:#_x0000_s1111" inset="0,0,0,0">
              <w:txbxContent>
                <w:p w:rsidR="00F456BE" w:rsidRPr="00587987" w:rsidRDefault="00F456BE">
                  <w:pPr>
                    <w:pStyle w:val="SectionHeading"/>
                    <w:rPr>
                      <w:lang w:val="es-ES"/>
                    </w:rPr>
                  </w:pPr>
                  <w:r>
                    <w:rPr>
                      <w:lang w:val="es-ES"/>
                    </w:rPr>
                    <w:t>Para m</w:t>
                  </w:r>
                  <w:r w:rsidRPr="00587987">
                    <w:rPr>
                      <w:lang w:val="es-ES"/>
                    </w:rPr>
                    <w:t>ás Información</w:t>
                  </w:r>
                </w:p>
                <w:p w:rsidR="00F456BE" w:rsidRPr="004527A2" w:rsidRDefault="00F456BE" w:rsidP="00F456BE">
                  <w:pPr>
                    <w:pStyle w:val="Bodycopy"/>
                    <w:rPr>
                      <w:lang w:val="es-ES"/>
                    </w:rPr>
                  </w:pPr>
                  <w:r w:rsidRPr="004527A2">
                    <w:rPr>
                      <w:lang w:val="es-ES"/>
                    </w:rPr>
                    <w:t>Para más información sobre los productos y servicios de Microsoft</w:t>
                  </w:r>
                  <w:r>
                    <w:rPr>
                      <w:lang w:val="es-ES"/>
                    </w:rPr>
                    <w:t xml:space="preserve"> llame al teléfono de Atención al Cliente: 902 197 198. </w:t>
                  </w:r>
                  <w:r w:rsidRPr="004527A2">
                    <w:rPr>
                      <w:lang w:val="es-ES"/>
                    </w:rPr>
                    <w:t xml:space="preserve">Para acceder a más información sobre los productos y servicios </w:t>
                  </w:r>
                  <w:r>
                    <w:rPr>
                      <w:lang w:val="es-ES"/>
                    </w:rPr>
                    <w:t xml:space="preserve">de Microsoft para grandes organizaciones, consulte nuestra Web: </w:t>
                  </w:r>
                  <w:r w:rsidRPr="004527A2">
                    <w:rPr>
                      <w:lang w:val="es-ES"/>
                    </w:rPr>
                    <w:t>www.microsoft.com</w:t>
                  </w:r>
                  <w:r>
                    <w:rPr>
                      <w:lang w:val="es-ES"/>
                    </w:rPr>
                    <w:t>/spain/enterprise</w:t>
                  </w:r>
                </w:p>
                <w:p w:rsidR="00F456BE" w:rsidRPr="004527A2" w:rsidRDefault="00F456BE" w:rsidP="00F456BE">
                  <w:pPr>
                    <w:pStyle w:val="Bodycopy"/>
                    <w:rPr>
                      <w:lang w:val="es-ES"/>
                    </w:rPr>
                  </w:pPr>
                </w:p>
                <w:p w:rsidR="00F456BE" w:rsidRPr="00837BF1" w:rsidRDefault="00F456BE" w:rsidP="00F456BE">
                  <w:pPr>
                    <w:pStyle w:val="Bodycopy"/>
                    <w:rPr>
                      <w:b/>
                      <w:lang w:val="es-ES"/>
                    </w:rPr>
                  </w:pPr>
                  <w:r w:rsidRPr="004527A2">
                    <w:rPr>
                      <w:lang w:val="es-ES"/>
                    </w:rPr>
                    <w:t xml:space="preserve">Para más información sobre los productos y servicios </w:t>
                  </w:r>
                  <w:r>
                    <w:rPr>
                      <w:lang w:val="es-ES"/>
                    </w:rPr>
                    <w:t>de</w:t>
                  </w:r>
                  <w:r w:rsidRPr="004527A2">
                    <w:rPr>
                      <w:lang w:val="es-ES"/>
                    </w:rPr>
                    <w:t xml:space="preserve"> </w:t>
                  </w:r>
                  <w:r>
                    <w:rPr>
                      <w:b/>
                      <w:lang w:val="es-ES"/>
                    </w:rPr>
                    <w:t>CAJA NAVARRA</w:t>
                  </w:r>
                  <w:r w:rsidRPr="0043600D">
                    <w:rPr>
                      <w:lang w:val="es-ES"/>
                    </w:rPr>
                    <w:t>,</w:t>
                  </w:r>
                  <w:r>
                    <w:rPr>
                      <w:lang w:val="es-ES"/>
                    </w:rPr>
                    <w:t xml:space="preserve"> llame al teléfono +34 </w:t>
                  </w:r>
                  <w:r w:rsidRPr="00837BF1">
                    <w:rPr>
                      <w:b/>
                      <w:bCs/>
                      <w:lang w:val="es-ES"/>
                    </w:rPr>
                    <w:t>902 468 000</w:t>
                  </w:r>
                </w:p>
                <w:p w:rsidR="00F456BE" w:rsidRPr="00837BF1" w:rsidRDefault="00F456BE" w:rsidP="00F456BE">
                  <w:pPr>
                    <w:pStyle w:val="Bodycopy"/>
                    <w:rPr>
                      <w:b/>
                      <w:lang w:val="es-ES"/>
                    </w:rPr>
                  </w:pPr>
                  <w:r>
                    <w:rPr>
                      <w:lang w:val="es-ES"/>
                    </w:rPr>
                    <w:t xml:space="preserve">o </w:t>
                  </w:r>
                  <w:r w:rsidRPr="004527A2">
                    <w:rPr>
                      <w:lang w:val="es-ES"/>
                    </w:rPr>
                    <w:t>visit</w:t>
                  </w:r>
                  <w:r>
                    <w:rPr>
                      <w:lang w:val="es-ES"/>
                    </w:rPr>
                    <w:t>e su Web</w:t>
                  </w:r>
                  <w:r w:rsidRPr="00587987">
                    <w:rPr>
                      <w:lang w:val="es-ES"/>
                    </w:rPr>
                    <w:t xml:space="preserve">: </w:t>
                  </w:r>
                  <w:r w:rsidRPr="00837BF1">
                    <w:rPr>
                      <w:b/>
                      <w:lang w:val="es-ES"/>
                    </w:rPr>
                    <w:t>www.cajanavarra.es</w:t>
                  </w:r>
                </w:p>
                <w:p w:rsidR="00F456BE" w:rsidRPr="004527A2" w:rsidRDefault="00F456BE" w:rsidP="00F456BE">
                  <w:pPr>
                    <w:pStyle w:val="Bodycopy"/>
                    <w:rPr>
                      <w:lang w:val="es-ES"/>
                    </w:rPr>
                  </w:pPr>
                </w:p>
                <w:p w:rsidR="00F456BE" w:rsidRPr="00837BF1" w:rsidRDefault="00F456BE" w:rsidP="00F456BE">
                  <w:pPr>
                    <w:pStyle w:val="Bodycopy"/>
                    <w:rPr>
                      <w:b/>
                      <w:lang w:val="es-ES"/>
                    </w:rPr>
                  </w:pPr>
                  <w:r w:rsidRPr="004527A2">
                    <w:rPr>
                      <w:lang w:val="es-ES"/>
                    </w:rPr>
                    <w:t xml:space="preserve">Para más información sobre los productos y servicios </w:t>
                  </w:r>
                  <w:r>
                    <w:rPr>
                      <w:lang w:val="es-ES"/>
                    </w:rPr>
                    <w:t>de</w:t>
                  </w:r>
                  <w:r w:rsidRPr="004527A2">
                    <w:rPr>
                      <w:lang w:val="es-ES"/>
                    </w:rPr>
                    <w:t xml:space="preserve"> </w:t>
                  </w:r>
                  <w:r>
                    <w:rPr>
                      <w:b/>
                      <w:lang w:val="es-ES"/>
                    </w:rPr>
                    <w:t>Informática El Corte Inglés,</w:t>
                  </w:r>
                  <w:r>
                    <w:rPr>
                      <w:lang w:val="es-ES"/>
                    </w:rPr>
                    <w:t xml:space="preserve"> llame al teléfono +34 </w:t>
                  </w:r>
                  <w:r w:rsidRPr="00837BF1">
                    <w:rPr>
                      <w:b/>
                      <w:bCs/>
                      <w:lang w:val="es-ES"/>
                    </w:rPr>
                    <w:t xml:space="preserve">913 874 </w:t>
                  </w:r>
                  <w:r>
                    <w:rPr>
                      <w:b/>
                      <w:bCs/>
                      <w:lang w:val="es-ES"/>
                    </w:rPr>
                    <w:t xml:space="preserve">700 </w:t>
                  </w:r>
                  <w:r>
                    <w:rPr>
                      <w:lang w:val="es-ES"/>
                    </w:rPr>
                    <w:t xml:space="preserve">o </w:t>
                  </w:r>
                  <w:r w:rsidRPr="004527A2">
                    <w:rPr>
                      <w:lang w:val="es-ES"/>
                    </w:rPr>
                    <w:t>visit</w:t>
                  </w:r>
                  <w:r>
                    <w:rPr>
                      <w:lang w:val="es-ES"/>
                    </w:rPr>
                    <w:t>e su Web</w:t>
                  </w:r>
                  <w:r w:rsidRPr="00587987">
                    <w:rPr>
                      <w:lang w:val="es-ES"/>
                    </w:rPr>
                    <w:t xml:space="preserve">: </w:t>
                  </w:r>
                  <w:r w:rsidRPr="00837BF1">
                    <w:rPr>
                      <w:b/>
                      <w:lang w:val="es-ES"/>
                    </w:rPr>
                    <w:t>www.ieci.es</w:t>
                  </w:r>
                </w:p>
                <w:p w:rsidR="00F456BE" w:rsidRPr="00837BF1" w:rsidRDefault="00F456BE" w:rsidP="00F456BE">
                  <w:pPr>
                    <w:pStyle w:val="Bodycopy"/>
                    <w:rPr>
                      <w:b/>
                      <w:lang w:val="es-ES"/>
                    </w:rPr>
                  </w:pPr>
                </w:p>
                <w:p w:rsidR="00F456BE" w:rsidRPr="00587987" w:rsidRDefault="00F456BE">
                  <w:pPr>
                    <w:pStyle w:val="Bodycopy"/>
                    <w:rPr>
                      <w:lang w:val="es-ES"/>
                    </w:rPr>
                  </w:pPr>
                </w:p>
                <w:p w:rsidR="00F456BE" w:rsidRPr="00587987" w:rsidRDefault="00F456BE">
                  <w:pPr>
                    <w:pStyle w:val="Bodycopy"/>
                    <w:rPr>
                      <w:lang w:val="es-ES"/>
                    </w:rPr>
                  </w:pPr>
                </w:p>
              </w:txbxContent>
            </v:textbox>
            <w10:wrap anchorx="page" anchory="page"/>
            <w10:anchorlock/>
          </v:shape>
        </w:pict>
      </w:r>
      <w:bookmarkEnd w:id="8"/>
      <w:r w:rsidRPr="00DE66C6">
        <w:rPr>
          <w:noProof/>
          <w:sz w:val="20"/>
          <w:lang w:val="es-ES"/>
        </w:rPr>
        <w:t>Soluciones Microsoft para el Sector de Servicios Financieros</w:t>
      </w:r>
    </w:p>
    <w:p w:rsidR="00F456BE" w:rsidRPr="000A14B9" w:rsidRDefault="00F456BE" w:rsidP="00F456BE">
      <w:pPr>
        <w:pStyle w:val="Bodycopy"/>
        <w:rPr>
          <w:lang w:val="es-ES"/>
        </w:rPr>
      </w:pPr>
      <w:r w:rsidRPr="000A14B9">
        <w:rPr>
          <w:lang w:val="es-ES"/>
        </w:rPr>
        <w:t>Las instituciones financieras continúan buscando soluciones rentables que creen ventajas competitivas rápidas y sostenibles al tiempo que ponen la base para futuras innovaciones. Microsoft y su creciente comunidad de partners desarrollan  soluciones que resuelven las necesidades específicas de bancos, compañías de seguros y firmas de mercados de capitales en todo el mundo, y ayuda a los clientes de servicios financieros a desarrollar todo su potencial.</w:t>
      </w:r>
    </w:p>
    <w:p w:rsidR="00F456BE" w:rsidRPr="00C7711B" w:rsidRDefault="00F456BE">
      <w:pPr>
        <w:pStyle w:val="Bodycopy"/>
        <w:rPr>
          <w:lang w:val="es-ES"/>
        </w:rPr>
      </w:pPr>
      <w:bookmarkStart w:id="12" w:name="ProductBoilerplateText"/>
      <w:r w:rsidRPr="00C7711B">
        <w:rPr>
          <w:lang w:val="es-ES"/>
        </w:rPr>
        <w:t> </w:t>
      </w:r>
    </w:p>
    <w:p w:rsidR="00F456BE" w:rsidRDefault="00F456BE">
      <w:pPr>
        <w:pStyle w:val="Bodycopy"/>
        <w:rPr>
          <w:lang w:val="es-ES"/>
        </w:rPr>
      </w:pPr>
      <w:r w:rsidRPr="0043600D">
        <w:rPr>
          <w:lang w:val="es-ES"/>
        </w:rPr>
        <w:t>Para más información sobre las soluciones</w:t>
      </w:r>
      <w:r>
        <w:rPr>
          <w:lang w:val="es-ES"/>
        </w:rPr>
        <w:t xml:space="preserve"> de</w:t>
      </w:r>
      <w:r w:rsidRPr="0043600D">
        <w:rPr>
          <w:lang w:val="es-ES"/>
        </w:rPr>
        <w:t xml:space="preserve"> Microsoft para </w:t>
      </w:r>
      <w:r>
        <w:rPr>
          <w:lang w:val="es-ES"/>
        </w:rPr>
        <w:t>la industria de los servicios financieros,</w:t>
      </w:r>
      <w:r w:rsidRPr="0043600D">
        <w:rPr>
          <w:lang w:val="es-ES"/>
        </w:rPr>
        <w:t xml:space="preserve"> </w:t>
      </w:r>
      <w:r>
        <w:rPr>
          <w:lang w:val="es-ES"/>
        </w:rPr>
        <w:t>consulte</w:t>
      </w:r>
      <w:r w:rsidRPr="0043600D">
        <w:rPr>
          <w:lang w:val="es-ES"/>
        </w:rPr>
        <w:t>:</w:t>
      </w:r>
    </w:p>
    <w:p w:rsidR="00F456BE" w:rsidRPr="0043600D" w:rsidRDefault="00F456BE">
      <w:pPr>
        <w:pStyle w:val="Bodycopy"/>
        <w:rPr>
          <w:lang w:val="es-ES"/>
        </w:rPr>
      </w:pPr>
    </w:p>
    <w:bookmarkEnd w:id="12"/>
    <w:p w:rsidR="00F456BE" w:rsidRPr="00DE66C6" w:rsidRDefault="00F456BE">
      <w:pPr>
        <w:pStyle w:val="Bodycopy"/>
        <w:rPr>
          <w:lang w:val="es-ES"/>
        </w:rPr>
      </w:pPr>
      <w:r w:rsidRPr="00073EB9">
        <w:rPr>
          <w:lang w:val="es-ES"/>
        </w:rPr>
        <w:t>www.microsoft.com/spain/enterprise/sectores/banca/default.mspx</w:t>
      </w:r>
    </w:p>
    <w:sectPr w:rsidR="00F456BE" w:rsidRPr="00DE66C6">
      <w:headerReference w:type="default" r:id="rId10"/>
      <w:footerReference w:type="default" r:id="rId11"/>
      <w:pgSz w:w="12242" w:h="15842" w:code="1"/>
      <w:pgMar w:top="3240" w:right="851" w:bottom="1320" w:left="4536" w:header="0" w:footer="600"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3A5" w:rsidRDefault="009763A5">
      <w:r>
        <w:separator/>
      </w:r>
    </w:p>
  </w:endnote>
  <w:endnote w:type="continuationSeparator" w:id="1">
    <w:p w:rsidR="009763A5" w:rsidRDefault="009763A5">
      <w:r>
        <w:continuationSeparator/>
      </w:r>
    </w:p>
  </w:endnote>
</w:endnotes>
</file>

<file path=word/fontTable.xml><?xml version="1.0" encoding="utf-8"?>
<w:fonts xmlns:r="http://schemas.openxmlformats.org/officeDocument/2006/relationships" xmlns:w="http://schemas.openxmlformats.org/wordprocessingml/2006/main">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Lucida Sans Typewriter">
    <w:panose1 w:val="020B0509030504030204"/>
    <w:charset w:val="00"/>
    <w:family w:val="modern"/>
    <w:pitch w:val="fixed"/>
    <w:sig w:usb0="00000003" w:usb1="00000000" w:usb2="00000000" w:usb3="00000000" w:csb0="00000001" w:csb1="00000000"/>
  </w:font>
  <w:font w:name="FundRunk-Normal">
    <w:altName w:val="Times New Roman"/>
    <w:charset w:val="00"/>
    <w:family w:val="auto"/>
    <w:pitch w:val="variable"/>
    <w:sig w:usb0="00000087" w:usb1="00000000" w:usb2="00000000" w:usb3="00000000" w:csb0="0000001B" w:csb1="00000000"/>
  </w:font>
  <w:font w:name="Franklin Gothic Medium">
    <w:panose1 w:val="020B06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Franklin Gothic Heavy">
    <w:panose1 w:val="020B0903020102020204"/>
    <w:charset w:val="00"/>
    <w:family w:val="swiss"/>
    <w:pitch w:val="variable"/>
    <w:sig w:usb0="00000287" w:usb1="00000000" w:usb2="00000000" w:usb3="00000000" w:csb0="0000009F" w:csb1="00000000"/>
    <w:embedRegular r:id="rId1" w:subsetted="1" w:fontKey="{1F3A364D-BDDE-4207-A901-EF6C3B8AD348}"/>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BE" w:rsidRDefault="00F456BE">
    <w:pPr>
      <w:pStyle w:val="Piedepgina"/>
      <w:tabs>
        <w:tab w:val="left" w:pos="2760"/>
      </w:tabs>
      <w:jc w:val="right"/>
    </w:pPr>
    <w:r>
      <w:fldChar w:fldCharType="begin"/>
    </w:r>
    <w:r>
      <w:instrText xml:space="preserve"> IF </w:instrText>
    </w:r>
    <w:r>
      <w:rPr>
        <w:rStyle w:val="Nmerodepgina"/>
      </w:rPr>
      <w:fldChar w:fldCharType="begin"/>
    </w:r>
    <w:r>
      <w:rPr>
        <w:rStyle w:val="Nmerodepgina"/>
      </w:rPr>
      <w:instrText xml:space="preserve"> PAGE </w:instrText>
    </w:r>
    <w:r>
      <w:rPr>
        <w:rStyle w:val="Nmerodepgina"/>
      </w:rPr>
      <w:fldChar w:fldCharType="separate"/>
    </w:r>
    <w:r w:rsidR="007A006B">
      <w:rPr>
        <w:rStyle w:val="Nmerodepgina"/>
        <w:noProof/>
      </w:rPr>
      <w:instrText>4</w:instrText>
    </w:r>
    <w:r>
      <w:rPr>
        <w:rStyle w:val="Nmerodepgina"/>
      </w:rPr>
      <w:fldChar w:fldCharType="end"/>
    </w:r>
    <w:r>
      <w:rPr>
        <w:rStyle w:val="Nmerodepgina"/>
      </w:rPr>
      <w:instrText xml:space="preserve"> = </w:instrText>
    </w:r>
    <w:r>
      <w:rPr>
        <w:rStyle w:val="Nmerodepgina"/>
      </w:rPr>
      <w:fldChar w:fldCharType="begin"/>
    </w:r>
    <w:r>
      <w:rPr>
        <w:rStyle w:val="Nmerodepgina"/>
      </w:rPr>
      <w:instrText xml:space="preserve"> NUMPAGES </w:instrText>
    </w:r>
    <w:r>
      <w:rPr>
        <w:rStyle w:val="Nmerodepgina"/>
      </w:rPr>
      <w:fldChar w:fldCharType="separate"/>
    </w:r>
    <w:r w:rsidR="007A006B">
      <w:rPr>
        <w:rStyle w:val="Nmerodepgina"/>
        <w:noProof/>
      </w:rPr>
      <w:instrText>4</w:instrText>
    </w:r>
    <w:r>
      <w:rPr>
        <w:rStyle w:val="Nmerodepgina"/>
      </w:rPr>
      <w:fldChar w:fldCharType="end"/>
    </w:r>
    <w:r>
      <w:rPr>
        <w:rStyle w:val="Nmerodepgina"/>
      </w:rPr>
      <w:instrText xml:space="preserve"> </w:instrText>
    </w:r>
    <w:r w:rsidR="006F0148">
      <w:rPr>
        <w:noProof/>
        <w:spacing w:val="20"/>
        <w:sz w:val="16"/>
        <w:lang w:val="es-ES" w:eastAsia="es-ES"/>
      </w:rPr>
      <w:drawing>
        <wp:inline distT="0" distB="0" distL="0" distR="0">
          <wp:extent cx="1981200" cy="920750"/>
          <wp:effectExtent l="19050" t="0" r="0" b="0"/>
          <wp:docPr id="5" name="Imagen 5"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oft"/>
                  <pic:cNvPicPr>
                    <a:picLocks noChangeAspect="1" noChangeArrowheads="1"/>
                  </pic:cNvPicPr>
                </pic:nvPicPr>
                <pic:blipFill>
                  <a:blip r:embed="rId1"/>
                  <a:srcRect/>
                  <a:stretch>
                    <a:fillRect/>
                  </a:stretch>
                </pic:blipFill>
                <pic:spPr bwMode="auto">
                  <a:xfrm>
                    <a:off x="0" y="0"/>
                    <a:ext cx="1981200" cy="920750"/>
                  </a:xfrm>
                  <a:prstGeom prst="rect">
                    <a:avLst/>
                  </a:prstGeom>
                  <a:noFill/>
                  <a:ln w="9525">
                    <a:noFill/>
                    <a:miter lim="800000"/>
                    <a:headEnd/>
                    <a:tailEnd/>
                  </a:ln>
                </pic:spPr>
              </pic:pic>
            </a:graphicData>
          </a:graphic>
        </wp:inline>
      </w:drawing>
    </w:r>
    <w:r>
      <w:rPr>
        <w:rStyle w:val="Nmerodepgina"/>
      </w:rPr>
      <w:instrText xml:space="preserve"> </w:instrText>
    </w:r>
    <w:r>
      <w:instrText xml:space="preserve">"" </w:instrText>
    </w:r>
    <w:r w:rsidR="007A006B">
      <w:fldChar w:fldCharType="separate"/>
    </w:r>
    <w:r w:rsidR="006F0148">
      <w:rPr>
        <w:noProof/>
        <w:spacing w:val="20"/>
        <w:sz w:val="16"/>
        <w:lang w:val="es-ES" w:eastAsia="es-ES"/>
      </w:rPr>
      <w:drawing>
        <wp:inline distT="0" distB="0" distL="0" distR="0">
          <wp:extent cx="1981200" cy="920750"/>
          <wp:effectExtent l="19050" t="0" r="0" b="0"/>
          <wp:docPr id="6" name="Imagen 6"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rosoft"/>
                  <pic:cNvPicPr>
                    <a:picLocks noChangeAspect="1" noChangeArrowheads="1"/>
                  </pic:cNvPicPr>
                </pic:nvPicPr>
                <pic:blipFill>
                  <a:blip r:embed="rId1"/>
                  <a:srcRect/>
                  <a:stretch>
                    <a:fillRect/>
                  </a:stretch>
                </pic:blipFill>
                <pic:spPr bwMode="auto">
                  <a:xfrm>
                    <a:off x="0" y="0"/>
                    <a:ext cx="1981200" cy="920750"/>
                  </a:xfrm>
                  <a:prstGeom prst="rect">
                    <a:avLst/>
                  </a:prstGeom>
                  <a:noFill/>
                  <a:ln w="9525">
                    <a:noFill/>
                    <a:miter lim="800000"/>
                    <a:headEnd/>
                    <a:tailEnd/>
                  </a:ln>
                </pic:spPr>
              </pic:pic>
            </a:graphicData>
          </a:graphic>
        </wp:inline>
      </w:drawing>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3A5" w:rsidRDefault="009763A5">
      <w:r>
        <w:separator/>
      </w:r>
    </w:p>
  </w:footnote>
  <w:footnote w:type="continuationSeparator" w:id="1">
    <w:p w:rsidR="009763A5" w:rsidRDefault="009763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6" w:type="dxa"/>
      <w:tblInd w:w="-860" w:type="dxa"/>
      <w:tblLayout w:type="fixed"/>
      <w:tblCellMar>
        <w:left w:w="0" w:type="dxa"/>
        <w:right w:w="0" w:type="dxa"/>
      </w:tblCellMar>
      <w:tblLook w:val="0000"/>
    </w:tblPr>
    <w:tblGrid>
      <w:gridCol w:w="860"/>
      <w:gridCol w:w="3393"/>
      <w:gridCol w:w="284"/>
      <w:gridCol w:w="6379"/>
    </w:tblGrid>
    <w:tr w:rsidR="00F456BE">
      <w:tblPrEx>
        <w:tblCellMar>
          <w:top w:w="0" w:type="dxa"/>
          <w:left w:w="0" w:type="dxa"/>
          <w:bottom w:w="0" w:type="dxa"/>
          <w:right w:w="0" w:type="dxa"/>
        </w:tblCellMar>
      </w:tblPrEx>
      <w:trPr>
        <w:cantSplit/>
        <w:trHeight w:hRule="exact" w:val="1155"/>
      </w:trPr>
      <w:tc>
        <w:tcPr>
          <w:tcW w:w="4253" w:type="dxa"/>
          <w:gridSpan w:val="2"/>
          <w:vMerge w:val="restart"/>
        </w:tcPr>
        <w:p w:rsidR="00F456BE" w:rsidRDefault="006F0148">
          <w:bookmarkStart w:id="5" w:name="ProductPicture"/>
          <w:r>
            <w:rPr>
              <w:noProof/>
              <w:lang w:val="es-ES" w:eastAsia="es-ES"/>
            </w:rPr>
            <w:drawing>
              <wp:inline distT="0" distB="0" distL="0" distR="0">
                <wp:extent cx="2692400" cy="1676400"/>
                <wp:effectExtent l="19050" t="0" r="0" b="0"/>
                <wp:docPr id="1" name="Imagen 1" descr="CEPFiles_picture_Men_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Files_picture_Men_meeting"/>
                        <pic:cNvPicPr>
                          <a:picLocks noChangeAspect="1" noChangeArrowheads="1"/>
                        </pic:cNvPicPr>
                      </pic:nvPicPr>
                      <pic:blipFill>
                        <a:blip r:embed="rId1"/>
                        <a:srcRect/>
                        <a:stretch>
                          <a:fillRect/>
                        </a:stretch>
                      </pic:blipFill>
                      <pic:spPr bwMode="auto">
                        <a:xfrm>
                          <a:off x="0" y="0"/>
                          <a:ext cx="2692400" cy="1676400"/>
                        </a:xfrm>
                        <a:prstGeom prst="rect">
                          <a:avLst/>
                        </a:prstGeom>
                        <a:noFill/>
                        <a:ln w="9525">
                          <a:noFill/>
                          <a:miter lim="800000"/>
                          <a:headEnd/>
                          <a:tailEnd/>
                        </a:ln>
                      </pic:spPr>
                    </pic:pic>
                  </a:graphicData>
                </a:graphic>
              </wp:inline>
            </w:drawing>
          </w:r>
          <w:bookmarkEnd w:id="5"/>
        </w:p>
      </w:tc>
      <w:tc>
        <w:tcPr>
          <w:tcW w:w="284" w:type="dxa"/>
          <w:vMerge w:val="restart"/>
        </w:tcPr>
        <w:p w:rsidR="00F456BE" w:rsidRDefault="00F456BE"/>
      </w:tc>
      <w:tc>
        <w:tcPr>
          <w:tcW w:w="6379" w:type="dxa"/>
        </w:tcPr>
        <w:p w:rsidR="00F456BE" w:rsidRDefault="00F456BE">
          <w:pPr>
            <w:pStyle w:val="StandFirstIntroduction"/>
          </w:pPr>
        </w:p>
      </w:tc>
    </w:tr>
    <w:tr w:rsidR="00F456BE" w:rsidRPr="001E1734">
      <w:tblPrEx>
        <w:tblCellMar>
          <w:top w:w="0" w:type="dxa"/>
          <w:left w:w="0" w:type="dxa"/>
          <w:bottom w:w="0" w:type="dxa"/>
          <w:right w:w="0" w:type="dxa"/>
        </w:tblCellMar>
      </w:tblPrEx>
      <w:trPr>
        <w:cantSplit/>
        <w:trHeight w:val="768"/>
      </w:trPr>
      <w:tc>
        <w:tcPr>
          <w:tcW w:w="4253" w:type="dxa"/>
          <w:gridSpan w:val="2"/>
          <w:vMerge/>
        </w:tcPr>
        <w:p w:rsidR="00F456BE" w:rsidRDefault="00F456BE"/>
      </w:tc>
      <w:tc>
        <w:tcPr>
          <w:tcW w:w="284" w:type="dxa"/>
          <w:vMerge/>
        </w:tcPr>
        <w:p w:rsidR="00F456BE" w:rsidRDefault="00F456BE"/>
      </w:tc>
      <w:tc>
        <w:tcPr>
          <w:tcW w:w="6379" w:type="dxa"/>
          <w:vAlign w:val="bottom"/>
        </w:tcPr>
        <w:p w:rsidR="00F456BE" w:rsidRPr="001E1734" w:rsidRDefault="00F456BE">
          <w:pPr>
            <w:pStyle w:val="Casestudydescription"/>
            <w:rPr>
              <w:lang w:val="es-ES"/>
            </w:rPr>
          </w:pPr>
          <w:bookmarkStart w:id="6" w:name="ProductTitle"/>
          <w:r w:rsidRPr="00612354">
            <w:rPr>
              <w:lang w:val="es-ES"/>
            </w:rPr>
            <w:t>Casos de Éxito</w:t>
          </w:r>
          <w:r w:rsidRPr="001E1734">
            <w:rPr>
              <w:lang w:val="es-ES"/>
            </w:rPr>
            <w:t xml:space="preserve"> Microsoft</w:t>
          </w:r>
        </w:p>
        <w:bookmarkEnd w:id="6"/>
        <w:p w:rsidR="00F456BE" w:rsidRPr="001E1734" w:rsidRDefault="00F456BE" w:rsidP="00F456BE">
          <w:pPr>
            <w:pStyle w:val="Casestudydescription"/>
            <w:rPr>
              <w:lang w:val="es-ES"/>
            </w:rPr>
          </w:pPr>
          <w:r w:rsidRPr="001E1734">
            <w:rPr>
              <w:lang w:val="es-ES"/>
            </w:rPr>
            <w:t xml:space="preserve">Sector </w:t>
          </w:r>
          <w:r w:rsidRPr="00DE66C6">
            <w:rPr>
              <w:lang w:val="es-ES"/>
            </w:rPr>
            <w:t>Servicios</w:t>
          </w:r>
          <w:r w:rsidRPr="001E1734">
            <w:rPr>
              <w:lang w:val="es-ES"/>
            </w:rPr>
            <w:t xml:space="preserve"> </w:t>
          </w:r>
          <w:r w:rsidRPr="00612354">
            <w:rPr>
              <w:lang w:val="es-ES"/>
            </w:rPr>
            <w:t>Financiero</w:t>
          </w:r>
          <w:r>
            <w:rPr>
              <w:lang w:val="es-ES"/>
            </w:rPr>
            <w:t>s</w:t>
          </w:r>
        </w:p>
      </w:tc>
    </w:tr>
    <w:tr w:rsidR="00F456BE" w:rsidRPr="001E1734">
      <w:tblPrEx>
        <w:tblCellMar>
          <w:top w:w="0" w:type="dxa"/>
          <w:left w:w="0" w:type="dxa"/>
          <w:bottom w:w="0" w:type="dxa"/>
          <w:right w:w="0" w:type="dxa"/>
        </w:tblCellMar>
      </w:tblPrEx>
      <w:trPr>
        <w:cantSplit/>
        <w:trHeight w:val="1248"/>
      </w:trPr>
      <w:tc>
        <w:tcPr>
          <w:tcW w:w="4253" w:type="dxa"/>
          <w:gridSpan w:val="2"/>
          <w:vMerge/>
        </w:tcPr>
        <w:p w:rsidR="00F456BE" w:rsidRPr="001E1734" w:rsidRDefault="00F456BE">
          <w:pPr>
            <w:rPr>
              <w:lang w:val="es-ES"/>
            </w:rPr>
          </w:pPr>
        </w:p>
      </w:tc>
      <w:tc>
        <w:tcPr>
          <w:tcW w:w="284" w:type="dxa"/>
        </w:tcPr>
        <w:p w:rsidR="00F456BE" w:rsidRPr="001E1734" w:rsidRDefault="00F456BE">
          <w:pPr>
            <w:rPr>
              <w:lang w:val="es-ES"/>
            </w:rPr>
          </w:pPr>
          <w:r>
            <w:rPr>
              <w:noProof/>
              <w:sz w:val="20"/>
              <w:lang w:val="en-US"/>
            </w:rPr>
            <w:pict>
              <v:shapetype id="_x0000_t202" coordsize="21600,21600" o:spt="202" path="m,l,21600r21600,l21600,xe">
                <v:stroke joinstyle="miter"/>
                <v:path gradientshapeok="t" o:connecttype="rect"/>
              </v:shapetype>
              <v:shape id="Green501" o:spid="_x0000_s2080" type="#_x0000_t202" style="position:absolute;margin-left:-.55pt;margin-top:11.35pt;width:401pt;height:24.5pt;z-index:-251660800;mso-wrap-edited:f;mso-position-horizontal-relative:page;mso-position-vertical-relative:page" wrapcoords="-92 0 -92 21392 21600 21392 21600 0 -92 0" fillcolor="#005825" stroked="f">
                <v:fill opacity=".5"/>
                <v:textbox style="mso-next-textbox:#Green501" inset="0,0,0,0">
                  <w:txbxContent>
                    <w:p w:rsidR="00F456BE" w:rsidRDefault="00F456BE"/>
                  </w:txbxContent>
                </v:textbox>
                <w10:anchorlock/>
              </v:shape>
            </w:pict>
          </w:r>
        </w:p>
      </w:tc>
      <w:tc>
        <w:tcPr>
          <w:tcW w:w="6379" w:type="dxa"/>
        </w:tcPr>
        <w:p w:rsidR="00F456BE" w:rsidRPr="001E1734" w:rsidRDefault="00F456BE">
          <w:pPr>
            <w:spacing w:after="80"/>
            <w:jc w:val="right"/>
            <w:rPr>
              <w:color w:val="FF9900"/>
              <w:lang w:val="es-ES"/>
            </w:rPr>
          </w:pPr>
        </w:p>
      </w:tc>
    </w:tr>
    <w:tr w:rsidR="00F456BE" w:rsidRPr="000507A8">
      <w:tblPrEx>
        <w:tblCellMar>
          <w:top w:w="0" w:type="dxa"/>
          <w:left w:w="0" w:type="dxa"/>
          <w:bottom w:w="0" w:type="dxa"/>
          <w:right w:w="0" w:type="dxa"/>
        </w:tblCellMar>
      </w:tblPrEx>
      <w:trPr>
        <w:cantSplit/>
        <w:trHeight w:hRule="exact" w:val="707"/>
      </w:trPr>
      <w:tc>
        <w:tcPr>
          <w:tcW w:w="860" w:type="dxa"/>
          <w:vMerge w:val="restart"/>
        </w:tcPr>
        <w:p w:rsidR="00F456BE" w:rsidRPr="001E1734" w:rsidRDefault="00F456BE">
          <w:pPr>
            <w:rPr>
              <w:lang w:val="es-ES"/>
            </w:rPr>
          </w:pPr>
        </w:p>
      </w:tc>
      <w:tc>
        <w:tcPr>
          <w:tcW w:w="3393" w:type="dxa"/>
          <w:vMerge w:val="restart"/>
        </w:tcPr>
        <w:p w:rsidR="00F456BE" w:rsidRPr="001E1734" w:rsidRDefault="00F456BE">
          <w:pPr>
            <w:rPr>
              <w:sz w:val="8"/>
              <w:lang w:val="es-ES"/>
            </w:rPr>
          </w:pPr>
        </w:p>
        <w:p w:rsidR="00F456BE" w:rsidRDefault="006F0148">
          <w:r>
            <w:rPr>
              <w:noProof/>
              <w:lang w:val="es-ES" w:eastAsia="es-ES"/>
            </w:rPr>
            <w:drawing>
              <wp:inline distT="0" distB="0" distL="0" distR="0">
                <wp:extent cx="1898650" cy="914400"/>
                <wp:effectExtent l="19050" t="0" r="6350" b="0"/>
                <wp:docPr id="2" name="Imagen 2" descr="CAN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P1"/>
                        <pic:cNvPicPr>
                          <a:picLocks noChangeAspect="1" noChangeArrowheads="1"/>
                        </pic:cNvPicPr>
                      </pic:nvPicPr>
                      <pic:blipFill>
                        <a:blip r:embed="rId2"/>
                        <a:srcRect/>
                        <a:stretch>
                          <a:fillRect/>
                        </a:stretch>
                      </pic:blipFill>
                      <pic:spPr bwMode="auto">
                        <a:xfrm>
                          <a:off x="0" y="0"/>
                          <a:ext cx="1898650" cy="914400"/>
                        </a:xfrm>
                        <a:prstGeom prst="rect">
                          <a:avLst/>
                        </a:prstGeom>
                        <a:noFill/>
                        <a:ln w="9525">
                          <a:noFill/>
                          <a:miter lim="800000"/>
                          <a:headEnd/>
                          <a:tailEnd/>
                        </a:ln>
                      </pic:spPr>
                    </pic:pic>
                  </a:graphicData>
                </a:graphic>
              </wp:inline>
            </w:drawing>
          </w:r>
        </w:p>
      </w:tc>
      <w:tc>
        <w:tcPr>
          <w:tcW w:w="284" w:type="dxa"/>
          <w:tcBorders>
            <w:left w:val="nil"/>
          </w:tcBorders>
        </w:tcPr>
        <w:p w:rsidR="00F456BE" w:rsidRDefault="00F456BE">
          <w:r>
            <w:rPr>
              <w:noProof/>
              <w:sz w:val="20"/>
              <w:lang w:val="en-US"/>
            </w:rPr>
            <w:pict>
              <v:shape id="GreenFade1" o:spid="_x0000_s2093" type="#_x0000_t202" style="position:absolute;margin-left:-.55pt;margin-top:-158.6pt;width:401.1pt;height:107.75pt;z-index:-251656704;mso-wrap-edited:f;mso-position-horizontal-relative:page;mso-position-vertical-relative:page" wrapcoords="-92 0 -92 21392 21600 21392 21600 0 -92 0" fillcolor="#005825" stroked="f">
                <v:fill color2="fill lighten(0)" angle="-90" method="linear sigma" focus="100%" type="gradient"/>
                <v:textbox style="mso-next-textbox:#GreenFade1" inset="0,0,0,0">
                  <w:txbxContent>
                    <w:p w:rsidR="00F456BE" w:rsidRDefault="00F456BE"/>
                  </w:txbxContent>
                </v:textbox>
                <w10:anchorlock/>
              </v:shape>
            </w:pict>
          </w:r>
        </w:p>
      </w:tc>
      <w:tc>
        <w:tcPr>
          <w:tcW w:w="6379" w:type="dxa"/>
        </w:tcPr>
        <w:p w:rsidR="00F456BE" w:rsidRDefault="00F456BE">
          <w:pPr>
            <w:pStyle w:val="DocumentTitle"/>
            <w:rPr>
              <w:lang w:val="es-ES"/>
            </w:rPr>
          </w:pPr>
          <w:r>
            <w:rPr>
              <w:lang w:val="es-ES"/>
            </w:rPr>
            <w:t xml:space="preserve">Comunicación cara a cara, </w:t>
          </w:r>
        </w:p>
        <w:p w:rsidR="00F456BE" w:rsidRPr="000507A8" w:rsidRDefault="00F456BE">
          <w:pPr>
            <w:pStyle w:val="DocumentTitle"/>
            <w:rPr>
              <w:lang w:val="es-ES"/>
            </w:rPr>
          </w:pPr>
          <w:r>
            <w:rPr>
              <w:lang w:val="es-ES"/>
            </w:rPr>
            <w:t>la apuesta de Caja Navarra</w:t>
          </w:r>
        </w:p>
      </w:tc>
    </w:tr>
    <w:tr w:rsidR="00F456BE" w:rsidRPr="000507A8">
      <w:tblPrEx>
        <w:tblCellMar>
          <w:top w:w="0" w:type="dxa"/>
          <w:left w:w="0" w:type="dxa"/>
          <w:bottom w:w="0" w:type="dxa"/>
          <w:right w:w="0" w:type="dxa"/>
        </w:tblCellMar>
      </w:tblPrEx>
      <w:trPr>
        <w:cantSplit/>
        <w:trHeight w:val="1008"/>
      </w:trPr>
      <w:tc>
        <w:tcPr>
          <w:tcW w:w="860" w:type="dxa"/>
          <w:vMerge/>
        </w:tcPr>
        <w:p w:rsidR="00F456BE" w:rsidRPr="000507A8" w:rsidRDefault="00F456BE">
          <w:pPr>
            <w:rPr>
              <w:lang w:val="es-ES"/>
            </w:rPr>
          </w:pPr>
        </w:p>
      </w:tc>
      <w:tc>
        <w:tcPr>
          <w:tcW w:w="3393" w:type="dxa"/>
          <w:vMerge/>
          <w:tcBorders>
            <w:top w:val="single" w:sz="4" w:space="0" w:color="auto"/>
          </w:tcBorders>
        </w:tcPr>
        <w:p w:rsidR="00F456BE" w:rsidRPr="000507A8" w:rsidRDefault="00F456BE">
          <w:pPr>
            <w:rPr>
              <w:lang w:val="es-ES"/>
            </w:rPr>
          </w:pPr>
        </w:p>
      </w:tc>
      <w:tc>
        <w:tcPr>
          <w:tcW w:w="284" w:type="dxa"/>
          <w:tcBorders>
            <w:left w:val="nil"/>
          </w:tcBorders>
        </w:tcPr>
        <w:p w:rsidR="00F456BE" w:rsidRPr="000507A8" w:rsidRDefault="00F456BE">
          <w:pPr>
            <w:rPr>
              <w:noProof/>
              <w:sz w:val="20"/>
              <w:lang w:val="es-ES"/>
            </w:rPr>
          </w:pPr>
        </w:p>
      </w:tc>
      <w:tc>
        <w:tcPr>
          <w:tcW w:w="6379" w:type="dxa"/>
          <w:vAlign w:val="bottom"/>
        </w:tcPr>
        <w:p w:rsidR="00F456BE" w:rsidRPr="000507A8" w:rsidRDefault="00F456BE">
          <w:pPr>
            <w:pStyle w:val="StandFirstIntroduction"/>
            <w:spacing w:line="240" w:lineRule="auto"/>
            <w:rPr>
              <w:sz w:val="20"/>
              <w:lang w:val="es-ES"/>
            </w:rPr>
          </w:pPr>
        </w:p>
        <w:p w:rsidR="00F456BE" w:rsidRPr="000507A8" w:rsidRDefault="00F456BE">
          <w:pPr>
            <w:pStyle w:val="StandFirstIntroduction"/>
            <w:spacing w:line="240" w:lineRule="auto"/>
            <w:rPr>
              <w:sz w:val="20"/>
              <w:lang w:val="es-ES"/>
            </w:rPr>
          </w:pPr>
        </w:p>
        <w:p w:rsidR="00F456BE" w:rsidRPr="000507A8" w:rsidRDefault="00F456BE">
          <w:pPr>
            <w:pStyle w:val="StandFirstIntroduction"/>
            <w:rPr>
              <w:lang w:val="es-ES"/>
            </w:rPr>
          </w:pPr>
        </w:p>
      </w:tc>
    </w:tr>
  </w:tbl>
  <w:p w:rsidR="00F456BE" w:rsidRPr="000507A8" w:rsidRDefault="00F456BE">
    <w:pPr>
      <w:pStyle w:val="Encabezado"/>
      <w:rPr>
        <w:sz w:val="14"/>
        <w:lang w:val="es-E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BE" w:rsidRPr="009A2461" w:rsidRDefault="00F456BE">
    <w:pPr>
      <w:pStyle w:val="Encabezado"/>
      <w:rPr>
        <w:b/>
      </w:rPr>
    </w:pPr>
    <w:r w:rsidRPr="009A2461">
      <w:rPr>
        <w:b/>
        <w:noProof/>
        <w:sz w:val="20"/>
        <w:lang w:val="en-US" w:bidi="ar-SA"/>
      </w:rPr>
      <w:pict>
        <v:line id="ThinGreenLine" o:spid="_x0000_s2088" style="position:absolute;left:0;text-align:left;flip:x;z-index:-251657728;mso-position-horizontal-relative:page;mso-position-vertical-relative:page" from="212.35pt,161.6pt" to="212.35pt,725.6pt" strokecolor="#005825"/>
      </w:pict>
    </w:r>
    <w:r w:rsidRPr="009A2461">
      <w:rPr>
        <w:b/>
        <w:noProof/>
        <w:sz w:val="20"/>
        <w:lang w:val="en-US" w:bidi="ar-SA"/>
      </w:rPr>
      <w:pict>
        <v:shapetype id="_x0000_t202" coordsize="21600,21600" o:spt="202" path="m,l,21600r21600,l21600,xe">
          <v:stroke joinstyle="miter"/>
          <v:path gradientshapeok="t" o:connecttype="rect"/>
        </v:shapetype>
        <v:shape id="Green502" o:spid="_x0000_s2084" type="#_x0000_t202" style="position:absolute;left:0;text-align:left;margin-left:-.05pt;margin-top:41.8pt;width:612.1pt;height:24pt;z-index:-251658752;mso-wrap-edited:f;mso-position-horizontal-relative:page;mso-position-vertical-relative:page" wrapcoords="-92 0 -92 21392 21600 21392 21600 0 -92 0" fillcolor="#005825" stroked="f">
          <v:fill opacity=".5"/>
          <v:textbox style="mso-next-textbox:#Green502" inset="0,0,0,0">
            <w:txbxContent>
              <w:p w:rsidR="00F456BE" w:rsidRDefault="00F456BE"/>
            </w:txbxContent>
          </v:textbox>
          <w10:anchorlock/>
        </v:shape>
      </w:pict>
    </w:r>
    <w:r w:rsidRPr="009A2461">
      <w:rPr>
        <w:b/>
        <w:noProof/>
        <w:sz w:val="20"/>
        <w:lang w:val="en-US" w:bidi="ar-SA"/>
      </w:rPr>
      <w:pict>
        <v:shape id="GreenFade2" o:spid="_x0000_s2083" type="#_x0000_t202" style="position:absolute;left:0;text-align:left;margin-left:0;margin-top:-.05pt;width:612.1pt;height:42pt;z-index:-251659776;mso-wrap-edited:f;mso-position-horizontal-relative:page;mso-position-vertical-relative:page" wrapcoords="-92 0 -92 21392 21600 21392 21600 0 -92 0" fillcolor="#005825" stroked="f">
          <v:fill color2="fill lighten(0)" angle="-90" method="linear sigma" focus="100%" type="gradient"/>
          <v:textbox style="mso-next-textbox:#GreenFade2" inset="0,0,0,0">
            <w:txbxContent>
              <w:p w:rsidR="00F456BE" w:rsidRDefault="00F456BE"/>
            </w:txbxContent>
          </v:textbox>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BD481E38"/>
    <w:lvl w:ilvl="0" w:tplc="9A764216">
      <w:start w:val="1"/>
      <w:numFmt w:val="bullet"/>
      <w:lvlRestart w:val="0"/>
      <w:pStyle w:val="Bullet"/>
      <w:lvlText w:val=""/>
      <w:lvlJc w:val="left"/>
      <w:pPr>
        <w:tabs>
          <w:tab w:val="num" w:pos="170"/>
        </w:tabs>
        <w:ind w:left="170" w:hanging="170"/>
      </w:pPr>
      <w:rPr>
        <w:rFonts w:ascii="Wingdings" w:hAnsi="Wingdings" w:hint="default"/>
        <w:color w:val="005825"/>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7024B2FA"/>
    <w:lvl w:ilvl="0" w:tplc="C7FED92E">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CA35D19"/>
    <w:multiLevelType w:val="hybridMultilevel"/>
    <w:tmpl w:val="D2EC362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1381792"/>
    <w:multiLevelType w:val="hybridMultilevel"/>
    <w:tmpl w:val="C89CB67C"/>
    <w:lvl w:ilvl="0" w:tplc="D89EBA12">
      <w:start w:val="5"/>
      <w:numFmt w:val="bullet"/>
      <w:lvlText w:val="-"/>
      <w:lvlJc w:val="left"/>
      <w:pPr>
        <w:ind w:left="720" w:hanging="360"/>
      </w:pPr>
      <w:rPr>
        <w:rFonts w:ascii="Franklin Gothic Book" w:eastAsia="Times New Roman" w:hAnsi="Franklin Gothic Book" w:cs="Times New Roman"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D986B12"/>
    <w:multiLevelType w:val="hybridMultilevel"/>
    <w:tmpl w:val="0394C1C6"/>
    <w:lvl w:ilvl="0" w:tplc="38CEC578">
      <w:start w:val="5"/>
      <w:numFmt w:val="bullet"/>
      <w:lvlText w:val="-"/>
      <w:lvlJc w:val="left"/>
      <w:pPr>
        <w:ind w:left="720" w:hanging="360"/>
      </w:pPr>
      <w:rPr>
        <w:rFonts w:ascii="Franklin Gothic Book" w:eastAsia="Times New Roman" w:hAnsi="Franklin Gothic Book" w:cs="Times New Roman"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43140D9"/>
    <w:multiLevelType w:val="hybridMultilevel"/>
    <w:tmpl w:val="F1AE4F2A"/>
    <w:lvl w:ilvl="0" w:tplc="5644C444">
      <w:start w:val="1"/>
      <w:numFmt w:val="bullet"/>
      <w:lvlRestart w:val="0"/>
      <w:pStyle w:val="Bulletbold"/>
      <w:lvlText w:val=""/>
      <w:lvlJc w:val="left"/>
      <w:pPr>
        <w:tabs>
          <w:tab w:val="num" w:pos="170"/>
        </w:tabs>
        <w:ind w:left="170" w:hanging="170"/>
      </w:pPr>
      <w:rPr>
        <w:rFonts w:ascii="Wingdings" w:hAnsi="Wingdings" w:hint="default"/>
        <w:color w:val="005825"/>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6FE4487"/>
    <w:multiLevelType w:val="singleLevel"/>
    <w:tmpl w:val="86EEE6A8"/>
    <w:lvl w:ilvl="0">
      <w:start w:val="1"/>
      <w:numFmt w:val="decimal"/>
      <w:pStyle w:val="TDC2"/>
      <w:lvlText w:val="%1."/>
      <w:lvlJc w:val="left"/>
      <w:pPr>
        <w:tabs>
          <w:tab w:val="num" w:pos="360"/>
        </w:tabs>
        <w:ind w:left="360" w:hanging="360"/>
      </w:pPr>
    </w:lvl>
  </w:abstractNum>
  <w:abstractNum w:abstractNumId="9">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0">
    <w:nsid w:val="4F147D09"/>
    <w:multiLevelType w:val="hybridMultilevel"/>
    <w:tmpl w:val="D234B814"/>
    <w:lvl w:ilvl="0" w:tplc="02CA3B5E">
      <w:start w:val="1"/>
      <w:numFmt w:val="bullet"/>
      <w:lvlRestart w:val="0"/>
      <w:pStyle w:val="Bulletcolored"/>
      <w:lvlText w:val=""/>
      <w:lvlJc w:val="left"/>
      <w:pPr>
        <w:tabs>
          <w:tab w:val="num" w:pos="170"/>
        </w:tabs>
        <w:ind w:left="170" w:hanging="170"/>
      </w:pPr>
      <w:rPr>
        <w:rFonts w:ascii="Wingdings" w:hAnsi="Wingdings" w:hint="default"/>
        <w:color w:val="005825"/>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pStyle w:val="Ttulo2"/>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9"/>
  </w:num>
  <w:num w:numId="3">
    <w:abstractNumId w:val="11"/>
  </w:num>
  <w:num w:numId="4">
    <w:abstractNumId w:val="8"/>
  </w:num>
  <w:num w:numId="5">
    <w:abstractNumId w:val="1"/>
  </w:num>
  <w:num w:numId="7">
    <w:abstractNumId w:val="13"/>
  </w:num>
  <w:num w:numId="8">
    <w:abstractNumId w:val="3"/>
  </w:num>
  <w:num w:numId="9">
    <w:abstractNumId w:val="1"/>
  </w:num>
  <w:num w:numId="10">
    <w:abstractNumId w:val="7"/>
  </w:num>
  <w:num w:numId="11">
    <w:abstractNumId w:val="2"/>
  </w:num>
  <w:num w:numId="12">
    <w:abstractNumId w:val="10"/>
  </w:num>
  <w:num w:numId="13">
    <w:abstractNumId w:val="4"/>
  </w:num>
  <w:num w:numId="14">
    <w:abstractNumId w:val="5"/>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saveSubsetFonts/>
  <w:attachedTemplate r:id="rId1"/>
  <w:stylePaneFormatFilter w:val="3F01"/>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3074" style="mso-position-horizontal-relative:page;mso-position-vertical-relative:page" fillcolor="white" stroke="f">
      <v:fill color="white"/>
      <v:stroke on="f"/>
      <v:textbox inset="0,0,0,0"/>
      <o:colormru v:ext="edit" colors="#6c3,#afe494,silver,#ddd,#999,#ccc,#bde9a7"/>
      <o:colormenu v:ext="edit" strokecolor="red"/>
    </o:shapedefaults>
    <o:shapelayout v:ext="edit">
      <o:idmap v:ext="edit" data="2"/>
    </o:shapelayout>
  </w:hdrShapeDefaults>
  <w:footnotePr>
    <w:footnote w:id="0"/>
    <w:footnote w:id="1"/>
  </w:footnotePr>
  <w:endnotePr>
    <w:endnote w:id="0"/>
    <w:endnote w:id="1"/>
  </w:endnotePr>
  <w:compat/>
  <w:docVars>
    <w:docVar w:name="ACTIVATED" w:val="1"/>
    <w:docVar w:name="CHKITEM" w:val="0"/>
    <w:docVar w:name="ClientLogo" w:val="d:\JESUSP\Mis imágenes\Logos\IESE_logo.gif"/>
    <w:docVar w:name="ColorHalfRGB" w:val="12632256"/>
    <w:docVar w:name="ColorName" w:val="Dark green"/>
    <w:docVar w:name="ColorRGB" w:val="2447360"/>
    <w:docVar w:name="ComboBox1_ListCount" w:val="0"/>
    <w:docVar w:name="ComboBox1_ListIndex" w:val="-1"/>
    <w:docVar w:name="lbColour_0_0" w:val="Red"/>
    <w:docVar w:name="lbColour_0_1" w:val="13311"/>
    <w:docVar w:name="lbColour_0_2" w:val="9019391"/>
    <w:docVar w:name="lbColour_0_SELECTED" w:val="0"/>
    <w:docVar w:name="lbColour_1_0" w:val="Blue"/>
    <w:docVar w:name="lbColour_1_1" w:val="16750848"/>
    <w:docVar w:name="lbColour_1_2" w:val="16765585"/>
    <w:docVar w:name="lbColour_1_SELECTED" w:val="0"/>
    <w:docVar w:name="lbColour_2_0" w:val="Green"/>
    <w:docVar w:name="lbColour_2_1" w:val="3394662"/>
    <w:docVar w:name="lbColour_2_2" w:val="11004349"/>
    <w:docVar w:name="lbColour_2_SELECTED" w:val="0"/>
    <w:docVar w:name="lbColour_3_0" w:val="Grey"/>
    <w:docVar w:name="lbColour_3_1" w:val="10066329"/>
    <w:docVar w:name="lbColour_3_2" w:val="12632256"/>
    <w:docVar w:name="lbColour_3_SELECTED" w:val="0"/>
    <w:docVar w:name="lbColour_4_0" w:val="Yellow"/>
    <w:docVar w:name="lbColour_4_1" w:val="52479"/>
    <w:docVar w:name="lbColour_4_2" w:val="12632256"/>
    <w:docVar w:name="lbColour_4_SELECTED" w:val="0"/>
    <w:docVar w:name="lbColour_5_0" w:val="Dark blue"/>
    <w:docVar w:name="lbColour_5_1" w:val="5778961"/>
    <w:docVar w:name="lbColour_5_2" w:val="12632256"/>
    <w:docVar w:name="lbColour_5_SELECTED" w:val="0"/>
    <w:docVar w:name="lbColour_6_0" w:val="Dark red"/>
    <w:docVar w:name="lbColour_6_1" w:val="1316205"/>
    <w:docVar w:name="lbColour_6_2" w:val="12632256"/>
    <w:docVar w:name="lbColour_6_SELECTED" w:val="0"/>
    <w:docVar w:name="lbColour_7_0" w:val="Dark green"/>
    <w:docVar w:name="lbColour_7_1" w:val="2447360"/>
    <w:docVar w:name="lbColour_7_2" w:val="12632256"/>
    <w:docVar w:name="lbColour_7_SELECTED" w:val="-1"/>
    <w:docVar w:name="lbColour_8_0" w:val="Dark yellow"/>
    <w:docVar w:name="lbColour_8_1" w:val="1531880"/>
    <w:docVar w:name="lbColour_8_2" w:val="12632256"/>
    <w:docVar w:name="lbColour_8_SELECTED" w:val="0"/>
    <w:docVar w:name="lbColour_9_0" w:val="MS Dynamics"/>
    <w:docVar w:name="lbColour_9_1" w:val="5778961"/>
    <w:docVar w:name="lbColour_9_2" w:val="16750848"/>
    <w:docVar w:name="lbColour_9_SELECTED" w:val="0"/>
    <w:docVar w:name="lbColour_ListCount" w:val="10"/>
    <w:docVar w:name="lbColour_ListIndex" w:val="7"/>
    <w:docVar w:name="lbList_0_0" w:val="Products"/>
    <w:docVar w:name="lbList_0_1" w:val="Microsoft Office Excel 2003"/>
    <w:docVar w:name="lbList_0_2" w:val="046"/>
    <w:docVar w:name="lbList_0_SELECTED" w:val="0"/>
    <w:docVar w:name="lbList_1_0" w:val="Solutions"/>
    <w:docVar w:name="lbList_1_1" w:val="Microsoft BizTalk Accelerator for HIPAA"/>
    <w:docVar w:name="lbList_1_2" w:val="173"/>
    <w:docVar w:name="lbList_1_SELECTED" w:val="-1"/>
    <w:docVar w:name="lbList_ListCount" w:val="2"/>
    <w:docVar w:name="lbList_ListIndex" w:val="1"/>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0"/>
    <w:docVar w:name="lbProductList_15_SELECTED" w:val="0"/>
    <w:docVar w:name="lbProductList_16_0" w:val="Exchange 2003"/>
    <w:docVar w:name="lbProductList_16_SELECTED" w:val="0"/>
    <w:docVar w:name="lbProductList_17_0" w:val="Exchange 2007"/>
    <w:docVar w:name="lbProductList_17_SELECTED" w:val="0"/>
    <w:docVar w:name="lbProductList_18_0" w:val="Groove Virtual Office"/>
    <w:docVar w:name="lbProductList_18_SELECTED" w:val="0"/>
    <w:docVar w:name="lbProductList_19_0" w:val="Internet Business"/>
    <w:docVar w:name="lbProductList_19_SELECTED" w:val="0"/>
    <w:docVar w:name="lbProductList_2_0" w:val=".NET"/>
    <w:docVar w:name="lbProductList_2_SELECTED" w:val="0"/>
    <w:docVar w:name="lbProductList_20_0" w:val="ISA"/>
    <w:docVar w:name="lbProductList_20_SELECTED" w:val="0"/>
    <w:docVar w:name="lbProductList_21_0" w:val="Macintosh Business Unit"/>
    <w:docVar w:name="lbProductList_21_SELECTED" w:val="0"/>
    <w:docVar w:name="lbProductList_22_0" w:val="MBS"/>
    <w:docVar w:name="lbProductList_22_SELECTED" w:val="0"/>
    <w:docVar w:name="lbProductList_23_0" w:val="MCSE"/>
    <w:docVar w:name="lbProductList_23_SELECTED" w:val="0"/>
    <w:docVar w:name="lbProductList_24_0" w:val="Microsoft Learning"/>
    <w:docVar w:name="lbProductList_24_SELECTED" w:val="0"/>
    <w:docVar w:name="lbProductList_25_0" w:val="Microsoft Server"/>
    <w:docVar w:name="lbProductList_25_SELECTED" w:val="0"/>
    <w:docVar w:name="lbProductList_26_0" w:val="Microsoft Services"/>
    <w:docVar w:name="lbProductList_26_SELECTED" w:val="0"/>
    <w:docVar w:name="lbProductList_27_0" w:val="MSA"/>
    <w:docVar w:name="lbProductList_27_SELECTED" w:val="0"/>
    <w:docVar w:name="lbProductList_28_0" w:val="MSPP"/>
    <w:docVar w:name="lbProductList_28_SELECTED" w:val="0"/>
    <w:docVar w:name="lbProductList_29_0" w:val="MTC"/>
    <w:docVar w:name="lbProductList_29_SELECTED" w:val="0"/>
    <w:docVar w:name="lbProductList_3_0" w:val="Active Directory"/>
    <w:docVar w:name="lbProductList_3_SELECTED" w:val="0"/>
    <w:docVar w:name="lbProductList_30_0" w:val="Office System"/>
    <w:docVar w:name="lbProductList_30_SELECTED" w:val="0"/>
    <w:docVar w:name="lbProductList_31_0" w:val="Office_Exchange"/>
    <w:docVar w:name="lbProductList_31_SELECTED" w:val="0"/>
    <w:docVar w:name="lbProductList_32_0" w:val="Office_Exchange_Vista"/>
    <w:docVar w:name="lbProductList_32_SELECTED" w:val="0"/>
    <w:docVar w:name="lbProductList_33_0" w:val="Office_Vista"/>
    <w:docVar w:name="lbProductList_33_SELECTED" w:val="0"/>
    <w:docVar w:name="lbProductList_34_0" w:val="Portals"/>
    <w:docVar w:name="lbProductList_34_SELECTED" w:val="0"/>
    <w:docVar w:name="lbProductList_35_0" w:val="Project EPM"/>
    <w:docVar w:name="lbProductList_35_SELECTED" w:val="0"/>
    <w:docVar w:name="lbProductList_36_0" w:val="Project_Six_Sigma"/>
    <w:docVar w:name="lbProductList_36_SELECTED" w:val="0"/>
    <w:docVar w:name="lbProductList_37_0" w:val="Rationalized to Dynamic"/>
    <w:docVar w:name="lbProductList_37_SELECTED" w:val="0"/>
    <w:docVar w:name="lbProductList_38_0" w:val="RMS"/>
    <w:docVar w:name="lbProductList_38_SELECTED" w:val="0"/>
    <w:docVar w:name="lbProductList_39_0" w:val="SAM"/>
    <w:docVar w:name="lbProductList_39_SELECTED" w:val="0"/>
    <w:docVar w:name="lbProductList_4_0" w:val="Basic to Standardized"/>
    <w:docVar w:name="lbProductList_4_SELECTED" w:val="0"/>
    <w:docVar w:name="lbProductList_40_0" w:val="Server Consolidation"/>
    <w:docVar w:name="lbProductList_40_SELECTED" w:val="0"/>
    <w:docVar w:name="lbProductList_41_0" w:val="Small Business Server 2003"/>
    <w:docVar w:name="lbProductList_41_SELECTED" w:val="0"/>
    <w:docVar w:name="lbProductList_42_0" w:val="SMS"/>
    <w:docVar w:name="lbProductList_42_SELECTED" w:val="0"/>
    <w:docVar w:name="lbProductList_43_0" w:val="SQL Server"/>
    <w:docVar w:name="lbProductList_43_SELECTED" w:val="0"/>
    <w:docVar w:name="lbProductList_44_0" w:val="Standardized to Rationalized"/>
    <w:docVar w:name="lbProductList_44_SELECTED" w:val="0"/>
    <w:docVar w:name="lbProductList_45_0" w:val="Tablet PC"/>
    <w:docVar w:name="lbProductList_45_SELECTED" w:val="0"/>
    <w:docVar w:name="lbProductList_46_0" w:val="Visio"/>
    <w:docVar w:name="lbProductList_46_SELECTED" w:val="0"/>
    <w:docVar w:name="lbProductList_47_0" w:val="Visual Studio"/>
    <w:docVar w:name="lbProductList_47_SELECTED" w:val="0"/>
    <w:docVar w:name="lbProductList_48_0" w:val="Volume Licensing"/>
    <w:docVar w:name="lbProductList_48_SELECTED" w:val="0"/>
    <w:docVar w:name="lbProductList_49_0" w:val="WDS"/>
    <w:docVar w:name="lbProductList_49_SELECTED" w:val="0"/>
    <w:docVar w:name="lbProductList_5_0" w:val="BDM Financial Services"/>
    <w:docVar w:name="lbProductList_5_SELECTED" w:val="0"/>
    <w:docVar w:name="lbProductList_50_0" w:val="Windows Desktop Search"/>
    <w:docVar w:name="lbProductList_50_SELECTED" w:val="0"/>
    <w:docVar w:name="lbProductList_51_0" w:val="Windows Mobile"/>
    <w:docVar w:name="lbProductList_51_SELECTED" w:val="0"/>
    <w:docVar w:name="lbProductList_52_0" w:val="Windows Server 2003 R2"/>
    <w:docVar w:name="lbProductList_52_SELECTED" w:val="0"/>
    <w:docVar w:name="lbProductList_53_0" w:val="Windows Server 2003"/>
    <w:docVar w:name="lbProductList_53_SELECTED" w:val="0"/>
    <w:docVar w:name="lbProductList_54_0" w:val="Windows Vista"/>
    <w:docVar w:name="lbProductList_54_SELECTED" w:val="0"/>
    <w:docVar w:name="lbProductList_55_0" w:val="Windows XP"/>
    <w:docVar w:name="lbProductList_55_SELECTED" w:val="0"/>
    <w:docVar w:name="lbProductList_6_0" w:val="BDM Healthcare Services"/>
    <w:docVar w:name="lbProductList_6_SELECTED" w:val="0"/>
    <w:docVar w:name="lbProductList_7_0" w:val="BDM Manufacturing"/>
    <w:docVar w:name="lbProductList_7_SELECTED" w:val="0"/>
    <w:docVar w:name="lbProductList_8_0" w:val="BDM Retail"/>
    <w:docVar w:name="lbProductList_8_SELECTED" w:val="-1"/>
    <w:docVar w:name="lbProductList_9_0" w:val="Biztalk"/>
    <w:docVar w:name="lbProductList_9_SELECTED" w:val="0"/>
    <w:docVar w:name="lbProductList_ListCount" w:val="56"/>
    <w:docVar w:name="lbProductList_ListIndex" w:val="8"/>
    <w:docVar w:name="PartnerLogo" w:val="d:\JESUSP\Mis imágenes\Logos\Logo Unisys jpg.jpg"/>
    <w:docVar w:name="RERUN" w:val="1"/>
    <w:docVar w:name="tbCustomerName" w:val="Nombre Cliente"/>
    <w:docVar w:name="tbCustomerPhone" w:val="Teléfono Cliente"/>
    <w:docVar w:name="tbCustomerURL" w:val="URL Cliente"/>
    <w:docVar w:name="tbDatePublished" w:val="noviembre 2006"/>
    <w:docVar w:name="tbDisclaimer1" w:val="© 2006 Microsoft Corporation. Todos los derechos reservados. Este Caso de Éxito se publica únicamente a efectos informativos. MICROSOFT MAKES NO WARRANTIES, EXPRESS OR IMPLIED, IN THIS SUMMARY. Microsoft,"/>
    <w:docVar w:name="tbDisclaimer2" w:val="Example: Active Directory, Windows, the Windows logo, Windows Server, and Windows Server System"/>
    <w:docVar w:name="tbDisclaimer3" w:val="are either registered trademarks or trademarks of Microsoft Corporation in the United States and/or other countries. All other trademarks are property of their respective owners."/>
    <w:docVar w:name="tbDocumentBenefits" w:val="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Rollo de los BENEFICIOS "/>
    <w:docVar w:name="tbDocumentFirstPageBody" w:val="Este ese el rollo inicial del Case Study, BlaBlaBlaBlaBlaBlaBlaBlaBlaBlaBlaBlaBlaBlaBlaBlaBlaBlaBlaBlaBlaBlaBlaBlaBlaBlaBlaBlaBlaBlaBlaBlaBlaBlaBlaBlaBlaBlaBlaBlaBlaBlaBlaBlaBlaBlaBlaBlaBlaBlaBlaBlaBlaBlaBlaBlaBlaBlaBlaBlaBlaBla&#10;BlaBlaBlaBlaBlaBlaBlaBlaBlaBlaBlaBlaBlaBlaBlaBlaBlaBlaBlaBlaBlaBlaBlaBlaBlaBlaBlaBlaBlaBla&#10;Bla&#10;Bla&#10;Bla&#10;Bla&#10;&#10;"/>
    <w:docVar w:name="tbDocumentIntroduction" w:val="AQUI LA CITA GLORIOSA DEL CLIENTE"/>
    <w:docVar w:name="tbDocumentIntroductionCredit" w:val="NOMBRE CLIENTE"/>
    <w:docVar w:name="tbDocumentSituation" w:val="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Rollo de la SITUACION "/>
    <w:docVar w:name="tbDocumentSolution" w:val="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Rollo de la SOLUCION "/>
    <w:docVar w:name="tbDocumentTitle" w:val="PONER AQUI EL TITULO DEL CASE STUDY"/>
    <w:docVar w:name="tbOverviewBenefits1" w:val="Beneficio 1"/>
    <w:docVar w:name="tbOverviewBenefits2" w:val="Beneficio 2"/>
    <w:docVar w:name="tbOverviewBenefits3" w:val="Beneficio 3"/>
    <w:docVar w:name="tbOverviewBenefits4" w:val="Beneficio 4"/>
    <w:docVar w:name="tbOverviewBenefits5" w:val="Beneficio 5"/>
    <w:docVar w:name="tbOverviewBusinessSituation" w:val="Situación de Negocio"/>
    <w:docVar w:name="tbOverviewCountry" w:val="España"/>
    <w:docVar w:name="tbOverviewCustomerProfile" w:val="Perfil del Cliente"/>
    <w:docVar w:name="tbOverviewIndustry" w:val="Sector"/>
    <w:docVar w:name="tbOverviewSolution" w:val="Solución"/>
    <w:docVar w:name="tbPartnerName" w:val="Nombre Partner"/>
    <w:docVar w:name="tbPartnerPhone" w:val="Teléfono partner"/>
    <w:docVar w:name="tbPartnerURL" w:val="URL Partner"/>
    <w:docVar w:name="tbProductBoilerplateText" w:val="Large retailers, hoteliers, and restaurateurs are facing strong challenges in virtually all areas of their business, from ever-changing customers and increasing competition to shifting models and emerging technology. Through the Smarter Retailing Initiative, Microsoft and its partners are working together to meet these challenges and empower the retail and hospitality industry with a competitive edge. By providing powerful integrated solutions, we enable improved shopping for the customer, a more effective sales staff, and enhanced operations at store and corporate levels.&#10; &#10;For more information about Microsoft solutions for the retail industry, go to: &#10;www.microsoft.com/resources/retail&#10;"/>
    <w:docVar w:name="tbProductBoilerplateTitle" w:val="Microsoft Solutions for the Retail Industry"/>
    <w:docVar w:name="tbProductHardware1" w:val="Hardware"/>
    <w:docVar w:name="tbProductPartners1" w:val="Partners"/>
    <w:docVar w:name="tbProductTitle" w:val="Microsoft Customer Solution&#10;Retail Industry Case Study"/>
  </w:docVars>
  <w:rsids>
    <w:rsidRoot w:val="004A1920"/>
    <w:rsid w:val="001E1734"/>
    <w:rsid w:val="004C154E"/>
    <w:rsid w:val="006F0148"/>
    <w:rsid w:val="007A006B"/>
    <w:rsid w:val="009763A5"/>
    <w:rsid w:val="00F456B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style="mso-position-horizontal-relative:page;mso-position-vertical-relative:page" fillcolor="white" stroke="f">
      <v:fill color="white"/>
      <v:stroke on="f"/>
      <v:textbox inset="0,0,0,0"/>
      <o:colormru v:ext="edit" colors="#6c3,#afe494,silver,#ddd,#999,#ccc,#bde9a7"/>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anklin Gothic Book" w:hAnsi="Franklin Gothic Book"/>
      <w:sz w:val="17"/>
      <w:szCs w:val="24"/>
      <w:lang w:val="en-GB" w:eastAsia="en-US"/>
    </w:rPr>
  </w:style>
  <w:style w:type="paragraph" w:styleId="Ttulo1">
    <w:name w:val="heading 1"/>
    <w:basedOn w:val="Normal"/>
    <w:next w:val="Normal"/>
    <w:qFormat/>
    <w:pPr>
      <w:keepNext/>
      <w:spacing w:before="240" w:after="60"/>
      <w:jc w:val="both"/>
      <w:outlineLvl w:val="0"/>
    </w:pPr>
    <w:rPr>
      <w:rFonts w:ascii="Arial" w:hAnsi="Arial"/>
      <w:b/>
      <w:kern w:val="28"/>
      <w:sz w:val="28"/>
      <w:szCs w:val="20"/>
      <w:lang w:bidi="he-IL"/>
    </w:rPr>
  </w:style>
  <w:style w:type="paragraph" w:styleId="Ttulo2">
    <w:name w:val="heading 2"/>
    <w:basedOn w:val="Ttulo1"/>
    <w:next w:val="Normal"/>
    <w:qFormat/>
    <w:pPr>
      <w:numPr>
        <w:ilvl w:val="1"/>
        <w:numId w:val="6"/>
      </w:numPr>
      <w:spacing w:after="240"/>
      <w:jc w:val="left"/>
      <w:outlineLvl w:val="1"/>
    </w:pPr>
    <w:rPr>
      <w:kern w:val="0"/>
      <w:sz w:val="26"/>
    </w:rPr>
  </w:style>
  <w:style w:type="paragraph" w:styleId="Ttulo3">
    <w:name w:val="heading 3"/>
    <w:basedOn w:val="Normal"/>
    <w:next w:val="Normal"/>
    <w:qFormat/>
    <w:pPr>
      <w:keepNext/>
      <w:numPr>
        <w:ilvl w:val="2"/>
        <w:numId w:val="7"/>
      </w:numPr>
      <w:tabs>
        <w:tab w:val="clear" w:pos="720"/>
        <w:tab w:val="num" w:pos="360"/>
      </w:tabs>
      <w:spacing w:before="240" w:after="60"/>
      <w:ind w:left="360" w:hanging="360"/>
      <w:outlineLvl w:val="2"/>
    </w:pPr>
    <w:rPr>
      <w:rFonts w:ascii="Arial" w:hAnsi="Arial"/>
      <w:sz w:val="24"/>
      <w:szCs w:val="20"/>
      <w:lang w:bidi="he-IL"/>
    </w:rPr>
  </w:style>
  <w:style w:type="paragraph" w:styleId="Ttulo4">
    <w:name w:val="heading 4"/>
    <w:basedOn w:val="Normal"/>
    <w:next w:val="Normal"/>
    <w:qFormat/>
    <w:pPr>
      <w:keepNext/>
      <w:spacing w:before="240" w:after="60"/>
      <w:outlineLvl w:val="3"/>
    </w:pPr>
    <w:rPr>
      <w:rFonts w:ascii="Arial" w:hAnsi="Arial"/>
      <w:b/>
      <w:sz w:val="24"/>
      <w:szCs w:val="20"/>
      <w:lang w:bidi="he-I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Code">
    <w:name w:val="Code"/>
    <w:basedOn w:val="Normal"/>
    <w:pPr>
      <w:ind w:left="1134"/>
    </w:pPr>
    <w:rPr>
      <w:rFonts w:ascii="Lucida Sans Typewriter" w:hAnsi="Lucida Sans Typewriter"/>
      <w:sz w:val="20"/>
    </w:rPr>
  </w:style>
  <w:style w:type="paragraph" w:styleId="Piedepgina">
    <w:name w:val="footer"/>
    <w:basedOn w:val="Normal"/>
    <w:pPr>
      <w:tabs>
        <w:tab w:val="center" w:pos="4153"/>
        <w:tab w:val="right" w:pos="8306"/>
      </w:tabs>
    </w:pPr>
  </w:style>
  <w:style w:type="paragraph" w:styleId="Encabezado">
    <w:name w:val="header"/>
    <w:basedOn w:val="Normal"/>
    <w:pPr>
      <w:tabs>
        <w:tab w:val="center" w:pos="4153"/>
        <w:tab w:val="right" w:pos="8306"/>
      </w:tabs>
      <w:jc w:val="both"/>
    </w:pPr>
    <w:rPr>
      <w:sz w:val="16"/>
      <w:szCs w:val="20"/>
      <w:lang w:bidi="he-IL"/>
    </w:rPr>
  </w:style>
  <w:style w:type="paragraph" w:styleId="Remitedesobre">
    <w:name w:val="envelope return"/>
    <w:basedOn w:val="Normal"/>
    <w:rPr>
      <w:rFonts w:ascii="FundRunk-Normal" w:hAnsi="FundRunk-Normal"/>
      <w:i/>
      <w:sz w:val="48"/>
      <w:szCs w:val="48"/>
    </w:rPr>
  </w:style>
  <w:style w:type="paragraph" w:styleId="Textocomentario">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pPr>
      <w:spacing w:line="240" w:lineRule="exact"/>
    </w:pPr>
    <w:rPr>
      <w:lang w:val="en-US"/>
    </w:rPr>
  </w:style>
  <w:style w:type="paragraph" w:customStyle="1" w:styleId="SectionHeading">
    <w:name w:val="Section Heading"/>
    <w:basedOn w:val="ColoredText"/>
    <w:next w:val="Bodycopy"/>
    <w:rPr>
      <w:rFonts w:ascii="Franklin Gothic Medium" w:hAnsi="Franklin Gothic Medium"/>
      <w:sz w:val="24"/>
    </w:rPr>
  </w:style>
  <w:style w:type="paragraph" w:customStyle="1" w:styleId="Subject">
    <w:name w:val="Subject"/>
    <w:basedOn w:val="Normal"/>
    <w:pPr>
      <w:jc w:val="center"/>
    </w:pPr>
    <w:rPr>
      <w:rFonts w:ascii="Century Schoolbook" w:hAnsi="Century Schoolbook"/>
      <w:b/>
      <w:sz w:val="32"/>
      <w:u w:val="single"/>
    </w:rPr>
  </w:style>
  <w:style w:type="paragraph" w:styleId="Textosinformato">
    <w:name w:val="Plain Text"/>
    <w:basedOn w:val="Normal"/>
    <w:rPr>
      <w:sz w:val="22"/>
    </w:rPr>
  </w:style>
  <w:style w:type="paragraph" w:customStyle="1" w:styleId="MergedAnswer">
    <w:name w:val="MergedAnswer"/>
    <w:basedOn w:val="Normal"/>
  </w:style>
  <w:style w:type="paragraph" w:styleId="TDC2">
    <w:name w:val="toc 2"/>
    <w:basedOn w:val="Normal"/>
    <w:next w:val="Normal"/>
    <w:autoRedefine/>
    <w:semiHidden/>
    <w:pPr>
      <w:widowControl w:val="0"/>
      <w:numPr>
        <w:numId w:val="4"/>
      </w:numPr>
      <w:tabs>
        <w:tab w:val="left" w:pos="851"/>
        <w:tab w:val="right" w:pos="8335"/>
      </w:tabs>
      <w:ind w:left="0" w:firstLine="0"/>
    </w:pPr>
    <w:rPr>
      <w:rFonts w:ascii="Times New Roman" w:eastAsia="PMingLiU" w:hAnsi="Times New Roman"/>
      <w:kern w:val="2"/>
      <w:sz w:val="40"/>
      <w:lang w:val="en-US" w:eastAsia="zh-TW"/>
    </w:rPr>
  </w:style>
  <w:style w:type="paragraph" w:customStyle="1" w:styleId="StandFirstIntroduction">
    <w:name w:val="Stand First Introduction"/>
    <w:basedOn w:val="Normal"/>
    <w:pPr>
      <w:spacing w:line="360" w:lineRule="exact"/>
    </w:pPr>
    <w:rPr>
      <w:sz w:val="24"/>
    </w:rPr>
  </w:style>
  <w:style w:type="paragraph" w:customStyle="1" w:styleId="PartnerName">
    <w:name w:val="Partner Name"/>
    <w:basedOn w:val="ColoredText"/>
    <w:pPr>
      <w:spacing w:after="10" w:line="240" w:lineRule="auto"/>
    </w:pPr>
    <w:rPr>
      <w:rFonts w:ascii="Franklin Gothic Medium" w:hAnsi="Franklin Gothic Medium"/>
      <w:bCs/>
      <w:sz w:val="32"/>
    </w:rPr>
  </w:style>
  <w:style w:type="paragraph" w:customStyle="1" w:styleId="WHITEPAPER">
    <w:name w:val="WHITE PAPER"/>
    <w:basedOn w:val="ColoredText"/>
    <w:pPr>
      <w:spacing w:before="100" w:line="240" w:lineRule="auto"/>
      <w:jc w:val="right"/>
    </w:pPr>
    <w:rPr>
      <w:rFonts w:ascii="Franklin Gothic Medium" w:hAnsi="Franklin Gothic Medium"/>
      <w:sz w:val="14"/>
    </w:rPr>
  </w:style>
  <w:style w:type="paragraph" w:customStyle="1" w:styleId="Tabletextheading">
    <w:name w:val="Table text heading"/>
    <w:basedOn w:val="Normal"/>
    <w:next w:val="Tabletext"/>
    <w:pPr>
      <w:spacing w:before="40" w:after="20"/>
    </w:pPr>
    <w:rPr>
      <w:rFonts w:ascii="Franklin Gothic Medium" w:hAnsi="Franklin Gothic Medium"/>
      <w:b/>
      <w:bCs/>
    </w:rPr>
  </w:style>
  <w:style w:type="paragraph" w:customStyle="1" w:styleId="Bullet">
    <w:name w:val="Bullet"/>
    <w:basedOn w:val="Bulletcolored"/>
    <w:rsid w:val="00FD6D2A"/>
    <w:pPr>
      <w:numPr>
        <w:numId w:val="11"/>
      </w:numPr>
    </w:pPr>
    <w:rPr>
      <w:color w:val="auto"/>
    </w:rPr>
  </w:style>
  <w:style w:type="paragraph" w:customStyle="1" w:styleId="Bodycopyheading">
    <w:name w:val="Body copy heading"/>
    <w:basedOn w:val="Bodycopy"/>
    <w:next w:val="Bodycopy"/>
    <w:rPr>
      <w:rFonts w:ascii="Franklin Gothic Heavy" w:hAnsi="Franklin Gothic Heavy"/>
      <w:szCs w:val="17"/>
    </w:rPr>
  </w:style>
  <w:style w:type="paragraph" w:customStyle="1" w:styleId="Disclaimer">
    <w:name w:val="Disclaimer"/>
    <w:basedOn w:val="Bodycopy"/>
    <w:pPr>
      <w:spacing w:line="120" w:lineRule="exact"/>
    </w:pPr>
    <w:rPr>
      <w:sz w:val="11"/>
    </w:rPr>
  </w:style>
  <w:style w:type="paragraph" w:customStyle="1" w:styleId="Pullquote">
    <w:name w:val="Pull quote"/>
    <w:basedOn w:val="ColoredText"/>
    <w:pPr>
      <w:spacing w:line="360" w:lineRule="exact"/>
    </w:pPr>
    <w:rPr>
      <w:sz w:val="30"/>
    </w:rPr>
  </w:style>
  <w:style w:type="paragraph" w:customStyle="1" w:styleId="Diagramcaption">
    <w:name w:val="Diagram caption"/>
    <w:basedOn w:val="ColoredText"/>
    <w:rPr>
      <w:rFonts w:ascii="Franklin Gothic Medium" w:hAnsi="Franklin Gothic Medium"/>
      <w:sz w:val="19"/>
    </w:rPr>
  </w:style>
  <w:style w:type="paragraph" w:styleId="TDC1">
    <w:name w:val="toc 1"/>
    <w:basedOn w:val="Normal"/>
    <w:next w:val="Normal"/>
    <w:semiHidden/>
    <w:pPr>
      <w:tabs>
        <w:tab w:val="right" w:pos="3289"/>
      </w:tabs>
      <w:spacing w:line="360" w:lineRule="exact"/>
    </w:pPr>
    <w:rPr>
      <w:noProof/>
      <w:color w:val="FFFFFF"/>
      <w:sz w:val="24"/>
    </w:rPr>
  </w:style>
  <w:style w:type="paragraph" w:styleId="TDC3">
    <w:name w:val="toc 3"/>
    <w:basedOn w:val="Normal"/>
    <w:next w:val="Normal"/>
    <w:autoRedefine/>
    <w:semiHidden/>
    <w:pPr>
      <w:ind w:left="440"/>
    </w:pPr>
  </w:style>
  <w:style w:type="paragraph" w:styleId="TDC4">
    <w:name w:val="toc 4"/>
    <w:basedOn w:val="Normal"/>
    <w:next w:val="Normal"/>
    <w:autoRedefine/>
    <w:semiHidden/>
    <w:pPr>
      <w:ind w:left="660"/>
    </w:pPr>
  </w:style>
  <w:style w:type="paragraph" w:styleId="TDC5">
    <w:name w:val="toc 5"/>
    <w:basedOn w:val="Normal"/>
    <w:next w:val="Normal"/>
    <w:autoRedefine/>
    <w:semiHidden/>
    <w:pPr>
      <w:ind w:left="880"/>
    </w:pPr>
  </w:style>
  <w:style w:type="paragraph" w:styleId="TDC6">
    <w:name w:val="toc 6"/>
    <w:basedOn w:val="Normal"/>
    <w:next w:val="Normal"/>
    <w:autoRedefine/>
    <w:semiHidden/>
    <w:pPr>
      <w:ind w:left="1100"/>
    </w:pPr>
  </w:style>
  <w:style w:type="paragraph" w:styleId="TDC7">
    <w:name w:val="toc 7"/>
    <w:basedOn w:val="Normal"/>
    <w:next w:val="Normal"/>
    <w:autoRedefine/>
    <w:semiHidden/>
    <w:pPr>
      <w:ind w:left="1320"/>
    </w:pPr>
  </w:style>
  <w:style w:type="paragraph" w:styleId="TDC8">
    <w:name w:val="toc 8"/>
    <w:basedOn w:val="Normal"/>
    <w:next w:val="Normal"/>
    <w:autoRedefine/>
    <w:semiHidden/>
    <w:pPr>
      <w:ind w:left="1540"/>
    </w:pPr>
  </w:style>
  <w:style w:type="paragraph" w:styleId="TDC9">
    <w:name w:val="toc 9"/>
    <w:basedOn w:val="Normal"/>
    <w:next w:val="Normal"/>
    <w:autoRedefine/>
    <w:semiHidden/>
    <w:pPr>
      <w:ind w:left="1760"/>
    </w:pPr>
  </w:style>
  <w:style w:type="character" w:styleId="Hipervnculo">
    <w:name w:val="Hyperlink"/>
    <w:basedOn w:val="Fuentedeprrafopredeter"/>
    <w:rPr>
      <w:color w:val="0000FF"/>
      <w:u w:val="single"/>
    </w:rPr>
  </w:style>
  <w:style w:type="paragraph" w:customStyle="1" w:styleId="AutoCorrect">
    <w:name w:val="AutoCorrect"/>
    <w:rPr>
      <w:lang w:val="en-GB" w:eastAsia="en-US" w:bidi="he-IL"/>
    </w:rPr>
  </w:style>
  <w:style w:type="paragraph" w:styleId="Textoindependiente">
    <w:name w:val="Body Text"/>
    <w:basedOn w:val="Normal"/>
    <w:pPr>
      <w:spacing w:after="120"/>
    </w:pPr>
    <w:rPr>
      <w:rFonts w:ascii="Arial" w:hAnsi="Arial"/>
      <w:snapToGrid w:val="0"/>
      <w:sz w:val="20"/>
      <w:szCs w:val="20"/>
      <w:lang w:val="en-US" w:bidi="he-IL"/>
    </w:rPr>
  </w:style>
  <w:style w:type="paragraph" w:customStyle="1" w:styleId="Bulletcolored">
    <w:name w:val="Bullet colored"/>
    <w:basedOn w:val="ColoredText"/>
    <w:rsid w:val="00FD6D2A"/>
    <w:pPr>
      <w:numPr>
        <w:numId w:val="12"/>
      </w:numPr>
    </w:pPr>
    <w:rPr>
      <w:szCs w:val="17"/>
    </w:rPr>
  </w:style>
  <w:style w:type="paragraph" w:customStyle="1" w:styleId="ColoredText">
    <w:name w:val="Colored Text"/>
    <w:basedOn w:val="Bodycopy"/>
    <w:rPr>
      <w:color w:val="005825"/>
    </w:rPr>
  </w:style>
  <w:style w:type="paragraph" w:customStyle="1" w:styleId="DocumentTitle">
    <w:name w:val="Document Title"/>
    <w:basedOn w:val="ColoredText"/>
    <w:pPr>
      <w:spacing w:line="360" w:lineRule="exact"/>
    </w:pPr>
    <w:rPr>
      <w:rFonts w:ascii="Franklin Gothic Medium" w:hAnsi="Franklin Gothic Medium"/>
      <w:color w:val="auto"/>
      <w:sz w:val="32"/>
    </w:rPr>
  </w:style>
  <w:style w:type="paragraph" w:customStyle="1" w:styleId="Tableheading">
    <w:name w:val="Table heading"/>
    <w:basedOn w:val="ColoredText"/>
    <w:rPr>
      <w:rFonts w:ascii="Franklin Gothic Medium" w:hAnsi="Franklin Gothic Medium"/>
      <w:bCs/>
    </w:rPr>
  </w:style>
  <w:style w:type="paragraph" w:customStyle="1" w:styleId="Bulletbold">
    <w:name w:val="Bullet bold"/>
    <w:basedOn w:val="Bullet"/>
    <w:rsid w:val="00FD6D2A"/>
    <w:pPr>
      <w:numPr>
        <w:numId w:val="10"/>
      </w:numPr>
    </w:pPr>
    <w:rPr>
      <w:rFonts w:ascii="Franklin Gothic Heavy" w:hAnsi="Franklin Gothic Heavy"/>
    </w:rPr>
  </w:style>
  <w:style w:type="paragraph" w:customStyle="1" w:styleId="Contents">
    <w:name w:val="Contents"/>
    <w:basedOn w:val="Bodycopy"/>
    <w:pPr>
      <w:spacing w:line="480" w:lineRule="exact"/>
    </w:pPr>
    <w:rPr>
      <w:rFonts w:ascii="Franklin Gothic Medium" w:hAnsi="Franklin Gothic Medium"/>
      <w:color w:val="FFFFFF"/>
      <w:sz w:val="30"/>
    </w:rPr>
  </w:style>
  <w:style w:type="character" w:styleId="Nmerodepgina">
    <w:name w:val="page number"/>
    <w:basedOn w:val="Fuentedeprrafopredeter"/>
    <w:rPr>
      <w:rFonts w:ascii="Franklin Gothic Book" w:hAnsi="Franklin Gothic Book"/>
      <w:spacing w:val="20"/>
      <w:sz w:val="16"/>
    </w:rPr>
  </w:style>
  <w:style w:type="paragraph" w:customStyle="1" w:styleId="Tabletext">
    <w:name w:val="Table text"/>
    <w:basedOn w:val="Bodycopy"/>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rFonts w:ascii="Franklin Gothic Medium" w:hAnsi="Franklin Gothic Medium"/>
      <w:color w:val="FFFFFF"/>
      <w:sz w:val="24"/>
    </w:rPr>
  </w:style>
  <w:style w:type="paragraph" w:customStyle="1" w:styleId="PullQuotecredit">
    <w:name w:val="Pull Quote credit"/>
    <w:basedOn w:val="Pullquote"/>
    <w:pPr>
      <w:spacing w:before="120" w:line="240" w:lineRule="exact"/>
    </w:pPr>
    <w:rPr>
      <w:sz w:val="16"/>
    </w:rPr>
  </w:style>
  <w:style w:type="paragraph" w:customStyle="1" w:styleId="Diagramtitle">
    <w:name w:val="Diagram title"/>
    <w:basedOn w:val="Bodycopy"/>
    <w:rPr>
      <w:rFonts w:ascii="Franklin Gothic Medium" w:hAnsi="Franklin Gothic Medium"/>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
    <w:rsid w:val="00FD6D2A"/>
    <w:pPr>
      <w:numPr>
        <w:numId w:val="8"/>
      </w:numPr>
    </w:pPr>
  </w:style>
  <w:style w:type="paragraph" w:customStyle="1" w:styleId="TableTitle">
    <w:name w:val="Table Title"/>
    <w:basedOn w:val="Tabletextheading"/>
    <w:pPr>
      <w:ind w:left="60"/>
    </w:pPr>
    <w:rPr>
      <w:color w:val="FFFFFF"/>
      <w:szCs w:val="17"/>
    </w:rPr>
  </w:style>
  <w:style w:type="paragraph" w:styleId="Direccinsobre">
    <w:name w:val="envelope address"/>
    <w:basedOn w:val="Normal"/>
    <w:pPr>
      <w:framePr w:w="7920" w:h="1980" w:hRule="exact" w:hSpace="180" w:wrap="auto" w:hAnchor="page" w:xAlign="center" w:yAlign="bottom"/>
      <w:ind w:left="2880"/>
    </w:pPr>
    <w:rPr>
      <w:rFonts w:ascii="Arial" w:hAnsi="Arial" w:cs="Arial"/>
      <w:sz w:val="24"/>
    </w:rPr>
  </w:style>
  <w:style w:type="paragraph" w:customStyle="1" w:styleId="BulletLevel2">
    <w:name w:val="Bullet Level2"/>
    <w:basedOn w:val="BulletGrey"/>
    <w:pPr>
      <w:numPr>
        <w:numId w:val="9"/>
      </w:numPr>
    </w:pPr>
  </w:style>
  <w:style w:type="paragraph" w:styleId="Textodeglobo">
    <w:name w:val="Balloon Text"/>
    <w:basedOn w:val="Normal"/>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susp\Datos%20de%20programa\Microsoft\Templates\CEP_Template.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CEP_Template.dot</Template>
  <TotalTime>1</TotalTime>
  <Pages>4</Pages>
  <Words>1495</Words>
  <Characters>8226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WriteImage CEP PONER AQUI EL TITULO DEL CASE STUDY</vt:lpstr>
    </vt:vector>
  </TitlesOfParts>
  <Company>WriteImage</Company>
  <LinksUpToDate>false</LinksUpToDate>
  <CharactersWithSpaces>9702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WriteImage CEP PONER AQUI EL TITULO DEL CASE STUDY</dc:title>
  <dc:subject>Customer: Nombre Cliente  Partner: Nombre Partner</dc:subject>
  <dc:creator>Jesús Pintado Vazquez</dc:creator>
  <cp:keywords>Country: España  Industry: Sector</cp:keywords>
  <cp:lastModifiedBy>rlopez</cp:lastModifiedBy>
  <cp:revision>2</cp:revision>
  <cp:lastPrinted>2003-07-10T23:36:00Z</cp:lastPrinted>
  <dcterms:created xsi:type="dcterms:W3CDTF">2007-11-26T11:29:00Z</dcterms:created>
  <dcterms:modified xsi:type="dcterms:W3CDTF">2007-11-26T11:29:00Z</dcterms:modified>
  <cp:category>Product: Microsoft Customer Solution_x000d_
Retail Industry Case Study</cp:category>
</cp:coreProperties>
</file>