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204EE8" w:rsidRPr="005A7F0B">
        <w:tblPrEx>
          <w:tblCellMar>
            <w:top w:w="0" w:type="dxa"/>
            <w:left w:w="0" w:type="dxa"/>
            <w:bottom w:w="0" w:type="dxa"/>
            <w:right w:w="0" w:type="dxa"/>
          </w:tblCellMar>
        </w:tblPrEx>
        <w:trPr>
          <w:cantSplit/>
          <w:trHeight w:hRule="exact" w:val="1970"/>
        </w:trPr>
        <w:tc>
          <w:tcPr>
            <w:tcW w:w="3119" w:type="dxa"/>
            <w:vMerge w:val="restart"/>
          </w:tcPr>
          <w:p w:rsidR="00204EE8" w:rsidRPr="00ED6F7D" w:rsidRDefault="00204EE8">
            <w:pPr>
              <w:pStyle w:val="SectionHeading"/>
              <w:spacing w:before="100"/>
              <w:rPr>
                <w:lang w:val="es-ES"/>
              </w:rPr>
            </w:pPr>
            <w:bookmarkStart w:id="0" w:name="TableColumn" w:colFirst="1" w:colLast="1"/>
            <w:r w:rsidRPr="00ED6F7D">
              <w:rPr>
                <w:lang w:val="es-ES"/>
              </w:rPr>
              <w:t>Resumen</w:t>
            </w:r>
          </w:p>
          <w:p w:rsidR="00204EE8" w:rsidRPr="00ED6F7D" w:rsidRDefault="00204EE8">
            <w:pPr>
              <w:pStyle w:val="Bodycopy"/>
              <w:rPr>
                <w:lang w:val="es-ES"/>
              </w:rPr>
            </w:pPr>
            <w:r w:rsidRPr="00ED6F7D">
              <w:rPr>
                <w:rFonts w:ascii="Franklin Gothic Heavy" w:hAnsi="Franklin Gothic Heavy"/>
                <w:lang w:val="es-ES"/>
              </w:rPr>
              <w:t>País:</w:t>
            </w:r>
            <w:r w:rsidRPr="00ED6F7D">
              <w:rPr>
                <w:lang w:val="es-ES"/>
              </w:rPr>
              <w:t xml:space="preserve"> </w:t>
            </w:r>
            <w:bookmarkStart w:id="1" w:name="OverviewCountry"/>
            <w:r w:rsidRPr="00ED6F7D">
              <w:rPr>
                <w:lang w:val="es-ES"/>
              </w:rPr>
              <w:t>España</w:t>
            </w:r>
            <w:bookmarkEnd w:id="1"/>
          </w:p>
          <w:p w:rsidR="00204EE8" w:rsidRPr="00ED6F7D" w:rsidRDefault="00204EE8">
            <w:pPr>
              <w:pStyle w:val="Bodycopy"/>
              <w:rPr>
                <w:lang w:val="es-ES"/>
              </w:rPr>
            </w:pPr>
            <w:r w:rsidRPr="00ED6F7D">
              <w:rPr>
                <w:rFonts w:ascii="Franklin Gothic Heavy" w:hAnsi="Franklin Gothic Heavy"/>
                <w:lang w:val="es-ES"/>
              </w:rPr>
              <w:t>Sector:</w:t>
            </w:r>
            <w:r w:rsidRPr="00ED6F7D">
              <w:rPr>
                <w:lang w:val="es-ES"/>
              </w:rPr>
              <w:t xml:space="preserve"> </w:t>
            </w:r>
            <w:r>
              <w:rPr>
                <w:lang w:val="es-ES"/>
              </w:rPr>
              <w:t>Comunicaciones</w:t>
            </w:r>
          </w:p>
          <w:p w:rsidR="00204EE8" w:rsidRPr="00ED6F7D" w:rsidRDefault="00204EE8">
            <w:pPr>
              <w:pStyle w:val="Bodycopy"/>
              <w:rPr>
                <w:lang w:val="es-ES"/>
              </w:rPr>
            </w:pPr>
          </w:p>
          <w:p w:rsidR="00204EE8" w:rsidRPr="00ED6F7D" w:rsidRDefault="00204EE8">
            <w:pPr>
              <w:pStyle w:val="Bodycopyheading"/>
              <w:rPr>
                <w:lang w:val="it-IT"/>
              </w:rPr>
            </w:pPr>
            <w:r w:rsidRPr="00ED6F7D">
              <w:rPr>
                <w:lang w:val="it-IT"/>
              </w:rPr>
              <w:t>Perfil del Cliente</w:t>
            </w:r>
          </w:p>
          <w:p w:rsidR="00204EE8" w:rsidRPr="00E13422" w:rsidRDefault="00204EE8" w:rsidP="00204EE8">
            <w:pPr>
              <w:pStyle w:val="Bodycopy"/>
              <w:rPr>
                <w:lang w:val="es-ES"/>
              </w:rPr>
            </w:pPr>
            <w:r w:rsidRPr="00E13422">
              <w:rPr>
                <w:bCs/>
                <w:lang w:val="es-ES"/>
              </w:rPr>
              <w:t xml:space="preserve">Telefónica </w:t>
            </w:r>
            <w:r>
              <w:rPr>
                <w:bCs/>
                <w:lang w:val="es-ES"/>
              </w:rPr>
              <w:t>o</w:t>
            </w:r>
            <w:r w:rsidRPr="00E13422">
              <w:rPr>
                <w:bCs/>
                <w:lang w:val="es-ES"/>
              </w:rPr>
              <w:t xml:space="preserve">cupa la quinta posición en el sector de telecomunicaciones a nivel mundial por capitalización bursátil. En junio de 2007, </w:t>
            </w:r>
            <w:r>
              <w:rPr>
                <w:bCs/>
                <w:lang w:val="es-ES"/>
              </w:rPr>
              <w:t>su</w:t>
            </w:r>
            <w:r w:rsidRPr="00E13422">
              <w:rPr>
                <w:bCs/>
                <w:lang w:val="es-ES"/>
              </w:rPr>
              <w:t xml:space="preserve"> número de clientes era de 212,6 millones.</w:t>
            </w:r>
          </w:p>
          <w:p w:rsidR="00204EE8" w:rsidRPr="00E13422" w:rsidRDefault="00204EE8">
            <w:pPr>
              <w:pStyle w:val="Bodycopy"/>
              <w:rPr>
                <w:lang w:val="es-ES"/>
              </w:rPr>
            </w:pPr>
          </w:p>
          <w:p w:rsidR="00204EE8" w:rsidRPr="00ED6F7D" w:rsidRDefault="00204EE8">
            <w:pPr>
              <w:pStyle w:val="Bodycopyheading"/>
              <w:rPr>
                <w:lang w:val="it-IT"/>
              </w:rPr>
            </w:pPr>
            <w:r>
              <w:rPr>
                <w:lang w:val="it-IT"/>
              </w:rPr>
              <w:t>Situación de Negocio</w:t>
            </w:r>
          </w:p>
          <w:p w:rsidR="00204EE8" w:rsidRPr="00E13422" w:rsidRDefault="00204EE8" w:rsidP="00204EE8">
            <w:pPr>
              <w:pStyle w:val="Bodycopy"/>
              <w:rPr>
                <w:b/>
                <w:lang w:val="es-ES"/>
              </w:rPr>
            </w:pPr>
            <w:r w:rsidRPr="00E13422">
              <w:rPr>
                <w:bCs/>
                <w:lang w:val="es-ES"/>
              </w:rPr>
              <w:t>El auge de las soluciones inalámbri</w:t>
            </w:r>
            <w:r w:rsidRPr="00E13422">
              <w:rPr>
                <w:bCs/>
                <w:lang w:val="es-ES"/>
              </w:rPr>
              <w:softHyphen/>
              <w:t>cas y el llamado hogar multimedia anuncian un incremento aún mayor de la complejidad: los teléfonos IP, las PDAs y hasta la televisión se conectarán al servidor de Telefónica para navegar o descargar contenidos multimedia.</w:t>
            </w:r>
          </w:p>
          <w:p w:rsidR="00204EE8" w:rsidRPr="00D46119" w:rsidRDefault="00204EE8">
            <w:pPr>
              <w:pStyle w:val="Bodycopy"/>
              <w:rPr>
                <w:lang w:val="es-ES"/>
              </w:rPr>
            </w:pPr>
          </w:p>
          <w:p w:rsidR="00204EE8" w:rsidRPr="00D46119" w:rsidRDefault="00204EE8">
            <w:pPr>
              <w:pStyle w:val="Bodycopyheading"/>
              <w:rPr>
                <w:lang w:val="es-ES"/>
              </w:rPr>
            </w:pPr>
            <w:r w:rsidRPr="00D46119">
              <w:rPr>
                <w:lang w:val="es-ES"/>
              </w:rPr>
              <w:t>Solución</w:t>
            </w:r>
          </w:p>
          <w:p w:rsidR="00204EE8" w:rsidRPr="00E13422" w:rsidRDefault="00204EE8" w:rsidP="00204EE8">
            <w:pPr>
              <w:pStyle w:val="Bodycopy"/>
              <w:rPr>
                <w:b/>
                <w:lang w:val="es-ES"/>
              </w:rPr>
            </w:pPr>
            <w:r w:rsidRPr="00E13422">
              <w:rPr>
                <w:lang w:val="es-ES"/>
              </w:rPr>
              <w:t xml:space="preserve">Para mejorar las relaciones entre servicios, equipamientos y usuarios se creó un nuevo prototipo de Sistema de Gestión y Configuración Remota de Equipamiento de Cliente. </w:t>
            </w:r>
            <w:r>
              <w:rPr>
                <w:lang w:val="es-ES"/>
              </w:rPr>
              <w:t>La tecnología de Microsoft ha sido clave en su desarrollo</w:t>
            </w:r>
            <w:r w:rsidRPr="00E13422">
              <w:rPr>
                <w:lang w:val="es-ES"/>
              </w:rPr>
              <w:t>.</w:t>
            </w:r>
          </w:p>
          <w:p w:rsidR="00204EE8" w:rsidRPr="00D46119" w:rsidRDefault="00204EE8">
            <w:pPr>
              <w:pStyle w:val="Bodycopy"/>
              <w:rPr>
                <w:lang w:val="es-ES"/>
              </w:rPr>
            </w:pPr>
          </w:p>
          <w:p w:rsidR="00204EE8" w:rsidRPr="00D46119" w:rsidRDefault="00204EE8">
            <w:pPr>
              <w:pStyle w:val="Bodycopyheading"/>
              <w:rPr>
                <w:lang w:val="es-ES"/>
              </w:rPr>
            </w:pPr>
            <w:r w:rsidRPr="00D46119">
              <w:rPr>
                <w:lang w:val="es-ES"/>
              </w:rPr>
              <w:t>Beneficios</w:t>
            </w:r>
          </w:p>
          <w:p w:rsidR="00204EE8" w:rsidRPr="00D46119" w:rsidRDefault="00204EE8">
            <w:pPr>
              <w:pStyle w:val="Bullet"/>
              <w:rPr>
                <w:lang w:val="es-ES"/>
              </w:rPr>
            </w:pPr>
            <w:bookmarkStart w:id="2" w:name="OverviewBenefits"/>
            <w:r>
              <w:rPr>
                <w:lang w:val="es-ES"/>
              </w:rPr>
              <w:t xml:space="preserve">Gestión uniforme del equipamiento del cliente. </w:t>
            </w:r>
          </w:p>
          <w:p w:rsidR="00204EE8" w:rsidRDefault="00204EE8" w:rsidP="00204EE8">
            <w:pPr>
              <w:pStyle w:val="Bullet"/>
              <w:rPr>
                <w:lang w:val="es-ES"/>
              </w:rPr>
            </w:pPr>
            <w:r>
              <w:rPr>
                <w:lang w:val="es-ES"/>
              </w:rPr>
              <w:t xml:space="preserve">Posibilidad de diagnosis. </w:t>
            </w:r>
          </w:p>
          <w:p w:rsidR="00204EE8" w:rsidRDefault="00204EE8" w:rsidP="00204EE8">
            <w:pPr>
              <w:pStyle w:val="Bullet"/>
              <w:rPr>
                <w:lang w:val="es-ES"/>
              </w:rPr>
            </w:pPr>
            <w:r w:rsidRPr="00DB31B7">
              <w:rPr>
                <w:lang w:val="es-ES"/>
              </w:rPr>
              <w:t>Productividad e interoperabilidad.</w:t>
            </w:r>
          </w:p>
          <w:p w:rsidR="00204EE8" w:rsidRDefault="00204EE8" w:rsidP="00204EE8">
            <w:pPr>
              <w:pStyle w:val="Bullet"/>
              <w:rPr>
                <w:lang w:val="es-ES"/>
              </w:rPr>
            </w:pPr>
            <w:r>
              <w:rPr>
                <w:lang w:val="es-ES"/>
              </w:rPr>
              <w:t xml:space="preserve">Facilidad de uso. </w:t>
            </w:r>
          </w:p>
          <w:p w:rsidR="00204EE8" w:rsidRPr="00DB31B7" w:rsidRDefault="00204EE8" w:rsidP="00204EE8">
            <w:pPr>
              <w:pStyle w:val="Bullet"/>
              <w:rPr>
                <w:lang w:val="es-ES"/>
              </w:rPr>
            </w:pPr>
          </w:p>
          <w:p w:rsidR="00204EE8" w:rsidRPr="00D46119" w:rsidRDefault="00204EE8">
            <w:pPr>
              <w:pStyle w:val="Bullet"/>
              <w:rPr>
                <w:lang w:val="es-ES"/>
              </w:rPr>
            </w:pPr>
            <w:r w:rsidRPr="00D46119">
              <w:rPr>
                <w:lang w:val="es-ES"/>
              </w:rPr>
              <w:t>Beneficio 5</w:t>
            </w:r>
            <w:bookmarkEnd w:id="2"/>
          </w:p>
          <w:p w:rsidR="00204EE8" w:rsidRPr="00DB31B7" w:rsidRDefault="00204EE8">
            <w:pPr>
              <w:pStyle w:val="Bodycopy"/>
              <w:rPr>
                <w:lang w:val="es-ES"/>
              </w:rPr>
            </w:pPr>
          </w:p>
        </w:tc>
        <w:tc>
          <w:tcPr>
            <w:tcW w:w="284" w:type="dxa"/>
            <w:tcBorders>
              <w:left w:val="nil"/>
              <w:right w:val="single" w:sz="8" w:space="0" w:color="FF3300"/>
            </w:tcBorders>
            <w:shd w:val="clear" w:color="auto" w:fill="auto"/>
          </w:tcPr>
          <w:p w:rsidR="00204EE8" w:rsidRPr="00DB31B7" w:rsidRDefault="00204EE8">
            <w:pPr>
              <w:rPr>
                <w:lang w:val="es-ES"/>
              </w:rPr>
            </w:pPr>
          </w:p>
        </w:tc>
        <w:tc>
          <w:tcPr>
            <w:tcW w:w="284" w:type="dxa"/>
            <w:tcBorders>
              <w:left w:val="single" w:sz="8" w:space="0" w:color="FF3300"/>
            </w:tcBorders>
          </w:tcPr>
          <w:p w:rsidR="00204EE8" w:rsidRPr="00DB31B7" w:rsidRDefault="00204EE8">
            <w:pPr>
              <w:rPr>
                <w:lang w:val="es-ES"/>
              </w:rPr>
            </w:pPr>
          </w:p>
        </w:tc>
        <w:tc>
          <w:tcPr>
            <w:tcW w:w="6861" w:type="dxa"/>
          </w:tcPr>
          <w:p w:rsidR="00204EE8" w:rsidRPr="000507A8" w:rsidRDefault="00204EE8" w:rsidP="00204EE8">
            <w:pPr>
              <w:pStyle w:val="Pullquote"/>
              <w:rPr>
                <w:lang w:val="es-ES"/>
              </w:rPr>
            </w:pPr>
            <w:bookmarkStart w:id="3" w:name="DocumentIntroduction"/>
            <w:r>
              <w:rPr>
                <w:lang w:val="es-ES"/>
              </w:rPr>
              <w:t>“</w:t>
            </w:r>
            <w:r w:rsidRPr="005A7F0B">
              <w:rPr>
                <w:lang w:val="es-ES"/>
              </w:rPr>
              <w:t>Microsoft Windows Communication Foundation y Web Service Enhacements para .NET nos pareció la mejor opción por su productividad y funcionalidad”</w:t>
            </w:r>
            <w:r>
              <w:rPr>
                <w:lang w:val="es-ES"/>
              </w:rPr>
              <w:t>.</w:t>
            </w:r>
          </w:p>
          <w:p w:rsidR="00204EE8" w:rsidRPr="0084514C" w:rsidRDefault="00204EE8" w:rsidP="00204EE8">
            <w:pPr>
              <w:pStyle w:val="PullQuotecredit"/>
              <w:spacing w:line="240" w:lineRule="auto"/>
              <w:rPr>
                <w:lang w:val="es-ES"/>
              </w:rPr>
            </w:pPr>
            <w:bookmarkStart w:id="4" w:name="DocumentIntroductionCredit"/>
            <w:bookmarkEnd w:id="3"/>
            <w:r w:rsidRPr="0084514C">
              <w:rPr>
                <w:lang w:val="es-ES"/>
              </w:rPr>
              <w:t xml:space="preserve">Javier Martínez , Arquitecto de Servicios para </w:t>
            </w:r>
            <w:smartTag w:uri="urn:schemas-microsoft-com:office:smarttags" w:element="PersonName">
              <w:smartTagPr>
                <w:attr w:name="ProductID" w:val="la Empresa"/>
              </w:smartTagPr>
              <w:r w:rsidRPr="0084514C">
                <w:rPr>
                  <w:lang w:val="es-ES"/>
                </w:rPr>
                <w:t>la Empresa</w:t>
              </w:r>
            </w:smartTag>
            <w:r w:rsidRPr="0084514C">
              <w:rPr>
                <w:lang w:val="es-ES"/>
              </w:rPr>
              <w:t xml:space="preserve"> de Telefónica I+D.</w:t>
            </w:r>
          </w:p>
          <w:p w:rsidR="00204EE8" w:rsidRPr="0084514C" w:rsidRDefault="00204EE8" w:rsidP="00204EE8">
            <w:pPr>
              <w:pStyle w:val="PullQuotecredit"/>
              <w:spacing w:line="240" w:lineRule="auto"/>
              <w:rPr>
                <w:lang w:val="es-ES"/>
              </w:rPr>
            </w:pPr>
          </w:p>
          <w:bookmarkEnd w:id="4"/>
          <w:p w:rsidR="00204EE8" w:rsidRPr="005A7F0B" w:rsidRDefault="00204EE8">
            <w:pPr>
              <w:spacing w:after="80"/>
              <w:jc w:val="right"/>
              <w:rPr>
                <w:color w:val="FF9900"/>
                <w:lang w:val="es-ES"/>
              </w:rPr>
            </w:pPr>
          </w:p>
        </w:tc>
      </w:tr>
      <w:tr w:rsidR="00204EE8" w:rsidRPr="00E13422">
        <w:tblPrEx>
          <w:tblCellMar>
            <w:top w:w="0" w:type="dxa"/>
            <w:left w:w="0" w:type="dxa"/>
            <w:bottom w:w="0" w:type="dxa"/>
            <w:right w:w="0" w:type="dxa"/>
          </w:tblCellMar>
        </w:tblPrEx>
        <w:trPr>
          <w:cantSplit/>
          <w:trHeight w:hRule="exact" w:val="6300"/>
        </w:trPr>
        <w:tc>
          <w:tcPr>
            <w:tcW w:w="3119" w:type="dxa"/>
            <w:vMerge/>
          </w:tcPr>
          <w:p w:rsidR="00204EE8" w:rsidRPr="005A7F0B" w:rsidRDefault="00204EE8">
            <w:pPr>
              <w:pStyle w:val="Bodycopy"/>
              <w:rPr>
                <w:lang w:val="es-ES"/>
              </w:rPr>
            </w:pPr>
          </w:p>
        </w:tc>
        <w:tc>
          <w:tcPr>
            <w:tcW w:w="284" w:type="dxa"/>
            <w:tcBorders>
              <w:left w:val="nil"/>
              <w:right w:val="single" w:sz="8" w:space="0" w:color="FF3300"/>
            </w:tcBorders>
            <w:shd w:val="clear" w:color="auto" w:fill="auto"/>
          </w:tcPr>
          <w:p w:rsidR="00204EE8" w:rsidRPr="005A7F0B" w:rsidRDefault="00204EE8">
            <w:pPr>
              <w:pStyle w:val="Bodycopy"/>
              <w:rPr>
                <w:lang w:val="es-ES"/>
              </w:rPr>
            </w:pPr>
          </w:p>
        </w:tc>
        <w:tc>
          <w:tcPr>
            <w:tcW w:w="284" w:type="dxa"/>
            <w:tcBorders>
              <w:left w:val="single" w:sz="8" w:space="0" w:color="FF3300"/>
            </w:tcBorders>
          </w:tcPr>
          <w:p w:rsidR="00204EE8" w:rsidRPr="005A7F0B" w:rsidRDefault="00204EE8">
            <w:pPr>
              <w:pStyle w:val="Bodycopy"/>
              <w:rPr>
                <w:lang w:val="es-ES"/>
              </w:rPr>
            </w:pPr>
          </w:p>
        </w:tc>
        <w:tc>
          <w:tcPr>
            <w:tcW w:w="6861" w:type="dxa"/>
          </w:tcPr>
          <w:p w:rsidR="00204EE8" w:rsidRPr="00E13422" w:rsidRDefault="00204EE8" w:rsidP="00204EE8">
            <w:pPr>
              <w:pStyle w:val="StandFirstIntroduction"/>
              <w:rPr>
                <w:bCs/>
                <w:lang w:val="es-ES"/>
              </w:rPr>
            </w:pPr>
            <w:bookmarkStart w:id="5" w:name="DocumentFirstPageBody"/>
            <w:r w:rsidRPr="00E13422">
              <w:rPr>
                <w:bCs/>
                <w:lang w:val="es-ES"/>
              </w:rPr>
              <w:t>El estándar TR-069 y la tecnología de Microsoft han permitido a Telefónica desarrollar un innovador sistema de gestión y configuración remota de cliente. E</w:t>
            </w:r>
            <w:r w:rsidRPr="00E13422">
              <w:rPr>
                <w:lang w:val="es-ES"/>
              </w:rPr>
              <w:t>n 2005, Telefónica I+D puso sobre la mesa la idea de desarrollar el prototipo para desarrollar el sistema cuyo objetivo era mejorar las relacio</w:t>
            </w:r>
            <w:r w:rsidRPr="00E13422">
              <w:rPr>
                <w:lang w:val="es-ES"/>
              </w:rPr>
              <w:softHyphen/>
              <w:t>nes entre servicios, equipamientos y usuarios. Desde el inicio se planteó la idea de utilizar inter</w:t>
            </w:r>
            <w:r w:rsidRPr="00E13422">
              <w:rPr>
                <w:lang w:val="es-ES"/>
              </w:rPr>
              <w:softHyphen/>
              <w:t xml:space="preserve">faces web con el fin de ofrecer a los clientes de Telefónica una herramienta fácil de usar. Se optó por Microsoft Windows Workflow Foundation para el diseño de comandos y protocolos, Microsoft ASP.NET 2.0 en la construcción de los portales y Microsoft Enterprise Library 2.0 como herramienta de gestión de excepciones y de </w:t>
            </w:r>
            <w:r w:rsidRPr="0002514A">
              <w:rPr>
                <w:i/>
                <w:lang w:val="es-ES"/>
              </w:rPr>
              <w:t>logs.</w:t>
            </w:r>
            <w:r w:rsidRPr="00E13422">
              <w:rPr>
                <w:lang w:val="es-ES"/>
              </w:rPr>
              <w:t xml:space="preserve"> Este sistema se divide en dos módulos que se comunican entre sí a través de otros sistemas heterogéneos cuyos beneficios pasan por una gestión uniforme del equipamiento de cliente, aumento de la productividad e interoperabilidad y una mayor facilidad de uso, entre otros. </w:t>
            </w:r>
          </w:p>
          <w:p w:rsidR="00204EE8" w:rsidRDefault="00204EE8" w:rsidP="00204EE8">
            <w:pPr>
              <w:pStyle w:val="StandFirstIntroduction"/>
              <w:rPr>
                <w:lang w:val="es-ES"/>
              </w:rPr>
            </w:pPr>
          </w:p>
          <w:p w:rsidR="00204EE8" w:rsidRDefault="00204EE8" w:rsidP="00204EE8">
            <w:pPr>
              <w:pStyle w:val="StandFirstIntroduction"/>
              <w:rPr>
                <w:lang w:val="es-ES"/>
              </w:rPr>
            </w:pPr>
          </w:p>
          <w:bookmarkEnd w:id="5"/>
          <w:p w:rsidR="00204EE8" w:rsidRPr="00E13422" w:rsidRDefault="00204EE8">
            <w:pPr>
              <w:pStyle w:val="Bodycopy"/>
              <w:rPr>
                <w:lang w:val="es-ES"/>
              </w:rPr>
            </w:pPr>
          </w:p>
        </w:tc>
      </w:tr>
      <w:tr w:rsidR="00204EE8" w:rsidRPr="00E13422">
        <w:tblPrEx>
          <w:tblCellMar>
            <w:top w:w="0" w:type="dxa"/>
            <w:left w:w="0" w:type="dxa"/>
            <w:bottom w:w="0" w:type="dxa"/>
            <w:right w:w="0" w:type="dxa"/>
          </w:tblCellMar>
        </w:tblPrEx>
        <w:trPr>
          <w:cantSplit/>
          <w:trHeight w:hRule="exact" w:val="180"/>
        </w:trPr>
        <w:tc>
          <w:tcPr>
            <w:tcW w:w="3119" w:type="dxa"/>
          </w:tcPr>
          <w:p w:rsidR="00204EE8" w:rsidRPr="00E13422" w:rsidRDefault="00204EE8">
            <w:pPr>
              <w:rPr>
                <w:lang w:val="es-ES"/>
              </w:rPr>
            </w:pPr>
          </w:p>
        </w:tc>
        <w:tc>
          <w:tcPr>
            <w:tcW w:w="284" w:type="dxa"/>
            <w:tcBorders>
              <w:left w:val="nil"/>
              <w:right w:val="single" w:sz="8" w:space="0" w:color="FF3300"/>
            </w:tcBorders>
            <w:shd w:val="clear" w:color="auto" w:fill="auto"/>
          </w:tcPr>
          <w:p w:rsidR="00204EE8" w:rsidRPr="00E13422" w:rsidRDefault="00204EE8">
            <w:pPr>
              <w:rPr>
                <w:lang w:val="es-ES"/>
              </w:rPr>
            </w:pPr>
          </w:p>
        </w:tc>
        <w:tc>
          <w:tcPr>
            <w:tcW w:w="284" w:type="dxa"/>
            <w:tcBorders>
              <w:left w:val="single" w:sz="8" w:space="0" w:color="FF3300"/>
            </w:tcBorders>
          </w:tcPr>
          <w:p w:rsidR="00204EE8" w:rsidRPr="00E13422" w:rsidRDefault="00204EE8">
            <w:pPr>
              <w:rPr>
                <w:lang w:val="es-ES"/>
              </w:rPr>
            </w:pPr>
          </w:p>
        </w:tc>
        <w:tc>
          <w:tcPr>
            <w:tcW w:w="6861" w:type="dxa"/>
          </w:tcPr>
          <w:p w:rsidR="00204EE8" w:rsidRPr="00E13422" w:rsidRDefault="00204EE8">
            <w:pPr>
              <w:spacing w:after="80"/>
              <w:jc w:val="right"/>
              <w:rPr>
                <w:color w:val="FF9900"/>
                <w:lang w:val="es-ES"/>
              </w:rPr>
            </w:pPr>
          </w:p>
        </w:tc>
      </w:tr>
      <w:tr w:rsidR="00204EE8">
        <w:tblPrEx>
          <w:tblCellMar>
            <w:top w:w="0" w:type="dxa"/>
            <w:left w:w="0" w:type="dxa"/>
            <w:bottom w:w="0" w:type="dxa"/>
            <w:right w:w="0" w:type="dxa"/>
          </w:tblCellMar>
        </w:tblPrEx>
        <w:trPr>
          <w:cantSplit/>
          <w:trHeight w:val="1740"/>
        </w:trPr>
        <w:tc>
          <w:tcPr>
            <w:tcW w:w="3119" w:type="dxa"/>
            <w:vMerge w:val="restart"/>
            <w:vAlign w:val="bottom"/>
          </w:tcPr>
          <w:p w:rsidR="00204EE8" w:rsidRPr="00E13422" w:rsidRDefault="00204EE8">
            <w:pPr>
              <w:rPr>
                <w:lang w:val="es-ES"/>
              </w:rPr>
            </w:pPr>
          </w:p>
        </w:tc>
        <w:tc>
          <w:tcPr>
            <w:tcW w:w="284" w:type="dxa"/>
            <w:tcBorders>
              <w:left w:val="nil"/>
              <w:right w:val="single" w:sz="8" w:space="0" w:color="FF3300"/>
            </w:tcBorders>
            <w:shd w:val="clear" w:color="auto" w:fill="auto"/>
          </w:tcPr>
          <w:p w:rsidR="00204EE8" w:rsidRPr="00E13422" w:rsidRDefault="00204EE8">
            <w:pPr>
              <w:rPr>
                <w:lang w:val="es-ES"/>
              </w:rPr>
            </w:pPr>
          </w:p>
        </w:tc>
        <w:tc>
          <w:tcPr>
            <w:tcW w:w="284" w:type="dxa"/>
            <w:vMerge w:val="restart"/>
            <w:tcBorders>
              <w:left w:val="single" w:sz="8" w:space="0" w:color="FF3300"/>
            </w:tcBorders>
          </w:tcPr>
          <w:p w:rsidR="00204EE8" w:rsidRPr="00E13422" w:rsidRDefault="00204EE8">
            <w:pPr>
              <w:rPr>
                <w:lang w:val="es-ES"/>
              </w:rPr>
            </w:pPr>
          </w:p>
        </w:tc>
        <w:tc>
          <w:tcPr>
            <w:tcW w:w="6861" w:type="dxa"/>
            <w:vMerge w:val="restart"/>
            <w:vAlign w:val="bottom"/>
          </w:tcPr>
          <w:p w:rsidR="00204EE8" w:rsidRDefault="00833045">
            <w:pPr>
              <w:jc w:val="right"/>
              <w:rPr>
                <w:color w:val="FF9900"/>
              </w:rPr>
            </w:pPr>
            <w:r>
              <w:rPr>
                <w:noProof/>
                <w:color w:val="FF9900"/>
                <w:lang w:val="es-ES" w:eastAsia="es-ES"/>
              </w:rPr>
              <w:drawing>
                <wp:inline distT="0" distB="0" distL="0" distR="0">
                  <wp:extent cx="2374900" cy="831850"/>
                  <wp:effectExtent l="19050" t="0" r="6350" b="0"/>
                  <wp:docPr id="5" name="Imagen 5" descr="a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p"/>
                          <pic:cNvPicPr>
                            <a:picLocks noChangeAspect="1" noChangeArrowheads="1"/>
                          </pic:cNvPicPr>
                        </pic:nvPicPr>
                        <pic:blipFill>
                          <a:blip r:embed="rId7"/>
                          <a:srcRect/>
                          <a:stretch>
                            <a:fillRect/>
                          </a:stretch>
                        </pic:blipFill>
                        <pic:spPr bwMode="auto">
                          <a:xfrm>
                            <a:off x="0" y="0"/>
                            <a:ext cx="2374900" cy="831850"/>
                          </a:xfrm>
                          <a:prstGeom prst="rect">
                            <a:avLst/>
                          </a:prstGeom>
                          <a:noFill/>
                          <a:ln w="9525">
                            <a:noFill/>
                            <a:miter lim="800000"/>
                            <a:headEnd/>
                            <a:tailEnd/>
                          </a:ln>
                        </pic:spPr>
                      </pic:pic>
                    </a:graphicData>
                  </a:graphic>
                </wp:inline>
              </w:drawing>
            </w:r>
          </w:p>
        </w:tc>
      </w:tr>
      <w:bookmarkEnd w:id="0"/>
      <w:tr w:rsidR="00204EE8">
        <w:tblPrEx>
          <w:tblCellMar>
            <w:top w:w="0" w:type="dxa"/>
            <w:left w:w="0" w:type="dxa"/>
            <w:bottom w:w="0" w:type="dxa"/>
            <w:right w:w="0" w:type="dxa"/>
          </w:tblCellMar>
        </w:tblPrEx>
        <w:trPr>
          <w:cantSplit/>
          <w:trHeight w:val="80"/>
        </w:trPr>
        <w:tc>
          <w:tcPr>
            <w:tcW w:w="3119" w:type="dxa"/>
            <w:vMerge/>
            <w:vAlign w:val="bottom"/>
          </w:tcPr>
          <w:p w:rsidR="00204EE8" w:rsidRDefault="00204EE8"/>
        </w:tc>
        <w:tc>
          <w:tcPr>
            <w:tcW w:w="284" w:type="dxa"/>
            <w:tcBorders>
              <w:left w:val="nil"/>
            </w:tcBorders>
          </w:tcPr>
          <w:p w:rsidR="00204EE8" w:rsidRDefault="00204EE8">
            <w:pPr>
              <w:rPr>
                <w:sz w:val="12"/>
              </w:rPr>
            </w:pPr>
          </w:p>
        </w:tc>
        <w:tc>
          <w:tcPr>
            <w:tcW w:w="284" w:type="dxa"/>
            <w:vMerge/>
            <w:tcBorders>
              <w:left w:val="nil"/>
            </w:tcBorders>
          </w:tcPr>
          <w:p w:rsidR="00204EE8" w:rsidRDefault="00204EE8"/>
        </w:tc>
        <w:tc>
          <w:tcPr>
            <w:tcW w:w="6861" w:type="dxa"/>
            <w:vMerge/>
            <w:vAlign w:val="bottom"/>
          </w:tcPr>
          <w:p w:rsidR="00204EE8" w:rsidRDefault="00204EE8">
            <w:pPr>
              <w:jc w:val="right"/>
              <w:rPr>
                <w:color w:val="FF9900"/>
              </w:rPr>
            </w:pPr>
          </w:p>
        </w:tc>
      </w:tr>
    </w:tbl>
    <w:p w:rsidR="00204EE8" w:rsidRDefault="00204EE8">
      <w:pPr>
        <w:rPr>
          <w:sz w:val="2"/>
        </w:rPr>
      </w:pPr>
    </w:p>
    <w:p w:rsidR="00204EE8" w:rsidRDefault="00204EE8">
      <w:pPr>
        <w:rPr>
          <w:sz w:val="2"/>
        </w:rPr>
        <w:sectPr w:rsidR="00204EE8">
          <w:headerReference w:type="default" r:id="rId8"/>
          <w:pgSz w:w="12242" w:h="15842" w:code="1"/>
          <w:pgMar w:top="3600" w:right="851" w:bottom="200" w:left="851" w:header="0" w:footer="300" w:gutter="0"/>
          <w:cols w:space="227"/>
          <w:docGrid w:linePitch="360"/>
        </w:sectPr>
      </w:pPr>
    </w:p>
    <w:p w:rsidR="00204EE8" w:rsidRPr="00D46119" w:rsidRDefault="00204EE8">
      <w:pPr>
        <w:pStyle w:val="SectionHeading"/>
        <w:rPr>
          <w:b/>
          <w:lang w:val="es-ES"/>
        </w:rPr>
      </w:pPr>
      <w:r>
        <w:rPr>
          <w:b/>
          <w:noProof/>
          <w:lang w:val="es-ES" w:eastAsia="es-ES"/>
        </w:rPr>
        <w:lastRenderedPageBreak/>
        <w:pict>
          <v:shapetype id="_x0000_t202" coordsize="21600,21600" o:spt="202" path="m,l,21600r21600,l21600,xe">
            <v:stroke joinstyle="miter"/>
            <v:path gradientshapeok="t" o:connecttype="rect"/>
          </v:shapetype>
          <v:shape id="_x0000_s1154" type="#_x0000_t202" style="position:absolute;margin-left:54.55pt;margin-top:173.95pt;width:146.45pt;height:484.4pt;z-index:251658752;mso-position-horizontal-relative:page;mso-position-vertical-relative:page" stroked="f">
            <v:textbox style="mso-next-textbox:#_x0000_s1154" inset="0,0,0,0">
              <w:txbxContent>
                <w:p w:rsidR="00204EE8" w:rsidRDefault="00204EE8" w:rsidP="00204EE8">
                  <w:pPr>
                    <w:pStyle w:val="Pullquote"/>
                    <w:rPr>
                      <w:lang w:val="es-ES"/>
                    </w:rPr>
                  </w:pPr>
                  <w:r w:rsidRPr="00B74838">
                    <w:rPr>
                      <w:lang w:val="es-ES"/>
                    </w:rPr>
                    <w:t>“</w:t>
                  </w:r>
                  <w:r w:rsidRPr="0030695B">
                    <w:rPr>
                      <w:bCs/>
                      <w:lang w:val="es-ES"/>
                    </w:rPr>
                    <w:t>El operador o el usuario pueden tomar el control sobre el router desde el servidor cen</w:t>
                  </w:r>
                  <w:r w:rsidRPr="0030695B">
                    <w:rPr>
                      <w:bCs/>
                      <w:lang w:val="es-ES"/>
                    </w:rPr>
                    <w:softHyphen/>
                    <w:t>tral para abrir un nuevo puerto o activar la red inalámbrica, por ejemplo</w:t>
                  </w:r>
                  <w:r w:rsidRPr="0030695B">
                    <w:rPr>
                      <w:lang w:val="es-ES"/>
                    </w:rPr>
                    <w:t>”</w:t>
                  </w:r>
                  <w:r w:rsidRPr="00B74838">
                    <w:rPr>
                      <w:lang w:val="es-ES"/>
                    </w:rPr>
                    <w:t>.</w:t>
                  </w:r>
                </w:p>
                <w:p w:rsidR="00204EE8" w:rsidRDefault="00204EE8" w:rsidP="00204EE8">
                  <w:pPr>
                    <w:pStyle w:val="Bodycopy"/>
                    <w:rPr>
                      <w:color w:val="FF3300"/>
                      <w:sz w:val="16"/>
                      <w:lang w:val="es-ES"/>
                    </w:rPr>
                  </w:pPr>
                </w:p>
                <w:p w:rsidR="00204EE8" w:rsidRPr="0030695B" w:rsidRDefault="00204EE8" w:rsidP="00204EE8">
                  <w:pPr>
                    <w:pStyle w:val="Bodycopy"/>
                    <w:rPr>
                      <w:color w:val="FF3300"/>
                      <w:sz w:val="16"/>
                      <w:lang w:val="es-ES"/>
                    </w:rPr>
                  </w:pPr>
                  <w:r w:rsidRPr="0030695B">
                    <w:rPr>
                      <w:color w:val="FF3300"/>
                      <w:sz w:val="16"/>
                      <w:lang w:val="es-ES"/>
                    </w:rPr>
                    <w:t xml:space="preserve">Javier Martínez , Arquitecto de Servicios para </w:t>
                  </w:r>
                  <w:smartTag w:uri="urn:schemas-microsoft-com:office:smarttags" w:element="PersonName">
                    <w:smartTagPr>
                      <w:attr w:name="ProductID" w:val="la Empresa"/>
                    </w:smartTagPr>
                    <w:r w:rsidRPr="0030695B">
                      <w:rPr>
                        <w:color w:val="FF3300"/>
                        <w:sz w:val="16"/>
                        <w:lang w:val="es-ES"/>
                      </w:rPr>
                      <w:t>la Empresa</w:t>
                    </w:r>
                  </w:smartTag>
                  <w:r w:rsidRPr="0030695B">
                    <w:rPr>
                      <w:color w:val="FF3300"/>
                      <w:sz w:val="16"/>
                      <w:lang w:val="es-ES"/>
                    </w:rPr>
                    <w:t xml:space="preserve"> de Telefónica I+D.</w:t>
                  </w:r>
                </w:p>
                <w:p w:rsidR="00204EE8" w:rsidRPr="004527A2" w:rsidRDefault="00204EE8" w:rsidP="00204EE8">
                  <w:pPr>
                    <w:pStyle w:val="Bodycopy"/>
                    <w:rPr>
                      <w:lang w:val="es-ES"/>
                    </w:rPr>
                  </w:pPr>
                </w:p>
                <w:p w:rsidR="00204EE8" w:rsidRPr="00ED6F7D" w:rsidRDefault="00204EE8" w:rsidP="00204EE8">
                  <w:pPr>
                    <w:pStyle w:val="Bodycopy"/>
                    <w:rPr>
                      <w:lang w:val="es-ES"/>
                    </w:rPr>
                  </w:pPr>
                </w:p>
                <w:p w:rsidR="00204EE8" w:rsidRPr="00ED6F7D" w:rsidRDefault="00204EE8" w:rsidP="00204EE8">
                  <w:pPr>
                    <w:pStyle w:val="Bodycopy"/>
                    <w:rPr>
                      <w:lang w:val="es-ES"/>
                    </w:rPr>
                  </w:pPr>
                </w:p>
              </w:txbxContent>
            </v:textbox>
            <w10:wrap anchorx="page" anchory="page"/>
            <w10:anchorlock/>
          </v:shape>
        </w:pict>
      </w:r>
      <w:r w:rsidRPr="00D46119">
        <w:rPr>
          <w:b/>
          <w:lang w:val="es-ES"/>
        </w:rPr>
        <w:t>Situación</w:t>
      </w:r>
    </w:p>
    <w:p w:rsidR="00204EE8" w:rsidRPr="0002514A" w:rsidRDefault="00204EE8" w:rsidP="00204EE8">
      <w:pPr>
        <w:pStyle w:val="Bodycopy"/>
        <w:rPr>
          <w:bCs/>
          <w:noProof/>
          <w:lang w:val="es-ES" w:eastAsia="es-ES"/>
        </w:rPr>
      </w:pPr>
      <w:r w:rsidRPr="0002514A">
        <w:rPr>
          <w:bCs/>
          <w:noProof/>
          <w:lang w:val="es-ES" w:eastAsia="es-ES"/>
        </w:rPr>
        <w:t>Al adquirir una Solución ADSL de</w:t>
      </w:r>
      <w:r w:rsidRPr="0002514A">
        <w:rPr>
          <w:b/>
          <w:bCs/>
          <w:noProof/>
          <w:lang w:val="es-ES" w:eastAsia="es-ES"/>
        </w:rPr>
        <w:t xml:space="preserve"> </w:t>
      </w:r>
      <w:r w:rsidRPr="0002514A">
        <w:rPr>
          <w:bCs/>
          <w:noProof/>
          <w:lang w:val="es-ES" w:eastAsia="es-ES"/>
        </w:rPr>
        <w:t>Telefónica, el usuario sólo tiene que extraer el router de la caja y conec</w:t>
      </w:r>
      <w:r w:rsidRPr="0002514A">
        <w:rPr>
          <w:bCs/>
          <w:noProof/>
          <w:lang w:val="es-ES" w:eastAsia="es-ES"/>
        </w:rPr>
        <w:softHyphen/>
        <w:t>tarlo al cableado de la compañía para, en unos minutos, comenzar a disfrutar de su servicio de Internet de banda ancha. Ahora bien, tras esta sencilla operación se esconde todo un complejo proceso de configuración, en el que el servidor de la operadora ha de entenderse con el dispositivo cliente e intercambiar una serie de mensajes para asegurar su correcto funcionamiento. A esto hay que añadir la gran cantidad de servicios que presta Telefónica, con unos siete millones de clientes, y la enorme variedad de fabricantes y modelos de routers y módems que existen en el mercado: “Es un pro</w:t>
      </w:r>
      <w:r w:rsidRPr="0002514A">
        <w:rPr>
          <w:bCs/>
          <w:noProof/>
          <w:lang w:val="es-ES" w:eastAsia="es-ES"/>
        </w:rPr>
        <w:softHyphen/>
        <w:t>blema para los operadores porque cada uno de estos dispositivos posee un lenguaje, unas interfaces y unos protocolos de configuración dife</w:t>
      </w:r>
      <w:r w:rsidRPr="0002514A">
        <w:rPr>
          <w:bCs/>
          <w:noProof/>
          <w:lang w:val="es-ES" w:eastAsia="es-ES"/>
        </w:rPr>
        <w:softHyphen/>
        <w:t>rentes”, explica Pablo Dávila, Jefe de División de Herramientas y servicios de acceso on-line y redes de cliente de Telefónica I+D. Al mismo tiempo, el auge de las soluciones inalámbri</w:t>
      </w:r>
      <w:r w:rsidRPr="0002514A">
        <w:rPr>
          <w:bCs/>
          <w:noProof/>
          <w:lang w:val="es-ES" w:eastAsia="es-ES"/>
        </w:rPr>
        <w:softHyphen/>
        <w:t>cas y el llamado hogar multimedia anuncian un incremento aún mayor de la complejidad: los teléfonos IP, las PDAs y hasta la televisión se conectarán al servidor de Telefónica para navegar o descargar contenidos multimedia.</w:t>
      </w:r>
    </w:p>
    <w:p w:rsidR="00204EE8" w:rsidRPr="000507A8" w:rsidRDefault="00204EE8">
      <w:pPr>
        <w:pStyle w:val="Bodycopy"/>
        <w:rPr>
          <w:lang w:val="es-ES"/>
        </w:rPr>
      </w:pPr>
    </w:p>
    <w:p w:rsidR="00204EE8" w:rsidRPr="00D46119" w:rsidRDefault="00204EE8">
      <w:pPr>
        <w:pStyle w:val="SectionHeading"/>
        <w:rPr>
          <w:b/>
          <w:lang w:val="es-ES"/>
        </w:rPr>
      </w:pPr>
      <w:r w:rsidRPr="00D46119">
        <w:rPr>
          <w:b/>
          <w:lang w:val="es-ES"/>
        </w:rPr>
        <w:t>Solución</w:t>
      </w:r>
    </w:p>
    <w:p w:rsidR="00204EE8" w:rsidRPr="005A7F0B" w:rsidRDefault="00204EE8" w:rsidP="00204EE8">
      <w:pPr>
        <w:pStyle w:val="Bodycopy"/>
        <w:rPr>
          <w:noProof/>
          <w:lang w:val="es-ES" w:eastAsia="es-ES"/>
        </w:rPr>
      </w:pPr>
      <w:r w:rsidRPr="005A7F0B">
        <w:rPr>
          <w:noProof/>
          <w:lang w:val="es-ES" w:eastAsia="es-ES"/>
        </w:rPr>
        <w:t>Para abordar este problema, en 2005 Telefónica I+D puso sobre la mesa la idea de desarrollar un prototipo de Sistema de Gestión y Configuración Remota de Equipamiento de Cliente, cuyo objetivo era mejorar las relacio</w:t>
      </w:r>
      <w:r w:rsidRPr="005A7F0B">
        <w:rPr>
          <w:noProof/>
          <w:lang w:val="es-ES" w:eastAsia="es-ES"/>
        </w:rPr>
        <w:softHyphen/>
        <w:t xml:space="preserve">nes entre servicios, equipamientos y usuarios. </w:t>
      </w:r>
    </w:p>
    <w:p w:rsidR="00204EE8" w:rsidRPr="005A7F0B" w:rsidRDefault="00204EE8" w:rsidP="00204EE8">
      <w:pPr>
        <w:pStyle w:val="Bodycopy"/>
        <w:rPr>
          <w:noProof/>
          <w:lang w:val="es-ES" w:eastAsia="es-ES"/>
        </w:rPr>
      </w:pPr>
    </w:p>
    <w:p w:rsidR="00204EE8" w:rsidRPr="005A7F0B" w:rsidRDefault="00204EE8" w:rsidP="00204EE8">
      <w:pPr>
        <w:pStyle w:val="Bodycopy"/>
        <w:rPr>
          <w:noProof/>
          <w:lang w:val="es-ES" w:eastAsia="es-ES"/>
        </w:rPr>
      </w:pPr>
      <w:r w:rsidRPr="005A7F0B">
        <w:rPr>
          <w:noProof/>
          <w:lang w:val="es-ES" w:eastAsia="es-ES"/>
        </w:rPr>
        <w:t xml:space="preserve">El proyecto, desarrollado en la sede de Boecillo (Valladolid), quedó enmarcado </w:t>
      </w:r>
      <w:r w:rsidRPr="005A7F0B">
        <w:rPr>
          <w:noProof/>
          <w:lang w:val="es-ES" w:eastAsia="es-ES"/>
        </w:rPr>
        <w:lastRenderedPageBreak/>
        <w:t>dentro del Plan de Proyectos de Innovación Internos 2005-2006. “Fue entonces cuando identificamos el TR-069 como un protocolo que se estaba posicio</w:t>
      </w:r>
      <w:r w:rsidRPr="005A7F0B">
        <w:rPr>
          <w:noProof/>
          <w:lang w:val="es-ES" w:eastAsia="es-ES"/>
        </w:rPr>
        <w:softHyphen/>
        <w:t>nando firmemente en la industria”, explica Dávila. Definido por el DSL Forum como un estándar de confi</w:t>
      </w:r>
      <w:r w:rsidRPr="005A7F0B">
        <w:rPr>
          <w:noProof/>
          <w:lang w:val="es-ES" w:eastAsia="es-ES"/>
        </w:rPr>
        <w:softHyphen/>
        <w:t>guración y mantenimiento remoto de dispositivos en banda ancha, se encontraba en fase de implementa</w:t>
      </w:r>
      <w:r w:rsidRPr="005A7F0B">
        <w:rPr>
          <w:noProof/>
          <w:lang w:val="es-ES" w:eastAsia="es-ES"/>
        </w:rPr>
        <w:softHyphen/>
        <w:t xml:space="preserve">ción por los principales fabricantes, lo que suponía un punto de partida para desarrollar este sistema. </w:t>
      </w:r>
    </w:p>
    <w:p w:rsidR="00204EE8" w:rsidRPr="005A7F0B" w:rsidRDefault="00204EE8" w:rsidP="00204EE8">
      <w:pPr>
        <w:pStyle w:val="Bodycopy"/>
        <w:rPr>
          <w:noProof/>
          <w:lang w:val="es-ES" w:eastAsia="es-ES"/>
        </w:rPr>
      </w:pPr>
    </w:p>
    <w:p w:rsidR="00204EE8" w:rsidRPr="005A7F0B" w:rsidRDefault="00204EE8" w:rsidP="00204EE8">
      <w:pPr>
        <w:pStyle w:val="Bodycopy"/>
        <w:rPr>
          <w:noProof/>
          <w:lang w:val="es-ES" w:eastAsia="es-ES"/>
        </w:rPr>
      </w:pPr>
      <w:r w:rsidRPr="005A7F0B">
        <w:rPr>
          <w:noProof/>
          <w:lang w:val="es-ES" w:eastAsia="es-ES"/>
        </w:rPr>
        <w:t>De igual forma, desde el principio se planteó la utilización de inter</w:t>
      </w:r>
      <w:r w:rsidRPr="005A7F0B">
        <w:rPr>
          <w:noProof/>
          <w:lang w:val="es-ES" w:eastAsia="es-ES"/>
        </w:rPr>
        <w:softHyphen/>
        <w:t>faces web con el fin de ofrecer a los clientes de Telefónica una herramienta fácil de usar. “Hicimos un repaso sobre los distintos com</w:t>
      </w:r>
      <w:r w:rsidRPr="005A7F0B">
        <w:rPr>
          <w:noProof/>
          <w:lang w:val="es-ES" w:eastAsia="es-ES"/>
        </w:rPr>
        <w:softHyphen/>
        <w:t>ponentes que había en el merca</w:t>
      </w:r>
      <w:r w:rsidRPr="005A7F0B">
        <w:rPr>
          <w:noProof/>
          <w:lang w:val="es-ES" w:eastAsia="es-ES"/>
        </w:rPr>
        <w:softHyphen/>
        <w:t>do para implementar estándares de servicios web y, entre ellos, evaluamos Microsoft Windows Communication Foundation y Web Services Enhancements (WSE) para Microsoft .NET. Nos pareció la mejor opción por su productivi</w:t>
      </w:r>
      <w:r w:rsidRPr="005A7F0B">
        <w:rPr>
          <w:noProof/>
          <w:lang w:val="es-ES" w:eastAsia="es-ES"/>
        </w:rPr>
        <w:softHyphen/>
        <w:t xml:space="preserve">dad y funcionalidad”, explica Javier Martínez, Arquitecto de Servicios para </w:t>
      </w:r>
      <w:smartTag w:uri="urn:schemas-microsoft-com:office:smarttags" w:element="PersonName">
        <w:smartTagPr>
          <w:attr w:name="ProductID" w:val="la Empresa"/>
        </w:smartTagPr>
        <w:r w:rsidRPr="005A7F0B">
          <w:rPr>
            <w:noProof/>
            <w:lang w:val="es-ES" w:eastAsia="es-ES"/>
          </w:rPr>
          <w:t>la Empresa</w:t>
        </w:r>
      </w:smartTag>
      <w:r w:rsidRPr="005A7F0B">
        <w:rPr>
          <w:noProof/>
          <w:lang w:val="es-ES" w:eastAsia="es-ES"/>
        </w:rPr>
        <w:t xml:space="preserve"> de Telefónica I+D. Además, se optó por Microsoft Windows Workflow Foundation para el diseño de comandos y protocolos, Microsoft ASP.NET 2.0 en la construcción de los portales y Microsoft Enterprise Library 2.0 como herramienta de gestión de excepciones y de logs.</w:t>
      </w:r>
    </w:p>
    <w:p w:rsidR="00204EE8" w:rsidRPr="005A7F0B" w:rsidRDefault="00204EE8" w:rsidP="00204EE8">
      <w:pPr>
        <w:pStyle w:val="Bodycopy"/>
        <w:rPr>
          <w:noProof/>
          <w:lang w:val="es-ES" w:eastAsia="es-ES"/>
        </w:rPr>
      </w:pPr>
    </w:p>
    <w:p w:rsidR="00204EE8" w:rsidRPr="005A7F0B" w:rsidRDefault="00204EE8" w:rsidP="00204EE8">
      <w:pPr>
        <w:pStyle w:val="Bodycopy"/>
        <w:rPr>
          <w:noProof/>
          <w:lang w:val="es-ES" w:eastAsia="es-ES"/>
        </w:rPr>
      </w:pPr>
      <w:r w:rsidRPr="005A7F0B">
        <w:rPr>
          <w:noProof/>
          <w:lang w:val="es-ES" w:eastAsia="es-ES"/>
        </w:rPr>
        <w:t>El sistema se divide en dos módulos. El primero se encarga del servicio de control del ACS y “envía las órdenes de configura</w:t>
      </w:r>
      <w:r w:rsidRPr="005A7F0B">
        <w:rPr>
          <w:noProof/>
          <w:lang w:val="es-ES" w:eastAsia="es-ES"/>
        </w:rPr>
        <w:softHyphen/>
        <w:t>ción a los distintos equipamien</w:t>
      </w:r>
      <w:r w:rsidRPr="005A7F0B">
        <w:rPr>
          <w:noProof/>
          <w:lang w:val="es-ES" w:eastAsia="es-ES"/>
        </w:rPr>
        <w:softHyphen/>
        <w:t xml:space="preserve">tos de cliente”, explica Martínez. El segundo se responsabiliza del servicio de control del Gestor de Configuraciones, y en él se encuentran toda la lógica y la base de datos donde se registran las políticas que se desean aplicar a los equipamientos y </w:t>
      </w:r>
      <w:r w:rsidRPr="005A7F0B">
        <w:rPr>
          <w:noProof/>
          <w:lang w:val="es-ES" w:eastAsia="es-ES"/>
        </w:rPr>
        <w:lastRenderedPageBreak/>
        <w:t>servicios que provee Telefónica. “Ambos módu</w:t>
      </w:r>
      <w:r w:rsidRPr="005A7F0B">
        <w:rPr>
          <w:noProof/>
          <w:lang w:val="es-ES" w:eastAsia="es-ES"/>
        </w:rPr>
        <w:softHyphen/>
        <w:t>los se comunican entre sí y con sistemas heterogéneos en el exte</w:t>
      </w:r>
      <w:r w:rsidRPr="005A7F0B">
        <w:rPr>
          <w:noProof/>
          <w:lang w:val="es-ES" w:eastAsia="es-ES"/>
        </w:rPr>
        <w:softHyphen/>
        <w:t xml:space="preserve">rior a través de Microsoft Windows Communication Foundation, mediante mensajes Simple Object Acces Protocol”. </w:t>
      </w:r>
    </w:p>
    <w:p w:rsidR="00204EE8" w:rsidRDefault="00204EE8">
      <w:pPr>
        <w:pStyle w:val="Bodycopy"/>
        <w:rPr>
          <w:b/>
          <w:lang w:val="es-ES"/>
        </w:rPr>
      </w:pPr>
    </w:p>
    <w:p w:rsidR="00204EE8" w:rsidRPr="000507A8" w:rsidRDefault="00204EE8">
      <w:pPr>
        <w:pStyle w:val="Bodycopy"/>
        <w:rPr>
          <w:b/>
          <w:lang w:val="es-ES"/>
        </w:rPr>
      </w:pPr>
    </w:p>
    <w:p w:rsidR="00204EE8" w:rsidRPr="00D46119" w:rsidRDefault="00204EE8">
      <w:pPr>
        <w:pStyle w:val="SectionHeading"/>
        <w:rPr>
          <w:b/>
          <w:lang w:val="es-ES"/>
        </w:rPr>
      </w:pPr>
      <w:r w:rsidRPr="00D46119">
        <w:rPr>
          <w:b/>
          <w:lang w:val="es-ES"/>
        </w:rPr>
        <w:t>Beneficios</w:t>
      </w:r>
    </w:p>
    <w:p w:rsidR="00204EE8" w:rsidRPr="0030695B" w:rsidRDefault="00204EE8" w:rsidP="00204EE8">
      <w:pPr>
        <w:pStyle w:val="Bodycopy"/>
        <w:rPr>
          <w:lang w:val="es-ES"/>
        </w:rPr>
      </w:pPr>
      <w:r w:rsidRPr="0030695B">
        <w:rPr>
          <w:b/>
          <w:bCs/>
          <w:lang w:val="es-ES"/>
        </w:rPr>
        <w:t xml:space="preserve">Gestión uniforme del equipamiento de cliente. </w:t>
      </w:r>
      <w:r w:rsidRPr="0030695B">
        <w:rPr>
          <w:lang w:val="es-ES"/>
        </w:rPr>
        <w:t>El sistema termina con el problema plan</w:t>
      </w:r>
      <w:r w:rsidRPr="0030695B">
        <w:rPr>
          <w:lang w:val="es-ES"/>
        </w:rPr>
        <w:softHyphen/>
        <w:t xml:space="preserve">teado en los inicios: la diversidad de protocolos empleados. </w:t>
      </w:r>
    </w:p>
    <w:p w:rsidR="00204EE8" w:rsidRPr="0030695B" w:rsidRDefault="00204EE8" w:rsidP="00204EE8">
      <w:pPr>
        <w:pStyle w:val="Bodycopy"/>
        <w:rPr>
          <w:b/>
          <w:bCs/>
          <w:lang w:val="es-ES"/>
        </w:rPr>
      </w:pPr>
    </w:p>
    <w:p w:rsidR="00204EE8" w:rsidRPr="0030695B" w:rsidRDefault="00204EE8" w:rsidP="00204EE8">
      <w:pPr>
        <w:pStyle w:val="Bodycopy"/>
        <w:rPr>
          <w:lang w:val="es-ES"/>
        </w:rPr>
      </w:pPr>
      <w:r w:rsidRPr="0030695B">
        <w:rPr>
          <w:b/>
          <w:bCs/>
          <w:lang w:val="es-ES"/>
        </w:rPr>
        <w:t xml:space="preserve">Posibilidad de diagnosis. </w:t>
      </w:r>
      <w:r w:rsidRPr="0030695B">
        <w:rPr>
          <w:lang w:val="es-ES"/>
        </w:rPr>
        <w:t>Antes el diagnóstico se realizaba mediante monitores locales en el PC, de forma que cada vez que había un problema era preciso instar al usuario a que los ejecutara. Con este sistema se facilita el proceso y se homogenizan los procedimientos.</w:t>
      </w:r>
    </w:p>
    <w:p w:rsidR="00204EE8" w:rsidRPr="0030695B" w:rsidRDefault="00204EE8" w:rsidP="00204EE8">
      <w:pPr>
        <w:pStyle w:val="Bodycopy"/>
        <w:rPr>
          <w:b/>
          <w:bCs/>
          <w:lang w:val="es-ES"/>
        </w:rPr>
      </w:pPr>
    </w:p>
    <w:p w:rsidR="00204EE8" w:rsidRPr="0030695B" w:rsidRDefault="00204EE8" w:rsidP="00204EE8">
      <w:pPr>
        <w:pStyle w:val="Bodycopy"/>
        <w:rPr>
          <w:lang w:val="es-ES"/>
        </w:rPr>
      </w:pPr>
      <w:r w:rsidRPr="0030695B">
        <w:rPr>
          <w:b/>
          <w:bCs/>
          <w:lang w:val="es-ES"/>
        </w:rPr>
        <w:t xml:space="preserve">Productividad e interoperabilidad. </w:t>
      </w:r>
      <w:r w:rsidRPr="0030695B">
        <w:rPr>
          <w:lang w:val="es-ES"/>
        </w:rPr>
        <w:t>Los responsables del proyecto exigían el máxi</w:t>
      </w:r>
      <w:r w:rsidRPr="0030695B">
        <w:rPr>
          <w:lang w:val="es-ES"/>
        </w:rPr>
        <w:softHyphen/>
        <w:t>mo rendimiento de las tecnologías adoptadas. Según Dávila, con la adopción de Mi</w:t>
      </w:r>
      <w:r w:rsidRPr="0030695B">
        <w:rPr>
          <w:lang w:val="es-ES"/>
        </w:rPr>
        <w:softHyphen/>
        <w:t xml:space="preserve">crososft Windows Communication Foundation, “no sólo logramos diseñar el ACS, sino que con el mismo presupuesto realizamos un sistema de gestión potente”. </w:t>
      </w:r>
    </w:p>
    <w:p w:rsidR="00204EE8" w:rsidRPr="0030695B" w:rsidRDefault="00204EE8" w:rsidP="00204EE8">
      <w:pPr>
        <w:pStyle w:val="Bodycopy"/>
        <w:rPr>
          <w:b/>
          <w:bCs/>
          <w:lang w:val="es-ES"/>
        </w:rPr>
      </w:pPr>
    </w:p>
    <w:p w:rsidR="00204EE8" w:rsidRPr="0030695B" w:rsidRDefault="00204EE8" w:rsidP="00204EE8">
      <w:pPr>
        <w:pStyle w:val="Bodycopy"/>
        <w:rPr>
          <w:lang w:val="es-ES"/>
        </w:rPr>
      </w:pPr>
      <w:r w:rsidRPr="0030695B">
        <w:rPr>
          <w:b/>
          <w:bCs/>
          <w:lang w:val="es-ES"/>
        </w:rPr>
        <w:t xml:space="preserve">Facilidad de uso. </w:t>
      </w:r>
      <w:r w:rsidRPr="0030695B">
        <w:rPr>
          <w:lang w:val="es-ES"/>
        </w:rPr>
        <w:t xml:space="preserve">Los responsables de Telefónica I+D destacan las posibilidades de Microsoft Windows Workflow Foundation. “Hemos podido construir los componentes de forma muy sencilla”, dice Martínez. </w:t>
      </w:r>
    </w:p>
    <w:p w:rsidR="00204EE8" w:rsidRPr="0030695B" w:rsidRDefault="00204EE8" w:rsidP="00204EE8">
      <w:pPr>
        <w:pStyle w:val="Bodycopy"/>
        <w:rPr>
          <w:b/>
          <w:bCs/>
          <w:lang w:val="es-ES"/>
        </w:rPr>
      </w:pPr>
    </w:p>
    <w:p w:rsidR="00204EE8" w:rsidRPr="0030695B" w:rsidRDefault="00204EE8" w:rsidP="00204EE8">
      <w:pPr>
        <w:pStyle w:val="Bodycopy"/>
        <w:rPr>
          <w:lang w:val="es-ES"/>
        </w:rPr>
      </w:pPr>
      <w:r w:rsidRPr="0030695B">
        <w:rPr>
          <w:b/>
          <w:bCs/>
          <w:lang w:val="es-ES"/>
        </w:rPr>
        <w:t xml:space="preserve">Referente en SOAP. </w:t>
      </w:r>
      <w:r w:rsidRPr="0030695B">
        <w:rPr>
          <w:lang w:val="es-ES"/>
        </w:rPr>
        <w:t>“Al elegir a Microsoft tuvimos muy en cuenta que se trata del refe</w:t>
      </w:r>
      <w:r w:rsidRPr="0030695B">
        <w:rPr>
          <w:lang w:val="es-ES"/>
        </w:rPr>
        <w:softHyphen/>
        <w:t>rente en protocolos SOAP”, afirma Martínez.</w:t>
      </w:r>
    </w:p>
    <w:p w:rsidR="00204EE8" w:rsidRPr="0030695B" w:rsidRDefault="00204EE8" w:rsidP="00204EE8">
      <w:pPr>
        <w:pStyle w:val="Bodycopy"/>
        <w:rPr>
          <w:noProof/>
          <w:color w:val="FF0000"/>
          <w:sz w:val="20"/>
          <w:lang w:val="es-ES"/>
        </w:rPr>
      </w:pPr>
      <w:r w:rsidRPr="00085A49">
        <w:rPr>
          <w:b/>
          <w:lang w:val="es-ES"/>
        </w:rPr>
        <w:br w:type="column"/>
      </w:r>
      <w:bookmarkStart w:id="8" w:name="ProductBoilerplateTitle"/>
      <w:r w:rsidRPr="0030695B">
        <w:rPr>
          <w:noProof/>
          <w:color w:val="FF0000"/>
          <w:sz w:val="20"/>
        </w:rPr>
        <w:lastRenderedPageBreak/>
        <w:pict>
          <v:shape id="_x0000_s1126" type="#_x0000_t202" style="position:absolute;margin-left:225pt;margin-top:586pt;width:348.3pt;height:152.5pt;z-index:251657728;mso-position-horizontal-relative:page;mso-position-vertical-relative:page" fillcolor="#ccc" stroked="f">
            <v:textbox style="mso-next-textbox:#_x0000_s1126" inset="0,0,0,0">
              <w:txbxContent>
                <w:tbl>
                  <w:tblPr>
                    <w:tblW w:w="0" w:type="auto"/>
                    <w:tblInd w:w="156" w:type="dxa"/>
                    <w:tblCellMar>
                      <w:left w:w="0" w:type="dxa"/>
                      <w:right w:w="120" w:type="dxa"/>
                    </w:tblCellMar>
                    <w:tblLook w:val="0000"/>
                  </w:tblPr>
                  <w:tblGrid>
                    <w:gridCol w:w="3302"/>
                    <w:gridCol w:w="3390"/>
                  </w:tblGrid>
                  <w:tr w:rsidR="00204EE8">
                    <w:tblPrEx>
                      <w:tblCellMar>
                        <w:top w:w="0" w:type="dxa"/>
                        <w:left w:w="0" w:type="dxa"/>
                        <w:bottom w:w="0" w:type="dxa"/>
                      </w:tblCellMar>
                    </w:tblPrEx>
                    <w:trPr>
                      <w:cantSplit/>
                      <w:trHeight w:hRule="exact" w:val="170"/>
                    </w:trPr>
                    <w:tc>
                      <w:tcPr>
                        <w:tcW w:w="6692" w:type="dxa"/>
                        <w:gridSpan w:val="2"/>
                      </w:tcPr>
                      <w:p w:rsidR="00204EE8" w:rsidRDefault="00204EE8">
                        <w:pPr>
                          <w:pStyle w:val="SectionHeadingGrey"/>
                        </w:pPr>
                        <w:bookmarkStart w:id="9" w:name="Softwareandservicestable"/>
                        <w:bookmarkEnd w:id="9"/>
                      </w:p>
                    </w:tc>
                  </w:tr>
                  <w:tr w:rsidR="00204EE8">
                    <w:tblPrEx>
                      <w:tblCellMar>
                        <w:top w:w="0" w:type="dxa"/>
                        <w:left w:w="0" w:type="dxa"/>
                        <w:bottom w:w="0" w:type="dxa"/>
                      </w:tblCellMar>
                    </w:tblPrEx>
                    <w:trPr>
                      <w:trHeight w:val="3846"/>
                    </w:trPr>
                    <w:tc>
                      <w:tcPr>
                        <w:tcW w:w="3302" w:type="dxa"/>
                      </w:tcPr>
                      <w:p w:rsidR="00204EE8" w:rsidRDefault="00204EE8" w:rsidP="00204EE8">
                        <w:pPr>
                          <w:pStyle w:val="SectionHeadingGrey"/>
                        </w:pPr>
                        <w:bookmarkStart w:id="10" w:name="SoftwareandServices1"/>
                        <w:bookmarkEnd w:id="10"/>
                        <w:r>
                          <w:t xml:space="preserve">Software y </w:t>
                        </w:r>
                        <w:r w:rsidRPr="00D46119">
                          <w:rPr>
                            <w:lang w:val="es-ES"/>
                          </w:rPr>
                          <w:t>Servicios</w:t>
                        </w:r>
                      </w:p>
                      <w:p w:rsidR="00204EE8" w:rsidRPr="00D46119" w:rsidRDefault="00204EE8" w:rsidP="00204EE8">
                        <w:pPr>
                          <w:pStyle w:val="BulletGrey"/>
                          <w:rPr>
                            <w:lang w:val="es-ES"/>
                          </w:rPr>
                        </w:pPr>
                        <w:r w:rsidRPr="00D46119">
                          <w:rPr>
                            <w:lang w:val="es-ES"/>
                          </w:rPr>
                          <w:t>Productos</w:t>
                        </w:r>
                      </w:p>
                      <w:p w:rsidR="00204EE8" w:rsidRPr="00800B69" w:rsidRDefault="00204EE8" w:rsidP="00204EE8">
                        <w:pPr>
                          <w:pStyle w:val="BulletLevel2"/>
                          <w:rPr>
                            <w:b/>
                            <w:lang w:val="en-GB"/>
                          </w:rPr>
                        </w:pPr>
                        <w:r w:rsidRPr="00800B69">
                          <w:rPr>
                            <w:b/>
                            <w:lang w:val="en-GB"/>
                          </w:rPr>
                          <w:t>Microsoft Windows Communication Foundation</w:t>
                        </w:r>
                      </w:p>
                      <w:p w:rsidR="00204EE8" w:rsidRPr="00800B69" w:rsidRDefault="00204EE8" w:rsidP="00204EE8">
                        <w:pPr>
                          <w:pStyle w:val="BulletLevel2"/>
                          <w:rPr>
                            <w:b/>
                            <w:lang w:val="en-GB"/>
                          </w:rPr>
                        </w:pPr>
                        <w:r w:rsidRPr="00800B69">
                          <w:rPr>
                            <w:b/>
                            <w:lang w:val="en-GB"/>
                          </w:rPr>
                          <w:t>Web Services Enhancements</w:t>
                        </w:r>
                      </w:p>
                      <w:p w:rsidR="00204EE8" w:rsidRPr="00800B69" w:rsidRDefault="00204EE8" w:rsidP="00204EE8">
                        <w:pPr>
                          <w:pStyle w:val="BulletLevel2"/>
                          <w:rPr>
                            <w:b/>
                            <w:lang w:val="en-GB"/>
                          </w:rPr>
                        </w:pPr>
                        <w:r w:rsidRPr="00800B69">
                          <w:rPr>
                            <w:b/>
                            <w:lang w:val="en-GB"/>
                          </w:rPr>
                          <w:t>Microsoft Windows Workflow Foundation</w:t>
                        </w:r>
                      </w:p>
                      <w:p w:rsidR="00204EE8" w:rsidRPr="00800B69" w:rsidRDefault="00204EE8" w:rsidP="00204EE8">
                        <w:pPr>
                          <w:pStyle w:val="BulletLevel2"/>
                          <w:rPr>
                            <w:b/>
                            <w:lang w:val="en-GB"/>
                          </w:rPr>
                        </w:pPr>
                        <w:r w:rsidRPr="00800B69">
                          <w:rPr>
                            <w:b/>
                            <w:lang w:val="en-GB"/>
                          </w:rPr>
                          <w:t>Microsoft ASP.NET 2.0</w:t>
                        </w:r>
                      </w:p>
                      <w:p w:rsidR="00204EE8" w:rsidRPr="00800B69" w:rsidRDefault="00204EE8" w:rsidP="00204EE8">
                        <w:pPr>
                          <w:pStyle w:val="BulletLevel2"/>
                          <w:rPr>
                            <w:b/>
                            <w:lang w:val="en-GB"/>
                          </w:rPr>
                        </w:pPr>
                        <w:r w:rsidRPr="00800B69">
                          <w:rPr>
                            <w:b/>
                            <w:lang w:val="en-GB"/>
                          </w:rPr>
                          <w:t>Microsoft Enterprise Library 2.0</w:t>
                        </w:r>
                      </w:p>
                      <w:p w:rsidR="00204EE8" w:rsidRPr="00800B69" w:rsidRDefault="00204EE8" w:rsidP="00204EE8">
                        <w:pPr>
                          <w:pStyle w:val="BulletLevel2"/>
                          <w:numPr>
                            <w:ilvl w:val="0"/>
                            <w:numId w:val="0"/>
                          </w:numPr>
                          <w:ind w:left="360"/>
                          <w:rPr>
                            <w:b/>
                            <w:lang w:val="en-GB"/>
                          </w:rPr>
                        </w:pPr>
                        <w:r w:rsidRPr="00800B69">
                          <w:rPr>
                            <w:b/>
                            <w:lang w:val="en-GB"/>
                          </w:rPr>
                          <w:t>Simple Object Acces Protocol</w:t>
                        </w:r>
                      </w:p>
                      <w:p w:rsidR="00204EE8" w:rsidRDefault="00204EE8" w:rsidP="00204EE8">
                        <w:pPr>
                          <w:pStyle w:val="BulletLevel2"/>
                          <w:numPr>
                            <w:ilvl w:val="0"/>
                            <w:numId w:val="0"/>
                          </w:numPr>
                          <w:ind w:left="360" w:hanging="180"/>
                        </w:pPr>
                      </w:p>
                    </w:tc>
                    <w:tc>
                      <w:tcPr>
                        <w:tcW w:w="3390" w:type="dxa"/>
                      </w:tcPr>
                      <w:p w:rsidR="00204EE8" w:rsidRDefault="00204EE8" w:rsidP="00204EE8">
                        <w:pPr>
                          <w:pStyle w:val="BulletGrey"/>
                          <w:numPr>
                            <w:ilvl w:val="0"/>
                            <w:numId w:val="0"/>
                          </w:numPr>
                          <w:ind w:left="170"/>
                        </w:pPr>
                        <w:bookmarkStart w:id="11" w:name="SoftwareandServices2"/>
                        <w:bookmarkEnd w:id="11"/>
                      </w:p>
                    </w:tc>
                  </w:tr>
                </w:tbl>
                <w:p w:rsidR="00204EE8" w:rsidRDefault="00204EE8">
                  <w:pPr>
                    <w:pStyle w:val="Bodycopy"/>
                    <w:rPr>
                      <w:lang w:val="sv-SE"/>
                    </w:rPr>
                  </w:pPr>
                </w:p>
              </w:txbxContent>
            </v:textbox>
            <w10:wrap type="square" anchorx="page" anchory="page"/>
            <w10:anchorlock/>
          </v:shape>
        </w:pict>
      </w:r>
      <w:r w:rsidRPr="0030695B">
        <w:rPr>
          <w:noProof/>
          <w:color w:val="FF0000"/>
          <w:sz w:val="20"/>
        </w:rPr>
        <w:pict>
          <v:shape id="_x0000_s1111" type="#_x0000_t202" style="position:absolute;margin-left:42.55pt;margin-top:161.95pt;width:155.9pt;height:484.4pt;z-index:251656704;mso-position-horizontal-relative:page;mso-position-vertical-relative:page" stroked="f">
            <v:textbox style="mso-next-textbox:#_x0000_s1111" inset="0,0,0,0">
              <w:txbxContent>
                <w:p w:rsidR="00204EE8" w:rsidRPr="00ED6F7D" w:rsidRDefault="00204EE8">
                  <w:pPr>
                    <w:pStyle w:val="SectionHeading"/>
                    <w:rPr>
                      <w:lang w:val="es-ES"/>
                    </w:rPr>
                  </w:pPr>
                  <w:r>
                    <w:rPr>
                      <w:lang w:val="es-ES"/>
                    </w:rPr>
                    <w:t>Para m</w:t>
                  </w:r>
                  <w:r w:rsidRPr="00ED6F7D">
                    <w:rPr>
                      <w:lang w:val="es-ES"/>
                    </w:rPr>
                    <w:t>ás Información</w:t>
                  </w:r>
                </w:p>
                <w:p w:rsidR="00204EE8" w:rsidRPr="004527A2" w:rsidRDefault="00204EE8" w:rsidP="00204EE8">
                  <w:pPr>
                    <w:pStyle w:val="Bodycopy"/>
                    <w:rPr>
                      <w:lang w:val="es-ES"/>
                    </w:rPr>
                  </w:pPr>
                  <w:r w:rsidRPr="004527A2">
                    <w:rPr>
                      <w:lang w:val="es-ES"/>
                    </w:rPr>
                    <w:t>Para más información sobre los productos y servicios de Microsoft</w:t>
                  </w:r>
                  <w:r>
                    <w:rPr>
                      <w:lang w:val="es-ES"/>
                    </w:rPr>
                    <w:t xml:space="preserve"> llame al teléfono de Atención al Cliente: 902 197 198. </w:t>
                  </w:r>
                  <w:r w:rsidRPr="004527A2">
                    <w:rPr>
                      <w:lang w:val="es-ES"/>
                    </w:rPr>
                    <w:t xml:space="preserve">Para acceder a más información sobre los productos y servicios </w:t>
                  </w:r>
                  <w:r>
                    <w:rPr>
                      <w:lang w:val="es-ES"/>
                    </w:rPr>
                    <w:t xml:space="preserve">de Microsoft para grandes organizaciones, consulte nuestra Web: </w:t>
                  </w:r>
                  <w:r w:rsidRPr="004527A2">
                    <w:rPr>
                      <w:lang w:val="es-ES"/>
                    </w:rPr>
                    <w:t>www.microsoft.com</w:t>
                  </w:r>
                  <w:r>
                    <w:rPr>
                      <w:lang w:val="es-ES"/>
                    </w:rPr>
                    <w:t>/spain/enterprise</w:t>
                  </w:r>
                </w:p>
                <w:p w:rsidR="00204EE8" w:rsidRPr="004527A2" w:rsidRDefault="00204EE8" w:rsidP="00204EE8">
                  <w:pPr>
                    <w:pStyle w:val="Bodycopy"/>
                    <w:rPr>
                      <w:lang w:val="es-ES"/>
                    </w:rPr>
                  </w:pPr>
                </w:p>
                <w:p w:rsidR="00204EE8" w:rsidRPr="005A7F0B" w:rsidRDefault="00204EE8" w:rsidP="00204EE8">
                  <w:pPr>
                    <w:pStyle w:val="Bodycopy"/>
                    <w:rPr>
                      <w:b/>
                      <w:lang w:val="es-ES"/>
                    </w:rPr>
                  </w:pPr>
                  <w:r w:rsidRPr="004527A2">
                    <w:rPr>
                      <w:lang w:val="es-ES"/>
                    </w:rPr>
                    <w:t xml:space="preserve">Para más información sobre los productos y servicios </w:t>
                  </w:r>
                  <w:r>
                    <w:rPr>
                      <w:lang w:val="es-ES"/>
                    </w:rPr>
                    <w:t>de</w:t>
                  </w:r>
                  <w:r w:rsidRPr="004527A2">
                    <w:rPr>
                      <w:lang w:val="es-ES"/>
                    </w:rPr>
                    <w:t xml:space="preserve"> </w:t>
                  </w:r>
                  <w:r>
                    <w:rPr>
                      <w:b/>
                      <w:lang w:val="es-ES"/>
                    </w:rPr>
                    <w:t>TELEFÓNICA</w:t>
                  </w:r>
                  <w:r w:rsidRPr="005A5C7D">
                    <w:rPr>
                      <w:lang w:val="es-ES"/>
                    </w:rPr>
                    <w:t>,</w:t>
                  </w:r>
                  <w:r>
                    <w:rPr>
                      <w:lang w:val="es-ES"/>
                    </w:rPr>
                    <w:t xml:space="preserve"> llame al teléfono +</w:t>
                  </w:r>
                  <w:r w:rsidRPr="00F60013">
                    <w:rPr>
                      <w:b/>
                      <w:lang w:val="es-ES"/>
                    </w:rPr>
                    <w:t xml:space="preserve">34 </w:t>
                  </w:r>
                  <w:r w:rsidRPr="005A7F0B">
                    <w:rPr>
                      <w:b/>
                      <w:lang w:val="es-ES"/>
                    </w:rPr>
                    <w:t>900 101 010</w:t>
                  </w:r>
                </w:p>
                <w:p w:rsidR="00204EE8" w:rsidRPr="005A7F0B" w:rsidRDefault="00204EE8" w:rsidP="00204EE8">
                  <w:pPr>
                    <w:pStyle w:val="Bodycopy"/>
                    <w:rPr>
                      <w:b/>
                      <w:lang w:val="es-ES"/>
                    </w:rPr>
                  </w:pPr>
                  <w:r>
                    <w:rPr>
                      <w:lang w:val="es-ES"/>
                    </w:rPr>
                    <w:t xml:space="preserve">o </w:t>
                  </w:r>
                  <w:r w:rsidRPr="004527A2">
                    <w:rPr>
                      <w:lang w:val="es-ES"/>
                    </w:rPr>
                    <w:t>visit</w:t>
                  </w:r>
                  <w:r>
                    <w:rPr>
                      <w:lang w:val="es-ES"/>
                    </w:rPr>
                    <w:t>e su Web</w:t>
                  </w:r>
                  <w:r w:rsidRPr="00587987">
                    <w:rPr>
                      <w:lang w:val="es-ES"/>
                    </w:rPr>
                    <w:t xml:space="preserve">: </w:t>
                  </w:r>
                  <w:r w:rsidRPr="005A7F0B">
                    <w:rPr>
                      <w:b/>
                      <w:lang w:val="es-ES"/>
                    </w:rPr>
                    <w:t>www.telefonica.es</w:t>
                  </w:r>
                </w:p>
                <w:p w:rsidR="00204EE8" w:rsidRPr="004527A2" w:rsidRDefault="00204EE8" w:rsidP="00204EE8">
                  <w:pPr>
                    <w:pStyle w:val="Bodycopy"/>
                    <w:rPr>
                      <w:lang w:val="es-ES"/>
                    </w:rPr>
                  </w:pPr>
                </w:p>
                <w:p w:rsidR="00204EE8" w:rsidRPr="00ED6F7D" w:rsidRDefault="00204EE8">
                  <w:pPr>
                    <w:pStyle w:val="Bodycopy"/>
                    <w:rPr>
                      <w:lang w:val="es-ES"/>
                    </w:rPr>
                  </w:pPr>
                </w:p>
                <w:p w:rsidR="00204EE8" w:rsidRPr="00ED6F7D" w:rsidRDefault="00204EE8">
                  <w:pPr>
                    <w:pStyle w:val="Bodycopy"/>
                    <w:rPr>
                      <w:lang w:val="es-ES"/>
                    </w:rPr>
                  </w:pPr>
                </w:p>
              </w:txbxContent>
            </v:textbox>
            <w10:wrap anchorx="page" anchory="page"/>
            <w10:anchorlock/>
          </v:shape>
        </w:pict>
      </w:r>
      <w:bookmarkEnd w:id="8"/>
      <w:r w:rsidRPr="00C7173B">
        <w:rPr>
          <w:noProof/>
          <w:color w:val="FF0000"/>
          <w:sz w:val="20"/>
          <w:lang w:val="es-ES"/>
        </w:rPr>
        <w:t>Soluciones Microsoft para el sector Comunicaciones</w:t>
      </w:r>
    </w:p>
    <w:p w:rsidR="00204EE8" w:rsidRPr="00D46119" w:rsidRDefault="00204EE8" w:rsidP="00204EE8">
      <w:pPr>
        <w:pStyle w:val="Bodycopy"/>
        <w:rPr>
          <w:lang w:val="es-ES"/>
        </w:rPr>
      </w:pPr>
    </w:p>
    <w:p w:rsidR="00204EE8" w:rsidRPr="00352795" w:rsidRDefault="00204EE8" w:rsidP="00204EE8">
      <w:pPr>
        <w:pStyle w:val="Bodycopy"/>
        <w:rPr>
          <w:lang w:val="es-ES"/>
        </w:rPr>
      </w:pPr>
      <w:r w:rsidRPr="00352795">
        <w:rPr>
          <w:lang w:val="es-ES"/>
        </w:rPr>
        <w:t>Microsoft aporta al Sector de Comunicaciones soluciones integradas, adaptables y completas construidas con un software innovador. Estas soluciones ayudan  a los proveedores Servicios de Comunicación a desarrollar, distribuir y evolucionar ofertas personalizadas y diferenciadas que mejoran la experiencia del usuario.</w:t>
      </w:r>
    </w:p>
    <w:p w:rsidR="00204EE8" w:rsidRPr="007606B5" w:rsidRDefault="00204EE8" w:rsidP="00204EE8">
      <w:pPr>
        <w:pStyle w:val="Bodycopy"/>
        <w:rPr>
          <w:lang w:val="es-ES"/>
        </w:rPr>
      </w:pPr>
    </w:p>
    <w:p w:rsidR="00204EE8" w:rsidRPr="007606B5" w:rsidRDefault="00204EE8" w:rsidP="00204EE8">
      <w:pPr>
        <w:pStyle w:val="Bodycopy"/>
        <w:rPr>
          <w:lang w:val="es-ES"/>
        </w:rPr>
      </w:pPr>
    </w:p>
    <w:p w:rsidR="00204EE8" w:rsidRDefault="00204EE8" w:rsidP="00204EE8">
      <w:pPr>
        <w:pStyle w:val="Bodycopy"/>
        <w:rPr>
          <w:lang w:val="es-ES"/>
        </w:rPr>
      </w:pPr>
      <w:r w:rsidRPr="007606B5">
        <w:rPr>
          <w:lang w:val="es-ES"/>
        </w:rPr>
        <w:t>Para más información sobre las</w:t>
      </w:r>
      <w:r>
        <w:rPr>
          <w:lang w:val="es-ES"/>
        </w:rPr>
        <w:t xml:space="preserve"> soluciones de Microsoft para el Sector</w:t>
      </w:r>
      <w:r w:rsidRPr="007606B5">
        <w:rPr>
          <w:lang w:val="es-ES"/>
        </w:rPr>
        <w:t xml:space="preserve"> de </w:t>
      </w:r>
      <w:r>
        <w:rPr>
          <w:lang w:val="es-ES"/>
        </w:rPr>
        <w:t>Comunicaciones</w:t>
      </w:r>
      <w:r w:rsidRPr="007606B5">
        <w:rPr>
          <w:lang w:val="es-ES"/>
        </w:rPr>
        <w:t xml:space="preserve">, </w:t>
      </w:r>
      <w:r>
        <w:rPr>
          <w:lang w:val="es-ES"/>
        </w:rPr>
        <w:t>consulte</w:t>
      </w:r>
      <w:r w:rsidRPr="007606B5">
        <w:rPr>
          <w:lang w:val="es-ES"/>
        </w:rPr>
        <w:t>:</w:t>
      </w:r>
    </w:p>
    <w:p w:rsidR="00204EE8" w:rsidRDefault="00204EE8" w:rsidP="00204EE8">
      <w:pPr>
        <w:pStyle w:val="Bodycopy"/>
        <w:rPr>
          <w:lang w:val="es-ES"/>
        </w:rPr>
      </w:pPr>
    </w:p>
    <w:p w:rsidR="00204EE8" w:rsidRPr="007606B5" w:rsidRDefault="00204EE8" w:rsidP="00204EE8">
      <w:pPr>
        <w:pStyle w:val="Bodycopy"/>
        <w:rPr>
          <w:lang w:val="es-ES"/>
        </w:rPr>
      </w:pPr>
      <w:r w:rsidRPr="00227800">
        <w:rPr>
          <w:lang w:val="es-ES"/>
        </w:rPr>
        <w:t>www.microsoft.com/spain/enterprise/sectores/comunicaciones/default.mspx</w:t>
      </w:r>
    </w:p>
    <w:sectPr w:rsidR="00204EE8" w:rsidRPr="007606B5">
      <w:headerReference w:type="default" r:id="rId9"/>
      <w:footerReference w:type="default" r:id="rId10"/>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1CC" w:rsidRDefault="00BE71CC">
      <w:r>
        <w:separator/>
      </w:r>
    </w:p>
  </w:endnote>
  <w:endnote w:type="continuationSeparator" w:id="1">
    <w:p w:rsidR="00BE71CC" w:rsidRDefault="00BE71CC">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altName w:val="Times New Roman"/>
    <w:charset w:val="00"/>
    <w:family w:val="auto"/>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Franklin Gothic Heavy">
    <w:panose1 w:val="020B0903020102020204"/>
    <w:charset w:val="00"/>
    <w:family w:val="swiss"/>
    <w:pitch w:val="variable"/>
    <w:sig w:usb0="00000287" w:usb1="00000000" w:usb2="00000000" w:usb3="00000000" w:csb0="0000009F" w:csb1="00000000"/>
    <w:embedRegular r:id="rId1" w:subsetted="1" w:fontKey="{095FE3B2-B28B-43A9-A5E2-B7F06B8A8A5C}"/>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EE8" w:rsidRDefault="00204EE8">
    <w:pPr>
      <w:pStyle w:val="Piedepgina"/>
      <w:tabs>
        <w:tab w:val="left" w:pos="2760"/>
      </w:tabs>
      <w:jc w:val="right"/>
    </w:pPr>
    <w:r>
      <w:fldChar w:fldCharType="begin"/>
    </w:r>
    <w:r>
      <w:instrText xml:space="preserve"> IF </w:instrText>
    </w:r>
    <w:r>
      <w:rPr>
        <w:rStyle w:val="Nmerodepgina"/>
      </w:rPr>
      <w:fldChar w:fldCharType="begin"/>
    </w:r>
    <w:r>
      <w:rPr>
        <w:rStyle w:val="Nmerodepgina"/>
      </w:rPr>
      <w:instrText xml:space="preserve"> PAGE </w:instrText>
    </w:r>
    <w:r>
      <w:rPr>
        <w:rStyle w:val="Nmerodepgina"/>
      </w:rPr>
      <w:fldChar w:fldCharType="separate"/>
    </w:r>
    <w:r w:rsidR="00833045">
      <w:rPr>
        <w:rStyle w:val="Nmerodepgina"/>
        <w:noProof/>
      </w:rPr>
      <w:instrText>4</w:instrText>
    </w:r>
    <w:r>
      <w:rPr>
        <w:rStyle w:val="Nmerodepgina"/>
      </w:rPr>
      <w:fldChar w:fldCharType="end"/>
    </w:r>
    <w:r>
      <w:rPr>
        <w:rStyle w:val="Nmerodepgina"/>
      </w:rPr>
      <w:instrText xml:space="preserve"> = </w:instrText>
    </w:r>
    <w:r>
      <w:rPr>
        <w:rStyle w:val="Nmerodepgina"/>
      </w:rPr>
      <w:fldChar w:fldCharType="begin"/>
    </w:r>
    <w:r>
      <w:rPr>
        <w:rStyle w:val="Nmerodepgina"/>
      </w:rPr>
      <w:instrText xml:space="preserve"> NUMPAGES </w:instrText>
    </w:r>
    <w:r>
      <w:rPr>
        <w:rStyle w:val="Nmerodepgina"/>
      </w:rPr>
      <w:fldChar w:fldCharType="separate"/>
    </w:r>
    <w:r w:rsidR="00833045">
      <w:rPr>
        <w:rStyle w:val="Nmerodepgina"/>
        <w:noProof/>
      </w:rPr>
      <w:instrText>4</w:instrText>
    </w:r>
    <w:r>
      <w:rPr>
        <w:rStyle w:val="Nmerodepgina"/>
      </w:rPr>
      <w:fldChar w:fldCharType="end"/>
    </w:r>
    <w:r>
      <w:rPr>
        <w:rStyle w:val="Nmerodepgina"/>
      </w:rPr>
      <w:instrText xml:space="preserve"> </w:instrText>
    </w:r>
    <w:r w:rsidR="00833045">
      <w:rPr>
        <w:noProof/>
        <w:spacing w:val="20"/>
        <w:sz w:val="16"/>
        <w:lang w:val="es-ES" w:eastAsia="es-ES"/>
      </w:rPr>
      <w:drawing>
        <wp:inline distT="0" distB="0" distL="0" distR="0">
          <wp:extent cx="1981200" cy="920750"/>
          <wp:effectExtent l="19050" t="0" r="0" b="0"/>
          <wp:docPr id="3" name="Imagen 3"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rosoft"/>
                  <pic:cNvPicPr>
                    <a:picLocks noChangeAspect="1" noChangeArrowheads="1"/>
                  </pic:cNvPicPr>
                </pic:nvPicPr>
                <pic:blipFill>
                  <a:blip r:embed="rId1"/>
                  <a:srcRect/>
                  <a:stretch>
                    <a:fillRect/>
                  </a:stretch>
                </pic:blipFill>
                <pic:spPr bwMode="auto">
                  <a:xfrm>
                    <a:off x="0" y="0"/>
                    <a:ext cx="1981200" cy="920750"/>
                  </a:xfrm>
                  <a:prstGeom prst="rect">
                    <a:avLst/>
                  </a:prstGeom>
                  <a:noFill/>
                  <a:ln w="9525">
                    <a:noFill/>
                    <a:miter lim="800000"/>
                    <a:headEnd/>
                    <a:tailEnd/>
                  </a:ln>
                </pic:spPr>
              </pic:pic>
            </a:graphicData>
          </a:graphic>
        </wp:inline>
      </w:drawing>
    </w:r>
    <w:r>
      <w:rPr>
        <w:rStyle w:val="Nmerodepgina"/>
      </w:rPr>
      <w:instrText xml:space="preserve"> </w:instrText>
    </w:r>
    <w:r>
      <w:instrText xml:space="preserve">"" </w:instrText>
    </w:r>
    <w:r w:rsidR="007E24FC">
      <w:fldChar w:fldCharType="separate"/>
    </w:r>
    <w:r w:rsidR="00833045">
      <w:rPr>
        <w:noProof/>
        <w:spacing w:val="20"/>
        <w:sz w:val="16"/>
        <w:lang w:val="es-ES" w:eastAsia="es-ES"/>
      </w:rPr>
      <w:drawing>
        <wp:inline distT="0" distB="0" distL="0" distR="0">
          <wp:extent cx="1981200" cy="920750"/>
          <wp:effectExtent l="19050" t="0" r="0" b="0"/>
          <wp:docPr id="4" name="Imagen 4"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crosoft"/>
                  <pic:cNvPicPr>
                    <a:picLocks noChangeAspect="1" noChangeArrowheads="1"/>
                  </pic:cNvPicPr>
                </pic:nvPicPr>
                <pic:blipFill>
                  <a:blip r:embed="rId1"/>
                  <a:srcRect/>
                  <a:stretch>
                    <a:fillRect/>
                  </a:stretch>
                </pic:blipFill>
                <pic:spPr bwMode="auto">
                  <a:xfrm>
                    <a:off x="0" y="0"/>
                    <a:ext cx="1981200" cy="920750"/>
                  </a:xfrm>
                  <a:prstGeom prst="rect">
                    <a:avLst/>
                  </a:prstGeom>
                  <a:noFill/>
                  <a:ln w="9525">
                    <a:noFill/>
                    <a:miter lim="800000"/>
                    <a:headEnd/>
                    <a:tailEnd/>
                  </a:ln>
                </pic:spPr>
              </pic:pic>
            </a:graphicData>
          </a:graphic>
        </wp:inline>
      </w:drawing>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1CC" w:rsidRDefault="00BE71CC">
      <w:r>
        <w:separator/>
      </w:r>
    </w:p>
  </w:footnote>
  <w:footnote w:type="continuationSeparator" w:id="1">
    <w:p w:rsidR="00BE71CC" w:rsidRDefault="00BE71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204EE8">
      <w:tblPrEx>
        <w:tblCellMar>
          <w:top w:w="0" w:type="dxa"/>
          <w:left w:w="0" w:type="dxa"/>
          <w:bottom w:w="0" w:type="dxa"/>
          <w:right w:w="0" w:type="dxa"/>
        </w:tblCellMar>
      </w:tblPrEx>
      <w:trPr>
        <w:cantSplit/>
        <w:trHeight w:hRule="exact" w:val="1155"/>
      </w:trPr>
      <w:tc>
        <w:tcPr>
          <w:tcW w:w="4253" w:type="dxa"/>
          <w:gridSpan w:val="2"/>
          <w:vMerge w:val="restart"/>
        </w:tcPr>
        <w:p w:rsidR="00204EE8" w:rsidRDefault="00833045">
          <w:bookmarkStart w:id="6" w:name="ProductPicture"/>
          <w:r>
            <w:rPr>
              <w:noProof/>
              <w:lang w:val="es-ES" w:eastAsia="es-ES"/>
            </w:rPr>
            <w:drawing>
              <wp:inline distT="0" distB="0" distL="0" distR="0">
                <wp:extent cx="2692400" cy="1676400"/>
                <wp:effectExtent l="19050" t="0" r="0" b="0"/>
                <wp:docPr id="1" name="Imagen 1" descr="CEPFiles_picture_Men_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Files_picture_Men_meeting"/>
                        <pic:cNvPicPr>
                          <a:picLocks noChangeAspect="1" noChangeArrowheads="1"/>
                        </pic:cNvPicPr>
                      </pic:nvPicPr>
                      <pic:blipFill>
                        <a:blip r:embed="rId1"/>
                        <a:srcRect/>
                        <a:stretch>
                          <a:fillRect/>
                        </a:stretch>
                      </pic:blipFill>
                      <pic:spPr bwMode="auto">
                        <a:xfrm>
                          <a:off x="0" y="0"/>
                          <a:ext cx="2692400" cy="1676400"/>
                        </a:xfrm>
                        <a:prstGeom prst="rect">
                          <a:avLst/>
                        </a:prstGeom>
                        <a:noFill/>
                        <a:ln w="9525">
                          <a:noFill/>
                          <a:miter lim="800000"/>
                          <a:headEnd/>
                          <a:tailEnd/>
                        </a:ln>
                      </pic:spPr>
                    </pic:pic>
                  </a:graphicData>
                </a:graphic>
              </wp:inline>
            </w:drawing>
          </w:r>
          <w:bookmarkEnd w:id="6"/>
        </w:p>
      </w:tc>
      <w:tc>
        <w:tcPr>
          <w:tcW w:w="284" w:type="dxa"/>
          <w:vMerge w:val="restart"/>
        </w:tcPr>
        <w:p w:rsidR="00204EE8" w:rsidRDefault="00204EE8"/>
      </w:tc>
      <w:tc>
        <w:tcPr>
          <w:tcW w:w="6379" w:type="dxa"/>
        </w:tcPr>
        <w:p w:rsidR="00204EE8" w:rsidRDefault="00204EE8">
          <w:pPr>
            <w:pStyle w:val="StandFirstIntroduction"/>
          </w:pPr>
        </w:p>
      </w:tc>
    </w:tr>
    <w:tr w:rsidR="00204EE8" w:rsidRPr="00D46119">
      <w:tblPrEx>
        <w:tblCellMar>
          <w:top w:w="0" w:type="dxa"/>
          <w:left w:w="0" w:type="dxa"/>
          <w:bottom w:w="0" w:type="dxa"/>
          <w:right w:w="0" w:type="dxa"/>
        </w:tblCellMar>
      </w:tblPrEx>
      <w:trPr>
        <w:cantSplit/>
        <w:trHeight w:val="768"/>
      </w:trPr>
      <w:tc>
        <w:tcPr>
          <w:tcW w:w="4253" w:type="dxa"/>
          <w:gridSpan w:val="2"/>
          <w:vMerge/>
        </w:tcPr>
        <w:p w:rsidR="00204EE8" w:rsidRDefault="00204EE8"/>
      </w:tc>
      <w:tc>
        <w:tcPr>
          <w:tcW w:w="284" w:type="dxa"/>
          <w:vMerge/>
        </w:tcPr>
        <w:p w:rsidR="00204EE8" w:rsidRDefault="00204EE8"/>
      </w:tc>
      <w:tc>
        <w:tcPr>
          <w:tcW w:w="6379" w:type="dxa"/>
          <w:vAlign w:val="bottom"/>
        </w:tcPr>
        <w:p w:rsidR="00204EE8" w:rsidRPr="00D46119" w:rsidRDefault="00204EE8">
          <w:pPr>
            <w:pStyle w:val="Casestudydescription"/>
            <w:rPr>
              <w:lang w:val="es-ES"/>
            </w:rPr>
          </w:pPr>
          <w:bookmarkStart w:id="7" w:name="ProductTitle"/>
          <w:r w:rsidRPr="00D46119">
            <w:rPr>
              <w:lang w:val="es-ES"/>
            </w:rPr>
            <w:t>Casos de Éxito Microsoft</w:t>
          </w:r>
        </w:p>
        <w:bookmarkEnd w:id="7"/>
        <w:p w:rsidR="00204EE8" w:rsidRPr="00D46119" w:rsidRDefault="00204EE8">
          <w:pPr>
            <w:pStyle w:val="Casestudydescription"/>
            <w:rPr>
              <w:lang w:val="es-ES"/>
            </w:rPr>
          </w:pPr>
          <w:r w:rsidRPr="00D46119">
            <w:rPr>
              <w:lang w:val="es-ES"/>
            </w:rPr>
            <w:t>Sector Comunicaciones</w:t>
          </w:r>
        </w:p>
      </w:tc>
    </w:tr>
    <w:tr w:rsidR="00204EE8" w:rsidRPr="00D46119">
      <w:tblPrEx>
        <w:tblCellMar>
          <w:top w:w="0" w:type="dxa"/>
          <w:left w:w="0" w:type="dxa"/>
          <w:bottom w:w="0" w:type="dxa"/>
          <w:right w:w="0" w:type="dxa"/>
        </w:tblCellMar>
      </w:tblPrEx>
      <w:trPr>
        <w:cantSplit/>
        <w:trHeight w:val="1248"/>
      </w:trPr>
      <w:tc>
        <w:tcPr>
          <w:tcW w:w="4253" w:type="dxa"/>
          <w:gridSpan w:val="2"/>
          <w:vMerge/>
        </w:tcPr>
        <w:p w:rsidR="00204EE8" w:rsidRPr="00D46119" w:rsidRDefault="00204EE8">
          <w:pPr>
            <w:rPr>
              <w:lang w:val="es-ES"/>
            </w:rPr>
          </w:pPr>
        </w:p>
      </w:tc>
      <w:tc>
        <w:tcPr>
          <w:tcW w:w="284" w:type="dxa"/>
        </w:tcPr>
        <w:p w:rsidR="00204EE8" w:rsidRPr="00D46119" w:rsidRDefault="00204EE8">
          <w:pPr>
            <w:rPr>
              <w:lang w:val="es-ES"/>
            </w:rPr>
          </w:pPr>
          <w:r>
            <w:rPr>
              <w:noProof/>
              <w:sz w:val="20"/>
              <w:lang w:val="en-US"/>
            </w:rPr>
            <w:pict>
              <v:shapetype id="_x0000_t202" coordsize="21600,21600" o:spt="202" path="m,l,21600r21600,l21600,xe">
                <v:stroke joinstyle="miter"/>
                <v:path gradientshapeok="t" o:connecttype="rect"/>
              </v:shapetype>
              <v:shape id="Green501" o:spid="_x0000_s2080" type="#_x0000_t202" style="position:absolute;margin-left:-.55pt;margin-top:11.35pt;width:401pt;height:24.5pt;z-index:-251660800;mso-wrap-edited:f;mso-position-horizontal-relative:page;mso-position-vertical-relative:page" wrapcoords="-92 0 -92 21392 21600 21392 21600 0 -92 0" fillcolor="#f30" stroked="f">
                <v:fill opacity=".5" color2="#4db2ff"/>
                <v:textbox style="mso-next-textbox:#Green501" inset="0,0,0,0">
                  <w:txbxContent>
                    <w:p w:rsidR="00204EE8" w:rsidRDefault="00204EE8"/>
                  </w:txbxContent>
                </v:textbox>
                <w10:anchorlock/>
              </v:shape>
            </w:pict>
          </w:r>
        </w:p>
      </w:tc>
      <w:tc>
        <w:tcPr>
          <w:tcW w:w="6379" w:type="dxa"/>
        </w:tcPr>
        <w:p w:rsidR="00204EE8" w:rsidRPr="00D46119" w:rsidRDefault="00204EE8">
          <w:pPr>
            <w:spacing w:after="80"/>
            <w:jc w:val="right"/>
            <w:rPr>
              <w:color w:val="FF9900"/>
              <w:lang w:val="es-ES"/>
            </w:rPr>
          </w:pPr>
        </w:p>
      </w:tc>
    </w:tr>
    <w:tr w:rsidR="00204EE8" w:rsidRPr="000507A8">
      <w:tblPrEx>
        <w:tblCellMar>
          <w:top w:w="0" w:type="dxa"/>
          <w:left w:w="0" w:type="dxa"/>
          <w:bottom w:w="0" w:type="dxa"/>
          <w:right w:w="0" w:type="dxa"/>
        </w:tblCellMar>
      </w:tblPrEx>
      <w:trPr>
        <w:cantSplit/>
        <w:trHeight w:hRule="exact" w:val="707"/>
      </w:trPr>
      <w:tc>
        <w:tcPr>
          <w:tcW w:w="860" w:type="dxa"/>
          <w:vMerge w:val="restart"/>
        </w:tcPr>
        <w:p w:rsidR="00204EE8" w:rsidRPr="00D46119" w:rsidRDefault="00204EE8">
          <w:pPr>
            <w:rPr>
              <w:lang w:val="es-ES"/>
            </w:rPr>
          </w:pPr>
        </w:p>
      </w:tc>
      <w:tc>
        <w:tcPr>
          <w:tcW w:w="3393" w:type="dxa"/>
          <w:vMerge w:val="restart"/>
        </w:tcPr>
        <w:p w:rsidR="00204EE8" w:rsidRPr="00D46119" w:rsidRDefault="00204EE8">
          <w:pPr>
            <w:rPr>
              <w:sz w:val="8"/>
              <w:lang w:val="es-ES"/>
            </w:rPr>
          </w:pPr>
        </w:p>
        <w:p w:rsidR="00204EE8" w:rsidRDefault="00833045">
          <w:r>
            <w:rPr>
              <w:noProof/>
              <w:lang w:val="es-ES" w:eastAsia="es-ES"/>
            </w:rPr>
            <w:drawing>
              <wp:inline distT="0" distB="0" distL="0" distR="0">
                <wp:extent cx="1962150" cy="965200"/>
                <wp:effectExtent l="19050" t="0" r="0" b="0"/>
                <wp:docPr id="2" name="Imagen 2" descr="telefo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efonica"/>
                        <pic:cNvPicPr>
                          <a:picLocks noChangeAspect="1" noChangeArrowheads="1"/>
                        </pic:cNvPicPr>
                      </pic:nvPicPr>
                      <pic:blipFill>
                        <a:blip r:embed="rId2"/>
                        <a:srcRect/>
                        <a:stretch>
                          <a:fillRect/>
                        </a:stretch>
                      </pic:blipFill>
                      <pic:spPr bwMode="auto">
                        <a:xfrm>
                          <a:off x="0" y="0"/>
                          <a:ext cx="1962150" cy="965200"/>
                        </a:xfrm>
                        <a:prstGeom prst="rect">
                          <a:avLst/>
                        </a:prstGeom>
                        <a:noFill/>
                        <a:ln w="9525">
                          <a:noFill/>
                          <a:miter lim="800000"/>
                          <a:headEnd/>
                          <a:tailEnd/>
                        </a:ln>
                      </pic:spPr>
                    </pic:pic>
                  </a:graphicData>
                </a:graphic>
              </wp:inline>
            </w:drawing>
          </w:r>
        </w:p>
      </w:tc>
      <w:tc>
        <w:tcPr>
          <w:tcW w:w="284" w:type="dxa"/>
          <w:tcBorders>
            <w:left w:val="nil"/>
          </w:tcBorders>
        </w:tcPr>
        <w:p w:rsidR="00204EE8" w:rsidRDefault="00204EE8">
          <w:r>
            <w:rPr>
              <w:noProof/>
              <w:sz w:val="20"/>
              <w:lang w:val="en-US"/>
            </w:rPr>
            <w:pict>
              <v:shape id="GreenFade1" o:spid="_x0000_s2093" type="#_x0000_t202" style="position:absolute;margin-left:-.55pt;margin-top:-158.6pt;width:401.1pt;height:107.75pt;z-index:-251656704;mso-wrap-edited:f;mso-position-horizontal-relative:page;mso-position-vertical-relative:page" wrapcoords="-92 0 -92 21392 21600 21392 21600 0 -92 0" fillcolor="#f30" stroked="f">
                <v:fill color2="fill lighten(0)" angle="-90" method="linear sigma" focus="100%" type="gradient"/>
                <v:textbox style="mso-next-textbox:#GreenFade1" inset="0,0,0,0">
                  <w:txbxContent>
                    <w:p w:rsidR="00204EE8" w:rsidRDefault="00204EE8"/>
                  </w:txbxContent>
                </v:textbox>
                <w10:anchorlock/>
              </v:shape>
            </w:pict>
          </w:r>
        </w:p>
      </w:tc>
      <w:tc>
        <w:tcPr>
          <w:tcW w:w="6379" w:type="dxa"/>
        </w:tcPr>
        <w:p w:rsidR="00204EE8" w:rsidRPr="000507A8" w:rsidRDefault="00204EE8" w:rsidP="00204EE8">
          <w:pPr>
            <w:pStyle w:val="DocumentTitle"/>
            <w:rPr>
              <w:lang w:val="es-ES"/>
            </w:rPr>
          </w:pPr>
          <w:r w:rsidRPr="00E13422">
            <w:rPr>
              <w:lang w:val="es-ES"/>
            </w:rPr>
            <w:t>Telefónica I+D: interoperabilidad remota</w:t>
          </w:r>
        </w:p>
      </w:tc>
    </w:tr>
    <w:tr w:rsidR="00204EE8" w:rsidRPr="000507A8">
      <w:tblPrEx>
        <w:tblCellMar>
          <w:top w:w="0" w:type="dxa"/>
          <w:left w:w="0" w:type="dxa"/>
          <w:bottom w:w="0" w:type="dxa"/>
          <w:right w:w="0" w:type="dxa"/>
        </w:tblCellMar>
      </w:tblPrEx>
      <w:trPr>
        <w:cantSplit/>
        <w:trHeight w:val="1008"/>
      </w:trPr>
      <w:tc>
        <w:tcPr>
          <w:tcW w:w="860" w:type="dxa"/>
          <w:vMerge/>
        </w:tcPr>
        <w:p w:rsidR="00204EE8" w:rsidRPr="000507A8" w:rsidRDefault="00204EE8">
          <w:pPr>
            <w:rPr>
              <w:lang w:val="es-ES"/>
            </w:rPr>
          </w:pPr>
        </w:p>
      </w:tc>
      <w:tc>
        <w:tcPr>
          <w:tcW w:w="3393" w:type="dxa"/>
          <w:vMerge/>
          <w:tcBorders>
            <w:top w:val="single" w:sz="4" w:space="0" w:color="auto"/>
          </w:tcBorders>
        </w:tcPr>
        <w:p w:rsidR="00204EE8" w:rsidRPr="000507A8" w:rsidRDefault="00204EE8">
          <w:pPr>
            <w:rPr>
              <w:lang w:val="es-ES"/>
            </w:rPr>
          </w:pPr>
        </w:p>
      </w:tc>
      <w:tc>
        <w:tcPr>
          <w:tcW w:w="284" w:type="dxa"/>
          <w:tcBorders>
            <w:left w:val="nil"/>
          </w:tcBorders>
        </w:tcPr>
        <w:p w:rsidR="00204EE8" w:rsidRPr="000507A8" w:rsidRDefault="00204EE8">
          <w:pPr>
            <w:rPr>
              <w:noProof/>
              <w:sz w:val="20"/>
              <w:lang w:val="es-ES"/>
            </w:rPr>
          </w:pPr>
        </w:p>
      </w:tc>
      <w:tc>
        <w:tcPr>
          <w:tcW w:w="6379" w:type="dxa"/>
          <w:vAlign w:val="bottom"/>
        </w:tcPr>
        <w:p w:rsidR="00204EE8" w:rsidRPr="000507A8" w:rsidRDefault="00204EE8">
          <w:pPr>
            <w:pStyle w:val="StandFirstIntroduction"/>
            <w:spacing w:line="240" w:lineRule="auto"/>
            <w:rPr>
              <w:sz w:val="20"/>
              <w:lang w:val="es-ES"/>
            </w:rPr>
          </w:pPr>
        </w:p>
        <w:p w:rsidR="00204EE8" w:rsidRPr="000507A8" w:rsidRDefault="00204EE8">
          <w:pPr>
            <w:pStyle w:val="StandFirstIntroduction"/>
            <w:spacing w:line="240" w:lineRule="auto"/>
            <w:rPr>
              <w:sz w:val="20"/>
              <w:lang w:val="es-ES"/>
            </w:rPr>
          </w:pPr>
        </w:p>
        <w:p w:rsidR="00204EE8" w:rsidRPr="000507A8" w:rsidRDefault="00204EE8">
          <w:pPr>
            <w:pStyle w:val="StandFirstIntroduction"/>
            <w:rPr>
              <w:lang w:val="es-ES"/>
            </w:rPr>
          </w:pPr>
        </w:p>
      </w:tc>
    </w:tr>
  </w:tbl>
  <w:p w:rsidR="00204EE8" w:rsidRPr="000507A8" w:rsidRDefault="00204EE8">
    <w:pPr>
      <w:pStyle w:val="Encabezado"/>
      <w:rPr>
        <w:sz w:val="14"/>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EE8" w:rsidRDefault="00204EE8">
    <w:pPr>
      <w:pStyle w:val="Encabezado"/>
    </w:pPr>
    <w:r>
      <w:rPr>
        <w:noProof/>
        <w:sz w:val="20"/>
        <w:lang w:val="en-US" w:bidi="ar-SA"/>
      </w:rPr>
      <w:pict>
        <v:line id="ThinGreenLine" o:spid="_x0000_s2088" style="position:absolute;left:0;text-align:left;flip:x;z-index:-251657728;mso-position-horizontal-relative:page;mso-position-vertical-relative:page" from="212.35pt,161.6pt" to="212.35pt,725.6pt" strokecolor="#f30"/>
      </w:pict>
    </w:r>
    <w:r>
      <w:rPr>
        <w:noProof/>
        <w:sz w:val="20"/>
        <w:lang w:val="en-US" w:bidi="ar-SA"/>
      </w:rPr>
      <w:pict>
        <v:shapetype id="_x0000_t202" coordsize="21600,21600" o:spt="202" path="m,l,21600r21600,l21600,xe">
          <v:stroke joinstyle="miter"/>
          <v:path gradientshapeok="t" o:connecttype="rect"/>
        </v:shapetype>
        <v:shape id="Green502" o:spid="_x0000_s2084" type="#_x0000_t202" style="position:absolute;left:0;text-align:left;margin-left:-.05pt;margin-top:41.8pt;width:612.1pt;height:24pt;z-index:-251658752;mso-wrap-edited:f;mso-position-horizontal-relative:page;mso-position-vertical-relative:page" wrapcoords="-92 0 -92 21392 21600 21392 21600 0 -92 0" fillcolor="#f30" stroked="f">
          <v:fill opacity=".5"/>
          <v:textbox style="mso-next-textbox:#Green502" inset="0,0,0,0">
            <w:txbxContent>
              <w:p w:rsidR="00204EE8" w:rsidRDefault="00204EE8"/>
            </w:txbxContent>
          </v:textbox>
          <w10:anchorlock/>
        </v:shape>
      </w:pict>
    </w:r>
    <w:r>
      <w:rPr>
        <w:noProof/>
        <w:sz w:val="20"/>
        <w:lang w:val="en-US" w:bidi="ar-SA"/>
      </w:rPr>
      <w:pict>
        <v:shape id="GreenFade2" o:spid="_x0000_s2083" type="#_x0000_t202" style="position:absolute;left:0;text-align:left;margin-left:0;margin-top:-.05pt;width:612.1pt;height:42pt;z-index:-251659776;mso-wrap-edited:f;mso-position-horizontal-relative:page;mso-position-vertical-relative:page" wrapcoords="-92 0 -92 21392 21600 21392 21600 0 -92 0" fillcolor="#f30" stroked="f">
          <v:fill color2="fill lighten(0)" angle="-90" method="linear sigma" focus="100%" type="gradient"/>
          <v:textbox style="mso-next-textbox:#GreenFade2" inset="0,0,0,0">
            <w:txbxContent>
              <w:p w:rsidR="00204EE8" w:rsidRDefault="00204EE8"/>
            </w:txbxContent>
          </v:textbox>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F1E0AB98"/>
    <w:lvl w:ilvl="0" w:tplc="BCAC951C">
      <w:start w:val="1"/>
      <w:numFmt w:val="bullet"/>
      <w:lvlRestart w:val="0"/>
      <w:pStyle w:val="Bullet"/>
      <w:lvlText w:val=""/>
      <w:lvlJc w:val="left"/>
      <w:pPr>
        <w:tabs>
          <w:tab w:val="num" w:pos="170"/>
        </w:tabs>
        <w:ind w:left="170" w:hanging="170"/>
      </w:pPr>
      <w:rPr>
        <w:rFonts w:ascii="Wingdings" w:hAnsi="Wingdings" w:hint="default"/>
        <w:color w:val="FF33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C6BA79E6"/>
    <w:lvl w:ilvl="0" w:tplc="B40CA85E">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0D0B0B"/>
    <w:multiLevelType w:val="hybridMultilevel"/>
    <w:tmpl w:val="A44EAF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43140D9"/>
    <w:multiLevelType w:val="hybridMultilevel"/>
    <w:tmpl w:val="5DB0BA12"/>
    <w:lvl w:ilvl="0" w:tplc="00BA4BE8">
      <w:start w:val="1"/>
      <w:numFmt w:val="bullet"/>
      <w:lvlRestart w:val="0"/>
      <w:pStyle w:val="Bulletbold"/>
      <w:lvlText w:val=""/>
      <w:lvlJc w:val="left"/>
      <w:pPr>
        <w:tabs>
          <w:tab w:val="num" w:pos="170"/>
        </w:tabs>
        <w:ind w:left="170" w:hanging="170"/>
      </w:pPr>
      <w:rPr>
        <w:rFonts w:ascii="Wingdings" w:hAnsi="Wingdings" w:hint="default"/>
        <w:color w:val="FF33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FE4487"/>
    <w:multiLevelType w:val="singleLevel"/>
    <w:tmpl w:val="86EEE6A8"/>
    <w:lvl w:ilvl="0">
      <w:start w:val="1"/>
      <w:numFmt w:val="decimal"/>
      <w:pStyle w:val="TDC2"/>
      <w:lvlText w:val="%1."/>
      <w:lvlJc w:val="left"/>
      <w:pPr>
        <w:tabs>
          <w:tab w:val="num" w:pos="360"/>
        </w:tabs>
        <w:ind w:left="360" w:hanging="360"/>
      </w:pPr>
    </w:lvl>
  </w:abstractNum>
  <w:abstractNum w:abstractNumId="7">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8">
    <w:nsid w:val="4F147D09"/>
    <w:multiLevelType w:val="hybridMultilevel"/>
    <w:tmpl w:val="09A694DE"/>
    <w:lvl w:ilvl="0" w:tplc="23DC0CEC">
      <w:start w:val="1"/>
      <w:numFmt w:val="bullet"/>
      <w:lvlRestart w:val="0"/>
      <w:pStyle w:val="Bulletcolored"/>
      <w:lvlText w:val=""/>
      <w:lvlJc w:val="left"/>
      <w:pPr>
        <w:tabs>
          <w:tab w:val="num" w:pos="170"/>
        </w:tabs>
        <w:ind w:left="170" w:hanging="170"/>
      </w:pPr>
      <w:rPr>
        <w:rFonts w:ascii="Wingdings" w:hAnsi="Wingdings" w:hint="default"/>
        <w:color w:val="FF33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0">
    <w:nsid w:val="745A6C05"/>
    <w:multiLevelType w:val="multilevel"/>
    <w:tmpl w:val="BF965A8E"/>
    <w:lvl w:ilvl="0">
      <w:start w:val="1"/>
      <w:numFmt w:val="decimal"/>
      <w:lvlText w:val="%1)"/>
      <w:lvlJc w:val="left"/>
      <w:pPr>
        <w:tabs>
          <w:tab w:val="num" w:pos="360"/>
        </w:tabs>
        <w:ind w:left="360" w:hanging="360"/>
      </w:pPr>
    </w:lvl>
    <w:lvl w:ilvl="1">
      <w:start w:val="1"/>
      <w:numFmt w:val="lowerLetter"/>
      <w:pStyle w:val="Ttulo2"/>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77791F8E"/>
    <w:multiLevelType w:val="hybridMultilevel"/>
    <w:tmpl w:val="7A48C1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6"/>
  </w:num>
  <w:num w:numId="5">
    <w:abstractNumId w:val="1"/>
  </w:num>
  <w:num w:numId="7">
    <w:abstractNumId w:val="11"/>
  </w:num>
  <w:num w:numId="8">
    <w:abstractNumId w:val="3"/>
  </w:num>
  <w:num w:numId="9">
    <w:abstractNumId w:val="1"/>
  </w:num>
  <w:num w:numId="10">
    <w:abstractNumId w:val="5"/>
  </w:num>
  <w:num w:numId="11">
    <w:abstractNumId w:val="2"/>
  </w:num>
  <w:num w:numId="12">
    <w:abstractNumId w:val="8"/>
  </w:num>
  <w:num w:numId="13">
    <w:abstractNumId w:val="1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TrueTypeFonts/>
  <w:embedSystemFonts/>
  <w:saveSubsetFonts/>
  <w:attachedTemplate r:id="rId1"/>
  <w:stylePaneFormatFilter w:val="3F01"/>
  <w:defaultTabStop w:val="720"/>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3074"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2"/>
    </o:shapelayout>
  </w:hdrShapeDefaults>
  <w:footnotePr>
    <w:footnote w:id="0"/>
    <w:footnote w:id="1"/>
  </w:footnotePr>
  <w:endnotePr>
    <w:endnote w:id="0"/>
    <w:endnote w:id="1"/>
  </w:endnotePr>
  <w:compat/>
  <w:docVars>
    <w:docVar w:name="ACTIVATED" w:val="1"/>
    <w:docVar w:name="CHKITEM" w:val="0"/>
    <w:docVar w:name="ClientLogo" w:val="d:\JESUSP\Mis imágenes\Logos\IESE_logo.gif"/>
    <w:docVar w:name="ColorHalfRGB" w:val="9019391"/>
    <w:docVar w:name="ColorName" w:val="Red"/>
    <w:docVar w:name="ColorRGB" w:val="13311"/>
    <w:docVar w:name="ComboBox1_ListCount" w:val="0"/>
    <w:docVar w:name="ComboBox1_ListIndex" w:val="-1"/>
    <w:docVar w:name="lbColour_0_0" w:val="Red"/>
    <w:docVar w:name="lbColour_0_1" w:val="13311"/>
    <w:docVar w:name="lbColour_0_2" w:val="9019391"/>
    <w:docVar w:name="lbColour_0_SELECTED" w:val="-1"/>
    <w:docVar w:name="lbColour_1_0" w:val="Blue"/>
    <w:docVar w:name="lbColour_1_1" w:val="16750848"/>
    <w:docVar w:name="lbColour_1_2" w:val="16765585"/>
    <w:docVar w:name="lbColour_1_SELECTED" w:val="0"/>
    <w:docVar w:name="lbColour_2_0" w:val="Green"/>
    <w:docVar w:name="lbColour_2_1" w:val="3394662"/>
    <w:docVar w:name="lbColour_2_2" w:val="11004349"/>
    <w:docVar w:name="lbColour_2_SELECTED" w:val="0"/>
    <w:docVar w:name="lbColour_3_0" w:val="Grey"/>
    <w:docVar w:name="lbColour_3_1" w:val="10066329"/>
    <w:docVar w:name="lbColour_3_2" w:val="12632256"/>
    <w:docVar w:name="lbColour_3_SELECTED" w:val="0"/>
    <w:docVar w:name="lbColour_4_0" w:val="Yellow"/>
    <w:docVar w:name="lbColour_4_1" w:val="52479"/>
    <w:docVar w:name="lbColour_4_2" w:val="12632256"/>
    <w:docVar w:name="lbColour_4_SELECTED" w:val="0"/>
    <w:docVar w:name="lbColour_5_0" w:val="Dark blue"/>
    <w:docVar w:name="lbColour_5_1" w:val="5778961"/>
    <w:docVar w:name="lbColour_5_2" w:val="12632256"/>
    <w:docVar w:name="lbColour_5_SELECTED" w:val="0"/>
    <w:docVar w:name="lbColour_6_0" w:val="Dark red"/>
    <w:docVar w:name="lbColour_6_1" w:val="1316205"/>
    <w:docVar w:name="lbColour_6_2" w:val="12632256"/>
    <w:docVar w:name="lbColour_6_SELECTED" w:val="0"/>
    <w:docVar w:name="lbColour_7_0" w:val="Dark green"/>
    <w:docVar w:name="lbColour_7_1" w:val="2447360"/>
    <w:docVar w:name="lbColour_7_2" w:val="12632256"/>
    <w:docVar w:name="lbColour_7_SELECTED" w:val="0"/>
    <w:docVar w:name="lbColour_8_0" w:val="Dark yellow"/>
    <w:docVar w:name="lbColour_8_1" w:val="1531880"/>
    <w:docVar w:name="lbColour_8_2" w:val="12632256"/>
    <w:docVar w:name="lbColour_8_SELECTED" w:val="0"/>
    <w:docVar w:name="lbColour_9_0" w:val="MS Dynamics"/>
    <w:docVar w:name="lbColour_9_1" w:val="5778961"/>
    <w:docVar w:name="lbColour_9_2" w:val="16750848"/>
    <w:docVar w:name="lbColour_9_SELECTED" w:val="0"/>
    <w:docVar w:name="lbColour_ListCount" w:val="10"/>
    <w:docVar w:name="lbColour_ListIndex" w:val="0"/>
    <w:docVar w:name="lbList_0_0" w:val="Products"/>
    <w:docVar w:name="lbList_0_1" w:val="Microsoft Office Excel 2003"/>
    <w:docVar w:name="lbList_0_2" w:val="046"/>
    <w:docVar w:name="lbList_0_SELECTED" w:val="0"/>
    <w:docVar w:name="lbList_1_0" w:val="Solutions"/>
    <w:docVar w:name="lbList_1_1" w:val="Microsoft BizTalk Accelerator for HIPAA"/>
    <w:docVar w:name="lbList_1_2" w:val="173"/>
    <w:docVar w:name="lbList_1_SELECTED" w:val="-1"/>
    <w:docVar w:name="lbList_ListCount" w:val="2"/>
    <w:docVar w:name="lbList_ListIndex" w:val="1"/>
    <w:docVar w:name="lbOffice_ListCount" w:val="0"/>
    <w:docVar w:name="lbOffice_ListIndex" w:val="-1"/>
    <w:docVar w:name="lbProductList_0_0" w:val=" DEFAULT"/>
    <w:docVar w:name="lbProductList_0_SELECTED" w:val="-1"/>
    <w:docVar w:name="lbProductList_1_0" w:val=".NET Framework 3.0"/>
    <w:docVar w:name="lbProductList_1_SELECTED" w:val="0"/>
    <w:docVar w:name="lbProductList_10_0" w:val="CMS"/>
    <w:docVar w:name="lbProductList_10_SELECTED" w:val="0"/>
    <w:docVar w:name="lbProductList_11_0" w:val="Commerce Server"/>
    <w:docVar w:name="lbProductList_11_SELECTED" w:val="0"/>
    <w:docVar w:name="lbProductList_12_0" w:val="Communications Sector"/>
    <w:docVar w:name="lbProductList_12_SELECTED" w:val="0"/>
    <w:docVar w:name="lbProductList_13_0" w:val="Dynamics"/>
    <w:docVar w:name="lbProductList_13_SELECTED" w:val="0"/>
    <w:docVar w:name="lbProductList_14_0" w:val="Enterprise Integration"/>
    <w:docVar w:name="lbProductList_14_SELECTED" w:val="0"/>
    <w:docVar w:name="lbProductList_15_0" w:val="Exchange 2000"/>
    <w:docVar w:name="lbProductList_15_SELECTED" w:val="0"/>
    <w:docVar w:name="lbProductList_16_0" w:val="Exchange 2003"/>
    <w:docVar w:name="lbProductList_16_SELECTED" w:val="0"/>
    <w:docVar w:name="lbProductList_17_0" w:val="Exchange 2007"/>
    <w:docVar w:name="lbProductList_17_SELECTED" w:val="0"/>
    <w:docVar w:name="lbProductList_18_0" w:val="Groove Virtual Office"/>
    <w:docVar w:name="lbProductList_18_SELECTED" w:val="0"/>
    <w:docVar w:name="lbProductList_19_0" w:val="Internet Business"/>
    <w:docVar w:name="lbProductList_19_SELECTED" w:val="0"/>
    <w:docVar w:name="lbProductList_2_0" w:val=".NET"/>
    <w:docVar w:name="lbProductList_2_SELECTED" w:val="0"/>
    <w:docVar w:name="lbProductList_20_0" w:val="ISA"/>
    <w:docVar w:name="lbProductList_20_SELECTED" w:val="0"/>
    <w:docVar w:name="lbProductList_21_0" w:val="Macintosh Business Unit"/>
    <w:docVar w:name="lbProductList_21_SELECTED" w:val="0"/>
    <w:docVar w:name="lbProductList_22_0" w:val="MBS"/>
    <w:docVar w:name="lbProductList_22_SELECTED" w:val="0"/>
    <w:docVar w:name="lbProductList_23_0" w:val="MCSE"/>
    <w:docVar w:name="lbProductList_23_SELECTED" w:val="0"/>
    <w:docVar w:name="lbProductList_24_0" w:val="Microsoft Learning"/>
    <w:docVar w:name="lbProductList_24_SELECTED" w:val="0"/>
    <w:docVar w:name="lbProductList_25_0" w:val="Microsoft Server"/>
    <w:docVar w:name="lbProductList_25_SELECTED" w:val="0"/>
    <w:docVar w:name="lbProductList_26_0" w:val="Microsoft Services"/>
    <w:docVar w:name="lbProductList_26_SELECTED" w:val="0"/>
    <w:docVar w:name="lbProductList_27_0" w:val="MSA"/>
    <w:docVar w:name="lbProductList_27_SELECTED" w:val="0"/>
    <w:docVar w:name="lbProductList_28_0" w:val="MSPP"/>
    <w:docVar w:name="lbProductList_28_SELECTED" w:val="0"/>
    <w:docVar w:name="lbProductList_29_0" w:val="MTC"/>
    <w:docVar w:name="lbProductList_29_SELECTED" w:val="0"/>
    <w:docVar w:name="lbProductList_3_0" w:val="Active Directory"/>
    <w:docVar w:name="lbProductList_3_SELECTED" w:val="0"/>
    <w:docVar w:name="lbProductList_30_0" w:val="Office System"/>
    <w:docVar w:name="lbProductList_30_SELECTED" w:val="0"/>
    <w:docVar w:name="lbProductList_31_0" w:val="Office_Exchange"/>
    <w:docVar w:name="lbProductList_31_SELECTED" w:val="0"/>
    <w:docVar w:name="lbProductList_32_0" w:val="Office_Exchange_Vista"/>
    <w:docVar w:name="lbProductList_32_SELECTED" w:val="0"/>
    <w:docVar w:name="lbProductList_33_0" w:val="Office_Vista"/>
    <w:docVar w:name="lbProductList_33_SELECTED" w:val="0"/>
    <w:docVar w:name="lbProductList_34_0" w:val="Portals"/>
    <w:docVar w:name="lbProductList_34_SELECTED" w:val="0"/>
    <w:docVar w:name="lbProductList_35_0" w:val="Project EPM"/>
    <w:docVar w:name="lbProductList_35_SELECTED" w:val="0"/>
    <w:docVar w:name="lbProductList_36_0" w:val="Project_Six_Sigma"/>
    <w:docVar w:name="lbProductList_36_SELECTED" w:val="0"/>
    <w:docVar w:name="lbProductList_37_0" w:val="Rationalized to Dynamic"/>
    <w:docVar w:name="lbProductList_37_SELECTED" w:val="0"/>
    <w:docVar w:name="lbProductList_38_0" w:val="RMS"/>
    <w:docVar w:name="lbProductList_38_SELECTED" w:val="0"/>
    <w:docVar w:name="lbProductList_39_0" w:val="SAM"/>
    <w:docVar w:name="lbProductList_39_SELECTED" w:val="0"/>
    <w:docVar w:name="lbProductList_4_0" w:val="Basic to Standardized"/>
    <w:docVar w:name="lbProductList_4_SELECTED" w:val="0"/>
    <w:docVar w:name="lbProductList_40_0" w:val="Server Consolidation"/>
    <w:docVar w:name="lbProductList_40_SELECTED" w:val="0"/>
    <w:docVar w:name="lbProductList_41_0" w:val="Small Business Server 2003"/>
    <w:docVar w:name="lbProductList_41_SELECTED" w:val="0"/>
    <w:docVar w:name="lbProductList_42_0" w:val="SMS"/>
    <w:docVar w:name="lbProductList_42_SELECTED" w:val="0"/>
    <w:docVar w:name="lbProductList_43_0" w:val="SQL Server"/>
    <w:docVar w:name="lbProductList_43_SELECTED" w:val="0"/>
    <w:docVar w:name="lbProductList_44_0" w:val="Standardized to Rationalized"/>
    <w:docVar w:name="lbProductList_44_SELECTED" w:val="0"/>
    <w:docVar w:name="lbProductList_45_0" w:val="Tablet PC"/>
    <w:docVar w:name="lbProductList_45_SELECTED" w:val="0"/>
    <w:docVar w:name="lbProductList_46_0" w:val="Visio"/>
    <w:docVar w:name="lbProductList_46_SELECTED" w:val="0"/>
    <w:docVar w:name="lbProductList_47_0" w:val="Visual Studio"/>
    <w:docVar w:name="lbProductList_47_SELECTED" w:val="0"/>
    <w:docVar w:name="lbProductList_48_0" w:val="Volume Licensing"/>
    <w:docVar w:name="lbProductList_48_SELECTED" w:val="0"/>
    <w:docVar w:name="lbProductList_49_0" w:val="WDS"/>
    <w:docVar w:name="lbProductList_49_SELECTED" w:val="0"/>
    <w:docVar w:name="lbProductList_5_0" w:val="BDM Financial Services"/>
    <w:docVar w:name="lbProductList_5_SELECTED" w:val="0"/>
    <w:docVar w:name="lbProductList_50_0" w:val="Windows Desktop Search"/>
    <w:docVar w:name="lbProductList_50_SELECTED" w:val="0"/>
    <w:docVar w:name="lbProductList_51_0" w:val="Windows Mobile"/>
    <w:docVar w:name="lbProductList_51_SELECTED" w:val="0"/>
    <w:docVar w:name="lbProductList_52_0" w:val="Windows Server 2003 R2"/>
    <w:docVar w:name="lbProductList_52_SELECTED" w:val="0"/>
    <w:docVar w:name="lbProductList_53_0" w:val="Windows Server 2003"/>
    <w:docVar w:name="lbProductList_53_SELECTED" w:val="0"/>
    <w:docVar w:name="lbProductList_54_0" w:val="Windows Vista"/>
    <w:docVar w:name="lbProductList_54_SELECTED" w:val="0"/>
    <w:docVar w:name="lbProductList_55_0" w:val="Windows XP"/>
    <w:docVar w:name="lbProductList_55_SELECTED" w:val="0"/>
    <w:docVar w:name="lbProductList_6_0" w:val="BDM Healthcare Services"/>
    <w:docVar w:name="lbProductList_6_SELECTED" w:val="0"/>
    <w:docVar w:name="lbProductList_7_0" w:val="BDM Manufacturing"/>
    <w:docVar w:name="lbProductList_7_SELECTED" w:val="0"/>
    <w:docVar w:name="lbProductList_8_0" w:val="BDM Retail"/>
    <w:docVar w:name="lbProductList_8_SELECTED" w:val="0"/>
    <w:docVar w:name="lbProductList_9_0" w:val="Biztalk"/>
    <w:docVar w:name="lbProductList_9_SELECTED" w:val="0"/>
    <w:docVar w:name="lbProductList_ListCount" w:val="56"/>
    <w:docVar w:name="lbProductList_ListIndex" w:val="0"/>
    <w:docVar w:name="PartnerLogo" w:val="d:\JESUSP\Mis imágenes\Logos\Logo Unisys jpg.jpg"/>
    <w:docVar w:name="RERUN" w:val="1"/>
    <w:docVar w:name="tbCustomerName" w:val="Nombre Cliente"/>
    <w:docVar w:name="tbCustomerPhone" w:val="Teléfono Cliente"/>
    <w:docVar w:name="tbCustomerURL" w:val="URL Cliente"/>
    <w:docVar w:name="tbDatePublished" w:val="noviembre 2006"/>
    <w:docVar w:name="tbDisclaimer1" w:val="© 2006 Microsoft Corporation. Todos los derechos reservados. Este Caso de Éxito se publica únicamente a efectos informativos. MICROSOFT MAKES NO WARRANTIES, EXPRESS OR IMPLIED, IN THIS SUMMARY. Microsoft,"/>
    <w:docVar w:name="tbDisclaimer2" w:val="Example: Active Directory, Windows, the Windows logo, Windows Server, and Windows Server System"/>
    <w:docVar w:name="tbDisclaimer3" w:val="are either registered trademarks or trademarks of Microsoft Corporation in the United States and/or other countries. All other trademarks are property of their respective owners."/>
    <w:docVar w:name="tbDocumentBenefits" w:val="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Rollo de los BENEFICIOS "/>
    <w:docVar w:name="tbDocumentFirstPageBody" w:val="Este ese el rollo inicial del Case Study, BlaBlaBlaBlaBlaBlaBlaBlaBlaBlaBlaBlaBlaBlaBlaBlaBlaBlaBlaBlaBlaBlaBlaBlaBlaBlaBlaBlaBlaBlaBlaBlaBlaBlaBlaBlaBlaBlaBlaBlaBlaBlaBlaBlaBlaBlaBlaBlaBlaBlaBlaBlaBlaBlaBlaBlaBlaBlaBlaBlaBlaBla&#10;BlaBlaBlaBlaBlaBlaBlaBlaBlaBlaBlaBlaBlaBlaBlaBlaBlaBlaBlaBlaBlaBlaBlaBlaBlaBlaBlaBlaBlaBla&#10;Bla&#10;Bla&#10;Bla&#10;Bla&#10;&#10;"/>
    <w:docVar w:name="tbDocumentIntroduction" w:val="AQUI LA CITA GLORIOSA DEL CLIENTE"/>
    <w:docVar w:name="tbDocumentIntroductionCredit" w:val="NOMBRE CLIENTE"/>
    <w:docVar w:name="tbDocumentSituation" w:val="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Rollo de la SITUACION "/>
    <w:docVar w:name="tbDocumentSolution" w:val="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Rollo de la SOLUCION "/>
    <w:docVar w:name="tbDocumentTitle" w:val="PONER AQUI EL TITULO DEL CASE STUDY"/>
    <w:docVar w:name="tbOverviewBenefits1" w:val="Beneficio 1"/>
    <w:docVar w:name="tbOverviewBenefits2" w:val="Beneficio 2"/>
    <w:docVar w:name="tbOverviewBenefits3" w:val="Beneficio 3"/>
    <w:docVar w:name="tbOverviewBenefits4" w:val="Beneficio 4"/>
    <w:docVar w:name="tbOverviewBenefits5" w:val="Beneficio 5"/>
    <w:docVar w:name="tbOverviewBusinessSituation" w:val="Situación de Negocio"/>
    <w:docVar w:name="tbOverviewCountry" w:val="España"/>
    <w:docVar w:name="tbOverviewCustomerProfile" w:val="Perfil del Cliente"/>
    <w:docVar w:name="tbOverviewIndustry" w:val="Sector"/>
    <w:docVar w:name="tbOverviewSolution" w:val="Solución"/>
    <w:docVar w:name="tbPartnerName" w:val="Nombre Partner"/>
    <w:docVar w:name="tbPartnerPhone" w:val="Teléfono partner"/>
    <w:docVar w:name="tbPartnerURL" w:val="URL Partner"/>
    <w:docVar w:name="tbProductBoilerplateText" w:val="Boilerplate Text"/>
    <w:docVar w:name="tbProductBoilerplateTitle" w:val="Boilerplate Title"/>
    <w:docVar w:name="tbProductHardware1" w:val="Hardware"/>
    <w:docVar w:name="tbProductPartners1" w:val="Partners"/>
    <w:docVar w:name="tbProductTitle" w:val="Microsoft Customer Solution&#10;Customer Solution Case Study"/>
  </w:docVars>
  <w:rsids>
    <w:rsidRoot w:val="004A1920"/>
    <w:rsid w:val="00204EE8"/>
    <w:rsid w:val="007E24FC"/>
    <w:rsid w:val="00833045"/>
    <w:rsid w:val="00BE71C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Franklin Gothic Book" w:hAnsi="Franklin Gothic Book"/>
      <w:sz w:val="17"/>
      <w:szCs w:val="24"/>
      <w:lang w:val="en-GB" w:eastAsia="en-US"/>
    </w:rPr>
  </w:style>
  <w:style w:type="paragraph" w:styleId="Ttulo1">
    <w:name w:val="heading 1"/>
    <w:basedOn w:val="Normal"/>
    <w:next w:val="Normal"/>
    <w:qFormat/>
    <w:pPr>
      <w:keepNext/>
      <w:spacing w:before="240" w:after="60"/>
      <w:jc w:val="both"/>
      <w:outlineLvl w:val="0"/>
    </w:pPr>
    <w:rPr>
      <w:rFonts w:ascii="Arial" w:hAnsi="Arial"/>
      <w:b/>
      <w:kern w:val="28"/>
      <w:sz w:val="28"/>
      <w:szCs w:val="20"/>
      <w:lang w:bidi="he-IL"/>
    </w:rPr>
  </w:style>
  <w:style w:type="paragraph" w:styleId="Ttulo2">
    <w:name w:val="heading 2"/>
    <w:basedOn w:val="Ttulo1"/>
    <w:next w:val="Normal"/>
    <w:qFormat/>
    <w:pPr>
      <w:numPr>
        <w:ilvl w:val="1"/>
        <w:numId w:val="6"/>
      </w:numPr>
      <w:spacing w:after="240"/>
      <w:jc w:val="left"/>
      <w:outlineLvl w:val="1"/>
    </w:pPr>
    <w:rPr>
      <w:kern w:val="0"/>
      <w:sz w:val="26"/>
    </w:rPr>
  </w:style>
  <w:style w:type="paragraph" w:styleId="Ttulo3">
    <w:name w:val="heading 3"/>
    <w:basedOn w:val="Normal"/>
    <w:next w:val="Normal"/>
    <w:qFormat/>
    <w:pPr>
      <w:keepNext/>
      <w:numPr>
        <w:ilvl w:val="2"/>
        <w:numId w:val="7"/>
      </w:numPr>
      <w:tabs>
        <w:tab w:val="clear" w:pos="720"/>
        <w:tab w:val="num" w:pos="360"/>
      </w:tabs>
      <w:spacing w:before="240" w:after="60"/>
      <w:ind w:left="360" w:hanging="360"/>
      <w:outlineLvl w:val="2"/>
    </w:pPr>
    <w:rPr>
      <w:rFonts w:ascii="Arial" w:hAnsi="Arial"/>
      <w:sz w:val="24"/>
      <w:szCs w:val="20"/>
      <w:lang w:bidi="he-IL"/>
    </w:rPr>
  </w:style>
  <w:style w:type="paragraph" w:styleId="Ttulo4">
    <w:name w:val="heading 4"/>
    <w:basedOn w:val="Normal"/>
    <w:next w:val="Normal"/>
    <w:qFormat/>
    <w:pPr>
      <w:keepNext/>
      <w:spacing w:before="240" w:after="60"/>
      <w:outlineLvl w:val="3"/>
    </w:pPr>
    <w:rPr>
      <w:rFonts w:ascii="Arial" w:hAnsi="Arial"/>
      <w:b/>
      <w:sz w:val="24"/>
      <w:szCs w:val="20"/>
      <w:lang w:bidi="he-I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Code">
    <w:name w:val="Code"/>
    <w:basedOn w:val="Normal"/>
    <w:pPr>
      <w:ind w:left="1134"/>
    </w:pPr>
    <w:rPr>
      <w:rFonts w:ascii="Lucida Sans Typewriter" w:hAnsi="Lucida Sans Typewriter"/>
      <w:sz w:val="20"/>
    </w:rPr>
  </w:style>
  <w:style w:type="paragraph" w:styleId="Piedepgina">
    <w:name w:val="footer"/>
    <w:basedOn w:val="Normal"/>
    <w:pPr>
      <w:tabs>
        <w:tab w:val="center" w:pos="4153"/>
        <w:tab w:val="right" w:pos="8306"/>
      </w:tabs>
    </w:pPr>
  </w:style>
  <w:style w:type="paragraph" w:styleId="Encabezado">
    <w:name w:val="header"/>
    <w:basedOn w:val="Normal"/>
    <w:pPr>
      <w:tabs>
        <w:tab w:val="center" w:pos="4153"/>
        <w:tab w:val="right" w:pos="8306"/>
      </w:tabs>
      <w:jc w:val="both"/>
    </w:pPr>
    <w:rPr>
      <w:sz w:val="16"/>
      <w:szCs w:val="20"/>
      <w:lang w:bidi="he-IL"/>
    </w:rPr>
  </w:style>
  <w:style w:type="paragraph" w:styleId="Remitedesobre">
    <w:name w:val="envelope return"/>
    <w:basedOn w:val="Normal"/>
    <w:rPr>
      <w:rFonts w:ascii="FundRunk-Normal" w:hAnsi="FundRunk-Normal"/>
      <w:i/>
      <w:sz w:val="48"/>
      <w:szCs w:val="48"/>
    </w:rPr>
  </w:style>
  <w:style w:type="paragraph" w:styleId="Textocomentario">
    <w:name w:val="annotation text"/>
    <w:basedOn w:val="Normal"/>
    <w:semiHidden/>
    <w:rPr>
      <w:sz w:val="24"/>
    </w:rPr>
  </w:style>
  <w:style w:type="paragraph" w:customStyle="1" w:styleId="Answer">
    <w:name w:val="Answer"/>
    <w:basedOn w:val="Normal"/>
    <w:next w:val="Question"/>
    <w:pPr>
      <w:numPr>
        <w:numId w:val="3"/>
      </w:numPr>
    </w:pPr>
    <w:rPr>
      <w:i/>
    </w:rPr>
  </w:style>
  <w:style w:type="paragraph" w:customStyle="1" w:styleId="Question">
    <w:name w:val="Question"/>
    <w:basedOn w:val="Normal"/>
    <w:next w:val="Answer"/>
    <w:pPr>
      <w:numPr>
        <w:numId w:val="2"/>
      </w:numPr>
    </w:pPr>
  </w:style>
  <w:style w:type="paragraph" w:customStyle="1" w:styleId="Bodycopy">
    <w:name w:val="Body copy"/>
    <w:basedOn w:val="Normal"/>
    <w:pPr>
      <w:spacing w:line="240" w:lineRule="exact"/>
    </w:pPr>
    <w:rPr>
      <w:lang w:val="en-US"/>
    </w:rPr>
  </w:style>
  <w:style w:type="paragraph" w:customStyle="1" w:styleId="SectionHeading">
    <w:name w:val="Section Heading"/>
    <w:basedOn w:val="ColoredText"/>
    <w:next w:val="Bodycopy"/>
    <w:rPr>
      <w:rFonts w:ascii="Franklin Gothic Medium" w:hAnsi="Franklin Gothic Medium"/>
      <w:sz w:val="24"/>
    </w:rPr>
  </w:style>
  <w:style w:type="paragraph" w:customStyle="1" w:styleId="Subject">
    <w:name w:val="Subject"/>
    <w:basedOn w:val="Normal"/>
    <w:pPr>
      <w:jc w:val="center"/>
    </w:pPr>
    <w:rPr>
      <w:rFonts w:ascii="Century Schoolbook" w:hAnsi="Century Schoolbook"/>
      <w:b/>
      <w:sz w:val="32"/>
      <w:u w:val="single"/>
    </w:rPr>
  </w:style>
  <w:style w:type="paragraph" w:styleId="Textosinformato">
    <w:name w:val="Plain Text"/>
    <w:basedOn w:val="Normal"/>
    <w:rPr>
      <w:sz w:val="22"/>
    </w:rPr>
  </w:style>
  <w:style w:type="paragraph" w:customStyle="1" w:styleId="MergedAnswer">
    <w:name w:val="MergedAnswer"/>
    <w:basedOn w:val="Normal"/>
  </w:style>
  <w:style w:type="paragraph" w:styleId="TDC2">
    <w:name w:val="toc 2"/>
    <w:basedOn w:val="Normal"/>
    <w:next w:val="Normal"/>
    <w:autoRedefine/>
    <w:semiHidden/>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pPr>
      <w:spacing w:line="360" w:lineRule="exact"/>
    </w:pPr>
    <w:rPr>
      <w:sz w:val="24"/>
    </w:rPr>
  </w:style>
  <w:style w:type="paragraph" w:customStyle="1" w:styleId="PartnerName">
    <w:name w:val="Partner Name"/>
    <w:basedOn w:val="ColoredText"/>
    <w:pPr>
      <w:spacing w:after="10" w:line="240" w:lineRule="auto"/>
    </w:pPr>
    <w:rPr>
      <w:rFonts w:ascii="Franklin Gothic Medium" w:hAnsi="Franklin Gothic Medium"/>
      <w:bCs/>
      <w:sz w:val="32"/>
    </w:rPr>
  </w:style>
  <w:style w:type="paragraph" w:customStyle="1" w:styleId="WHITEPAPER">
    <w:name w:val="WHITE PAPER"/>
    <w:basedOn w:val="ColoredText"/>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pPr>
      <w:spacing w:before="40" w:after="20"/>
    </w:pPr>
    <w:rPr>
      <w:rFonts w:ascii="Franklin Gothic Medium" w:hAnsi="Franklin Gothic Medium"/>
      <w:b/>
      <w:bCs/>
    </w:rPr>
  </w:style>
  <w:style w:type="paragraph" w:customStyle="1" w:styleId="Bullet">
    <w:name w:val="Bullet"/>
    <w:basedOn w:val="Bulletcolored"/>
    <w:rsid w:val="00085A49"/>
    <w:pPr>
      <w:numPr>
        <w:numId w:val="11"/>
      </w:numPr>
    </w:pPr>
    <w:rPr>
      <w:color w:val="auto"/>
    </w:rPr>
  </w:style>
  <w:style w:type="paragraph" w:customStyle="1" w:styleId="Bodycopyheading">
    <w:name w:val="Body copy heading"/>
    <w:basedOn w:val="Bodycopy"/>
    <w:next w:val="Bodycopy"/>
    <w:rPr>
      <w:rFonts w:ascii="Franklin Gothic Heavy" w:hAnsi="Franklin Gothic Heavy"/>
      <w:szCs w:val="17"/>
    </w:rPr>
  </w:style>
  <w:style w:type="paragraph" w:customStyle="1" w:styleId="Disclaimer">
    <w:name w:val="Disclaimer"/>
    <w:basedOn w:val="Bodycopy"/>
    <w:pPr>
      <w:spacing w:line="120" w:lineRule="exact"/>
    </w:pPr>
    <w:rPr>
      <w:sz w:val="11"/>
    </w:rPr>
  </w:style>
  <w:style w:type="paragraph" w:customStyle="1" w:styleId="Pullquote">
    <w:name w:val="Pull quote"/>
    <w:basedOn w:val="ColoredText"/>
    <w:pPr>
      <w:spacing w:line="360" w:lineRule="exact"/>
    </w:pPr>
    <w:rPr>
      <w:sz w:val="30"/>
    </w:rPr>
  </w:style>
  <w:style w:type="paragraph" w:customStyle="1" w:styleId="Diagramcaption">
    <w:name w:val="Diagram caption"/>
    <w:basedOn w:val="ColoredText"/>
    <w:rPr>
      <w:rFonts w:ascii="Franklin Gothic Medium" w:hAnsi="Franklin Gothic Medium"/>
      <w:sz w:val="19"/>
    </w:rPr>
  </w:style>
  <w:style w:type="paragraph" w:styleId="TDC1">
    <w:name w:val="toc 1"/>
    <w:basedOn w:val="Normal"/>
    <w:next w:val="Normal"/>
    <w:semiHidden/>
    <w:pPr>
      <w:tabs>
        <w:tab w:val="right" w:pos="3289"/>
      </w:tabs>
      <w:spacing w:line="360" w:lineRule="exact"/>
    </w:pPr>
    <w:rPr>
      <w:noProof/>
      <w:color w:val="FFFFFF"/>
      <w:sz w:val="24"/>
    </w:rPr>
  </w:style>
  <w:style w:type="paragraph" w:styleId="TDC3">
    <w:name w:val="toc 3"/>
    <w:basedOn w:val="Normal"/>
    <w:next w:val="Normal"/>
    <w:autoRedefine/>
    <w:semiHidden/>
    <w:pPr>
      <w:ind w:left="440"/>
    </w:pPr>
  </w:style>
  <w:style w:type="paragraph" w:styleId="TDC4">
    <w:name w:val="toc 4"/>
    <w:basedOn w:val="Normal"/>
    <w:next w:val="Normal"/>
    <w:autoRedefine/>
    <w:semiHidden/>
    <w:pPr>
      <w:ind w:left="660"/>
    </w:pPr>
  </w:style>
  <w:style w:type="paragraph" w:styleId="TDC5">
    <w:name w:val="toc 5"/>
    <w:basedOn w:val="Normal"/>
    <w:next w:val="Normal"/>
    <w:autoRedefine/>
    <w:semiHidden/>
    <w:pPr>
      <w:ind w:left="880"/>
    </w:pPr>
  </w:style>
  <w:style w:type="paragraph" w:styleId="TDC6">
    <w:name w:val="toc 6"/>
    <w:basedOn w:val="Normal"/>
    <w:next w:val="Normal"/>
    <w:autoRedefine/>
    <w:semiHidden/>
    <w:pPr>
      <w:ind w:left="1100"/>
    </w:pPr>
  </w:style>
  <w:style w:type="paragraph" w:styleId="TDC7">
    <w:name w:val="toc 7"/>
    <w:basedOn w:val="Normal"/>
    <w:next w:val="Normal"/>
    <w:autoRedefine/>
    <w:semiHidden/>
    <w:pPr>
      <w:ind w:left="1320"/>
    </w:pPr>
  </w:style>
  <w:style w:type="paragraph" w:styleId="TDC8">
    <w:name w:val="toc 8"/>
    <w:basedOn w:val="Normal"/>
    <w:next w:val="Normal"/>
    <w:autoRedefine/>
    <w:semiHidden/>
    <w:pPr>
      <w:ind w:left="1540"/>
    </w:pPr>
  </w:style>
  <w:style w:type="paragraph" w:styleId="TDC9">
    <w:name w:val="toc 9"/>
    <w:basedOn w:val="Normal"/>
    <w:next w:val="Normal"/>
    <w:autoRedefine/>
    <w:semiHidden/>
    <w:pPr>
      <w:ind w:left="1760"/>
    </w:pPr>
  </w:style>
  <w:style w:type="character" w:styleId="Hipervnculo">
    <w:name w:val="Hyperlink"/>
    <w:basedOn w:val="Fuentedeprrafopredeter"/>
    <w:rPr>
      <w:color w:val="0000FF"/>
      <w:u w:val="single"/>
    </w:rPr>
  </w:style>
  <w:style w:type="paragraph" w:customStyle="1" w:styleId="AutoCorrect">
    <w:name w:val="AutoCorrect"/>
    <w:rPr>
      <w:lang w:val="en-GB" w:eastAsia="en-US" w:bidi="he-IL"/>
    </w:rPr>
  </w:style>
  <w:style w:type="paragraph" w:styleId="Textoindependiente">
    <w:name w:val="Body Text"/>
    <w:basedOn w:val="Normal"/>
    <w:pPr>
      <w:spacing w:after="120"/>
    </w:pPr>
    <w:rPr>
      <w:rFonts w:ascii="Arial" w:hAnsi="Arial"/>
      <w:snapToGrid w:val="0"/>
      <w:sz w:val="20"/>
      <w:szCs w:val="20"/>
      <w:lang w:val="en-US" w:bidi="he-IL"/>
    </w:rPr>
  </w:style>
  <w:style w:type="paragraph" w:customStyle="1" w:styleId="Bulletcolored">
    <w:name w:val="Bullet colored"/>
    <w:basedOn w:val="ColoredText"/>
    <w:rsid w:val="00085A49"/>
    <w:pPr>
      <w:numPr>
        <w:numId w:val="12"/>
      </w:numPr>
    </w:pPr>
    <w:rPr>
      <w:szCs w:val="17"/>
    </w:rPr>
  </w:style>
  <w:style w:type="paragraph" w:customStyle="1" w:styleId="ColoredText">
    <w:name w:val="Colored Text"/>
    <w:basedOn w:val="Bodycopy"/>
    <w:rPr>
      <w:color w:val="FF3300"/>
    </w:rPr>
  </w:style>
  <w:style w:type="paragraph" w:customStyle="1" w:styleId="DocumentTitle">
    <w:name w:val="Document Title"/>
    <w:basedOn w:val="ColoredText"/>
    <w:pPr>
      <w:spacing w:line="360" w:lineRule="exact"/>
    </w:pPr>
    <w:rPr>
      <w:rFonts w:ascii="Franklin Gothic Medium" w:hAnsi="Franklin Gothic Medium"/>
      <w:color w:val="auto"/>
      <w:sz w:val="32"/>
    </w:rPr>
  </w:style>
  <w:style w:type="paragraph" w:customStyle="1" w:styleId="Tableheading">
    <w:name w:val="Table heading"/>
    <w:basedOn w:val="ColoredText"/>
    <w:rPr>
      <w:rFonts w:ascii="Franklin Gothic Medium" w:hAnsi="Franklin Gothic Medium"/>
      <w:bCs/>
    </w:rPr>
  </w:style>
  <w:style w:type="paragraph" w:customStyle="1" w:styleId="Bulletbold">
    <w:name w:val="Bullet bold"/>
    <w:basedOn w:val="Bullet"/>
    <w:rsid w:val="00085A49"/>
    <w:pPr>
      <w:numPr>
        <w:numId w:val="10"/>
      </w:numPr>
    </w:pPr>
    <w:rPr>
      <w:rFonts w:ascii="Franklin Gothic Heavy" w:hAnsi="Franklin Gothic Heavy"/>
    </w:rPr>
  </w:style>
  <w:style w:type="paragraph" w:customStyle="1" w:styleId="Contents">
    <w:name w:val="Contents"/>
    <w:basedOn w:val="Bodycopy"/>
    <w:pPr>
      <w:spacing w:line="480" w:lineRule="exact"/>
    </w:pPr>
    <w:rPr>
      <w:rFonts w:ascii="Franklin Gothic Medium" w:hAnsi="Franklin Gothic Medium"/>
      <w:color w:val="FFFFFF"/>
      <w:sz w:val="30"/>
    </w:rPr>
  </w:style>
  <w:style w:type="character" w:styleId="Nmerodepgina">
    <w:name w:val="page number"/>
    <w:basedOn w:val="Fuentedeprrafopredeter"/>
    <w:rPr>
      <w:rFonts w:ascii="Franklin Gothic Book" w:hAnsi="Franklin Gothic Book"/>
      <w:spacing w:val="20"/>
      <w:sz w:val="16"/>
    </w:rPr>
  </w:style>
  <w:style w:type="paragraph" w:customStyle="1" w:styleId="Tabletext">
    <w:name w:val="Table text"/>
    <w:basedOn w:val="Bodycopy"/>
    <w:pPr>
      <w:spacing w:after="40"/>
    </w:pPr>
  </w:style>
  <w:style w:type="paragraph" w:customStyle="1" w:styleId="OrangeText">
    <w:name w:val="Orange Text"/>
    <w:basedOn w:val="Normal"/>
    <w:pPr>
      <w:spacing w:line="240" w:lineRule="exact"/>
    </w:pPr>
    <w:rPr>
      <w:color w:val="FF3300"/>
    </w:rPr>
  </w:style>
  <w:style w:type="paragraph" w:customStyle="1" w:styleId="Casestudydescription">
    <w:name w:val="Case study description"/>
    <w:basedOn w:val="Normal"/>
    <w:rPr>
      <w:rFonts w:ascii="Franklin Gothic Medium" w:hAnsi="Franklin Gothic Medium"/>
      <w:color w:val="FFFFFF"/>
      <w:sz w:val="24"/>
    </w:rPr>
  </w:style>
  <w:style w:type="paragraph" w:customStyle="1" w:styleId="PullQuotecredit">
    <w:name w:val="Pull Quote credit"/>
    <w:basedOn w:val="Pullquote"/>
    <w:pPr>
      <w:spacing w:before="120" w:line="240" w:lineRule="exact"/>
    </w:pPr>
    <w:rPr>
      <w:sz w:val="16"/>
    </w:rPr>
  </w:style>
  <w:style w:type="paragraph" w:customStyle="1" w:styleId="Diagramtitle">
    <w:name w:val="Diagram title"/>
    <w:basedOn w:val="Bodycopy"/>
    <w:rPr>
      <w:rFonts w:ascii="Franklin Gothic Medium" w:hAnsi="Franklin Gothic Medium"/>
      <w:color w:val="FFFFFF"/>
      <w:sz w:val="19"/>
    </w:rPr>
  </w:style>
  <w:style w:type="paragraph" w:customStyle="1" w:styleId="Bullet2">
    <w:name w:val="Bullet2"/>
    <w:basedOn w:val="Bullet"/>
    <w:pPr>
      <w:numPr>
        <w:numId w:val="0"/>
      </w:numPr>
      <w:ind w:left="170"/>
    </w:pPr>
  </w:style>
  <w:style w:type="paragraph" w:customStyle="1" w:styleId="SectionHeadingGrey">
    <w:name w:val="Section Heading Grey"/>
    <w:basedOn w:val="SectionHeading"/>
    <w:rPr>
      <w:color w:val="666666"/>
    </w:rPr>
  </w:style>
  <w:style w:type="paragraph" w:customStyle="1" w:styleId="BulletGrey">
    <w:name w:val="Bullet Grey"/>
    <w:basedOn w:val="Bullet"/>
    <w:rsid w:val="00085A49"/>
    <w:pPr>
      <w:numPr>
        <w:numId w:val="8"/>
      </w:numPr>
    </w:pPr>
  </w:style>
  <w:style w:type="paragraph" w:customStyle="1" w:styleId="TableTitle">
    <w:name w:val="Table Title"/>
    <w:basedOn w:val="Tabletextheading"/>
    <w:pPr>
      <w:ind w:left="60"/>
    </w:pPr>
    <w:rPr>
      <w:color w:val="FFFFFF"/>
      <w:szCs w:val="17"/>
    </w:rPr>
  </w:style>
  <w:style w:type="paragraph" w:styleId="Direccinsobre">
    <w:name w:val="envelope address"/>
    <w:basedOn w:val="Normal"/>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pPr>
      <w:numPr>
        <w:numId w:val="9"/>
      </w:numPr>
    </w:pPr>
  </w:style>
  <w:style w:type="paragraph" w:styleId="Textodeglobo">
    <w:name w:val="Balloon Text"/>
    <w:basedOn w:val="Normal"/>
    <w:semiHidden/>
    <w:rPr>
      <w:rFonts w:ascii="Tahoma" w:hAnsi="Tahoma" w:cs="Tahoma"/>
      <w:sz w:val="16"/>
      <w:szCs w:val="16"/>
    </w:rPr>
  </w:style>
  <w:style w:type="paragraph" w:customStyle="1" w:styleId="Niveldenota2">
    <w:name w:val="Nivel de nota 2"/>
    <w:uiPriority w:val="1"/>
    <w:qFormat/>
    <w:rsid w:val="00E13422"/>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susp\Datos%20de%20programa\Microsoft\Templates\CEP_Templat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CEP_Template.dot</Template>
  <TotalTime>0</TotalTime>
  <Pages>4</Pages>
  <Words>1124</Words>
  <Characters>6185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WriteImage CEP PONER AQUI EL TITULO DEL CASE STUDY</vt:lpstr>
    </vt:vector>
  </TitlesOfParts>
  <Company>WriteImage</Company>
  <LinksUpToDate>false</LinksUpToDate>
  <CharactersWithSpaces>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WriteImage CEP PONER AQUI EL TITULO DEL CASE STUDY</dc:title>
  <dc:subject>Customer: Nombre Cliente  Partner: Nombre Partner</dc:subject>
  <dc:creator>Jesús Pintado Vazquez</dc:creator>
  <cp:keywords>Country: España  Industry: Sector</cp:keywords>
  <cp:lastModifiedBy>rlopez</cp:lastModifiedBy>
  <cp:revision>2</cp:revision>
  <cp:lastPrinted>2003-07-10T23:36:00Z</cp:lastPrinted>
  <dcterms:created xsi:type="dcterms:W3CDTF">2007-11-26T11:37:00Z</dcterms:created>
  <dcterms:modified xsi:type="dcterms:W3CDTF">2007-11-26T11:37:00Z</dcterms:modified>
  <cp:category>Product: Microsoft Customer Solution_x000d_
Customer Solution Case Study</cp:category>
</cp:coreProperties>
</file>