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7C4" w:rsidRDefault="00363E05" w:rsidP="00761978">
      <w:pPr>
        <w:pStyle w:val="Title"/>
      </w:pPr>
      <w:r>
        <w:rPr>
          <w:noProof/>
          <w:lang w:bidi="ar-SA"/>
        </w:rPr>
        <w:drawing>
          <wp:inline distT="0" distB="0" distL="0" distR="0">
            <wp:extent cx="2286000" cy="615950"/>
            <wp:effectExtent l="19050" t="0" r="0" b="0"/>
            <wp:docPr id="1" name="Picture 1" descr="Chappel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ppell_logo"/>
                    <pic:cNvPicPr>
                      <a:picLocks noChangeAspect="1" noChangeArrowheads="1"/>
                    </pic:cNvPicPr>
                  </pic:nvPicPr>
                  <pic:blipFill>
                    <a:blip r:embed="rId8" cstate="print"/>
                    <a:srcRect/>
                    <a:stretch>
                      <a:fillRect/>
                    </a:stretch>
                  </pic:blipFill>
                  <pic:spPr bwMode="auto">
                    <a:xfrm>
                      <a:off x="0" y="0"/>
                      <a:ext cx="2286000" cy="615950"/>
                    </a:xfrm>
                    <a:prstGeom prst="rect">
                      <a:avLst/>
                    </a:prstGeom>
                    <a:noFill/>
                    <a:ln w="9525">
                      <a:noFill/>
                      <a:miter lim="800000"/>
                      <a:headEnd/>
                      <a:tailEnd/>
                    </a:ln>
                  </pic:spPr>
                </pic:pic>
              </a:graphicData>
            </a:graphic>
          </wp:inline>
        </w:drawing>
      </w:r>
    </w:p>
    <w:p w:rsidR="007B27E7" w:rsidRDefault="007B27E7" w:rsidP="00712C47">
      <w:r>
        <w:tab/>
      </w:r>
    </w:p>
    <w:p w:rsidR="00034B3B" w:rsidRPr="00C679C3" w:rsidRDefault="00464C30" w:rsidP="004D083E">
      <w:pPr>
        <w:pStyle w:val="Title"/>
        <w:rPr>
          <w:sz w:val="48"/>
        </w:rPr>
      </w:pPr>
      <w:bookmarkStart w:id="0" w:name="OLE_LINK1"/>
      <w:bookmarkStart w:id="1" w:name="OLE_LINK2"/>
      <w:r>
        <w:rPr>
          <w:sz w:val="48"/>
        </w:rPr>
        <w:t>Tools for</w:t>
      </w:r>
      <w:r w:rsidR="00FD2C0E">
        <w:rPr>
          <w:sz w:val="48"/>
        </w:rPr>
        <w:t xml:space="preserve"> </w:t>
      </w:r>
      <w:r w:rsidR="00C442AA">
        <w:rPr>
          <w:sz w:val="48"/>
        </w:rPr>
        <w:t>Team Development</w:t>
      </w:r>
      <w:r>
        <w:rPr>
          <w:sz w:val="48"/>
        </w:rPr>
        <w:t xml:space="preserve">: </w:t>
      </w:r>
      <w:r w:rsidR="00C442AA">
        <w:rPr>
          <w:sz w:val="48"/>
        </w:rPr>
        <w:t xml:space="preserve">       Why Vendors are Finally Getting It</w:t>
      </w:r>
      <w:r w:rsidR="00344C60">
        <w:rPr>
          <w:sz w:val="48"/>
        </w:rPr>
        <w:t xml:space="preserve"> Right</w:t>
      </w:r>
    </w:p>
    <w:bookmarkEnd w:id="0"/>
    <w:bookmarkEnd w:id="1"/>
    <w:p w:rsidR="00220E83" w:rsidRDefault="00220E83" w:rsidP="004A0A3C">
      <w:pPr>
        <w:pStyle w:val="Subtitle"/>
        <w:rPr>
          <w:snapToGrid w:val="0"/>
        </w:rPr>
      </w:pPr>
    </w:p>
    <w:p w:rsidR="00980123" w:rsidRDefault="001A57C4" w:rsidP="004A0A3C">
      <w:pPr>
        <w:pStyle w:val="Subtitle"/>
        <w:rPr>
          <w:snapToGrid w:val="0"/>
        </w:rPr>
      </w:pPr>
      <w:r>
        <w:rPr>
          <w:snapToGrid w:val="0"/>
        </w:rPr>
        <w:t xml:space="preserve">David </w:t>
      </w:r>
      <w:r w:rsidRPr="004A0A3C">
        <w:t>Chappell</w:t>
      </w:r>
    </w:p>
    <w:p w:rsidR="004A0A3C" w:rsidRDefault="004B28D0" w:rsidP="00EB3C30">
      <w:pPr>
        <w:pStyle w:val="Subtitle"/>
        <w:rPr>
          <w:snapToGrid w:val="0"/>
        </w:rPr>
      </w:pPr>
      <w:r>
        <w:rPr>
          <w:snapToGrid w:val="0"/>
        </w:rPr>
        <w:t>August</w:t>
      </w:r>
      <w:r w:rsidR="004938A6">
        <w:rPr>
          <w:snapToGrid w:val="0"/>
        </w:rPr>
        <w:t xml:space="preserve"> 2008</w:t>
      </w:r>
    </w:p>
    <w:p w:rsidR="00235071" w:rsidRPr="006A3721" w:rsidRDefault="00235071" w:rsidP="006A3721"/>
    <w:p w:rsidR="00EB3C30" w:rsidRPr="00EB3C30" w:rsidRDefault="00EB3C30" w:rsidP="00EB3C30"/>
    <w:p w:rsidR="003A0AAF" w:rsidRDefault="003A0AAF" w:rsidP="004A0A3C">
      <w:pPr>
        <w:pStyle w:val="Subtitle"/>
        <w:rPr>
          <w:snapToGrid w:val="0"/>
        </w:rPr>
      </w:pPr>
      <w:r w:rsidRPr="004A0A3C">
        <w:rPr>
          <w:snapToGrid w:val="0"/>
        </w:rPr>
        <w:t xml:space="preserve">Sponsored by </w:t>
      </w:r>
      <w:r w:rsidRPr="004A0A3C">
        <w:rPr>
          <w:bCs/>
          <w:iCs/>
          <w:snapToGrid w:val="0"/>
        </w:rPr>
        <w:t>Microsoft</w:t>
      </w:r>
      <w:r w:rsidRPr="004A0A3C">
        <w:rPr>
          <w:snapToGrid w:val="0"/>
        </w:rPr>
        <w:t xml:space="preserve"> Corporation</w:t>
      </w:r>
    </w:p>
    <w:p w:rsidR="004B28D0" w:rsidRDefault="004B28D0" w:rsidP="004B28D0"/>
    <w:p w:rsidR="004B28D0" w:rsidRDefault="004B28D0" w:rsidP="004B28D0"/>
    <w:p w:rsidR="00090D1A" w:rsidRDefault="00090D1A" w:rsidP="004B28D0"/>
    <w:p w:rsidR="004B28D0" w:rsidRDefault="004B28D0" w:rsidP="004B28D0">
      <w:pPr>
        <w:rPr>
          <w:caps/>
          <w:snapToGrid w:val="0"/>
          <w:color w:val="595959"/>
          <w:spacing w:val="10"/>
          <w:sz w:val="24"/>
          <w:szCs w:val="24"/>
        </w:rPr>
      </w:pPr>
    </w:p>
    <w:p w:rsidR="00AE4270" w:rsidRPr="00235071" w:rsidRDefault="00AE4270" w:rsidP="004B28D0">
      <w:pPr>
        <w:rPr>
          <w:caps/>
          <w:snapToGrid w:val="0"/>
          <w:color w:val="595959"/>
          <w:spacing w:val="10"/>
          <w:sz w:val="24"/>
          <w:szCs w:val="24"/>
        </w:rPr>
      </w:pPr>
    </w:p>
    <w:p w:rsidR="00090D1A" w:rsidRDefault="00090D1A" w:rsidP="004B28D0"/>
    <w:p w:rsidR="004B28D0" w:rsidRDefault="004B28D0" w:rsidP="004B28D0"/>
    <w:p w:rsidR="004B28D0" w:rsidRDefault="004B28D0" w:rsidP="004B28D0"/>
    <w:p w:rsidR="00693447" w:rsidRPr="00230DFA" w:rsidRDefault="004B28D0" w:rsidP="00113C78">
      <w:pPr>
        <w:rPr>
          <w:caps/>
          <w:snapToGrid w:val="0"/>
          <w:color w:val="595959"/>
          <w:spacing w:val="10"/>
          <w:sz w:val="24"/>
          <w:szCs w:val="24"/>
        </w:rPr>
      </w:pPr>
      <w:r w:rsidRPr="00235071">
        <w:rPr>
          <w:caps/>
          <w:snapToGrid w:val="0"/>
          <w:color w:val="595959"/>
          <w:spacing w:val="10"/>
          <w:sz w:val="24"/>
          <w:szCs w:val="24"/>
        </w:rPr>
        <w:t>Copyright © 2008 Chappell &amp; Associates</w:t>
      </w:r>
    </w:p>
    <w:p w:rsidR="007507D3" w:rsidRDefault="007507D3" w:rsidP="00F86075">
      <w:r>
        <w:lastRenderedPageBreak/>
        <w:t xml:space="preserve">Most software development is done by teams of people. Yet even though </w:t>
      </w:r>
      <w:r w:rsidR="0076085E">
        <w:t xml:space="preserve">tools </w:t>
      </w:r>
      <w:r w:rsidR="00683063">
        <w:t>to</w:t>
      </w:r>
      <w:r w:rsidR="0076085E">
        <w:t xml:space="preserve"> </w:t>
      </w:r>
      <w:r w:rsidR="00683063">
        <w:t>support</w:t>
      </w:r>
      <w:r w:rsidR="0076085E">
        <w:t xml:space="preserve"> team-based development have</w:t>
      </w:r>
      <w:r>
        <w:t xml:space="preserve"> been available for some time, </w:t>
      </w:r>
      <w:r w:rsidR="0076085E">
        <w:t>they</w:t>
      </w:r>
      <w:r>
        <w:t xml:space="preserve"> </w:t>
      </w:r>
      <w:r w:rsidR="00523179">
        <w:t>weren’t always</w:t>
      </w:r>
      <w:r>
        <w:t xml:space="preserve"> as useful as </w:t>
      </w:r>
      <w:r w:rsidR="001847EB">
        <w:t>they might have been</w:t>
      </w:r>
      <w:r>
        <w:t xml:space="preserve">. </w:t>
      </w:r>
      <w:r w:rsidR="00B61254">
        <w:t xml:space="preserve">Today, </w:t>
      </w:r>
      <w:r w:rsidR="00523179">
        <w:t>the vendors who create those tools have reached a consensus on what the real problem is, and they’re providing tools to solve it.</w:t>
      </w:r>
      <w:r w:rsidR="008F24C9">
        <w:t xml:space="preserve"> The result is team development tools that focus on the right thing:</w:t>
      </w:r>
      <w:r w:rsidR="008558F5">
        <w:t xml:space="preserve"> optimizing the end-to-end development process</w:t>
      </w:r>
      <w:r w:rsidR="008F24C9">
        <w:t>.</w:t>
      </w:r>
    </w:p>
    <w:p w:rsidR="008F24C9" w:rsidRDefault="004C723E" w:rsidP="00A23B4D">
      <w:pPr>
        <w:pStyle w:val="Heading1"/>
      </w:pPr>
      <w:r>
        <w:t>The Original Problem</w:t>
      </w:r>
      <w:r w:rsidR="008F24C9">
        <w:t>:</w:t>
      </w:r>
      <w:r w:rsidR="007A0199">
        <w:t xml:space="preserve"> </w:t>
      </w:r>
      <w:r>
        <w:t>Combining Tools</w:t>
      </w:r>
    </w:p>
    <w:p w:rsidR="00FD2C0E" w:rsidRDefault="00C874DA" w:rsidP="00820DB8">
      <w:r>
        <w:t xml:space="preserve">To understand what </w:t>
      </w:r>
      <w:r w:rsidR="008F24C9">
        <w:t xml:space="preserve">today’s </w:t>
      </w:r>
      <w:r w:rsidR="00523179">
        <w:t>consensus</w:t>
      </w:r>
      <w:r>
        <w:t xml:space="preserve"> is and why it’s important, it’s useful to look </w:t>
      </w:r>
      <w:r w:rsidR="00777E91">
        <w:t xml:space="preserve">first </w:t>
      </w:r>
      <w:r>
        <w:t xml:space="preserve">at the history of development tools. Figure 1 </w:t>
      </w:r>
      <w:r w:rsidR="00B71177">
        <w:t xml:space="preserve">illustrates how </w:t>
      </w:r>
      <w:r w:rsidR="007031FA">
        <w:t>the</w:t>
      </w:r>
      <w:r w:rsidR="00B71177">
        <w:t xml:space="preserve"> tools </w:t>
      </w:r>
      <w:r w:rsidR="00B32837">
        <w:t>developers</w:t>
      </w:r>
      <w:r w:rsidR="007031FA">
        <w:t xml:space="preserve"> use </w:t>
      </w:r>
      <w:r w:rsidR="00B71177">
        <w:t>have evolved</w:t>
      </w:r>
      <w:r>
        <w:t xml:space="preserve"> </w:t>
      </w:r>
      <w:r w:rsidR="005A4293">
        <w:t>o</w:t>
      </w:r>
      <w:r w:rsidR="00EC57CA">
        <w:t xml:space="preserve">ver the last </w:t>
      </w:r>
      <w:r w:rsidR="007F5EE3">
        <w:t>few</w:t>
      </w:r>
      <w:r w:rsidR="00AE382E">
        <w:t xml:space="preserve"> decades</w:t>
      </w:r>
      <w:r>
        <w:t>.</w:t>
      </w:r>
    </w:p>
    <w:p w:rsidR="00680ADD" w:rsidRDefault="009B0A75" w:rsidP="001847EB">
      <w:pPr>
        <w:keepNext/>
        <w:jc w:val="center"/>
      </w:pPr>
      <w:r w:rsidRPr="009B0A75">
        <w:rPr>
          <w:noProof/>
          <w:lang w:bidi="ar-SA"/>
        </w:rPr>
        <w:drawing>
          <wp:inline distT="0" distB="0" distL="0" distR="0">
            <wp:extent cx="4306956" cy="2561897"/>
            <wp:effectExtent l="0" t="0" r="0" b="0"/>
            <wp:docPr id="16" name="Object 1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049753" cy="4191227"/>
                      <a:chOff x="1139779" y="1238267"/>
                      <a:chExt cx="7049753" cy="4191227"/>
                    </a:xfrm>
                  </a:grpSpPr>
                  <a:sp>
                    <a:nvSpPr>
                      <a:cNvPr id="5" name="TextBox 4"/>
                      <a:cNvSpPr txBox="1"/>
                    </a:nvSpPr>
                    <a:spPr>
                      <a:xfrm>
                        <a:off x="1361174" y="1849813"/>
                        <a:ext cx="1535959" cy="446276"/>
                      </a:xfrm>
                      <a:prstGeom prst="rect">
                        <a:avLst/>
                      </a:prstGeom>
                      <a:solidFill>
                        <a:schemeClr val="bg2">
                          <a:lumMod val="60000"/>
                          <a:lumOff val="40000"/>
                          <a:alpha val="46000"/>
                        </a:schemeClr>
                      </a:solidFill>
                      <a:ln>
                        <a:solidFill>
                          <a:schemeClr val="tx1"/>
                        </a:solidFill>
                        <a:headEnd type="none" w="med" len="med"/>
                        <a:tailEnd type="stealth" w="lg" len="lg"/>
                      </a:ln>
                      <a:effectLst/>
                      <a:scene3d>
                        <a:camera prst="orthographicFront">
                          <a:rot lat="0" lon="0" rev="0"/>
                        </a:camera>
                        <a:lightRig rig="threePt" dir="t">
                          <a:rot lat="0" lon="0" rev="1200000"/>
                        </a:lightRig>
                      </a:scene3d>
                      <a:sp3d/>
                    </a:spPr>
                    <a:txSp>
                      <a:txBody>
                        <a:bodyPr vert="horz" wrap="square" lIns="91440" tIns="45720" rIns="91440" bIns="45720" numCol="1" rtlCol="0" anchor="t" anchorCtr="0" compatLnSpc="1">
                          <a:prstTxWarp prst="textNoShape">
                            <a:avLst/>
                          </a:prstTxWarp>
                          <a:noAutofit/>
                        </a:bodyPr>
                        <a:lstStyle>
                          <a:defPPr>
                            <a:defRPr lang="en-US"/>
                          </a:defPPr>
                          <a:lvl1pPr algn="l" rtl="0" fontAlgn="base">
                            <a:spcBef>
                              <a:spcPct val="0"/>
                            </a:spcBef>
                            <a:spcAft>
                              <a:spcPct val="0"/>
                            </a:spcAft>
                            <a:defRPr sz="2300" kern="1200">
                              <a:solidFill>
                                <a:schemeClr val="lt1"/>
                              </a:solidFill>
                              <a:latin typeface="+mn-lt"/>
                              <a:ea typeface="+mn-ea"/>
                              <a:cs typeface="+mn-cs"/>
                            </a:defRPr>
                          </a:lvl1pPr>
                          <a:lvl2pPr marL="457200" algn="l" rtl="0" fontAlgn="base">
                            <a:spcBef>
                              <a:spcPct val="0"/>
                            </a:spcBef>
                            <a:spcAft>
                              <a:spcPct val="0"/>
                            </a:spcAft>
                            <a:defRPr sz="2300" kern="1200">
                              <a:solidFill>
                                <a:schemeClr val="lt1"/>
                              </a:solidFill>
                              <a:latin typeface="+mn-lt"/>
                              <a:ea typeface="+mn-ea"/>
                              <a:cs typeface="+mn-cs"/>
                            </a:defRPr>
                          </a:lvl2pPr>
                          <a:lvl3pPr marL="914400" algn="l" rtl="0" fontAlgn="base">
                            <a:spcBef>
                              <a:spcPct val="0"/>
                            </a:spcBef>
                            <a:spcAft>
                              <a:spcPct val="0"/>
                            </a:spcAft>
                            <a:defRPr sz="2300" kern="1200">
                              <a:solidFill>
                                <a:schemeClr val="lt1"/>
                              </a:solidFill>
                              <a:latin typeface="+mn-lt"/>
                              <a:ea typeface="+mn-ea"/>
                              <a:cs typeface="+mn-cs"/>
                            </a:defRPr>
                          </a:lvl3pPr>
                          <a:lvl4pPr marL="1371600" algn="l" rtl="0" fontAlgn="base">
                            <a:spcBef>
                              <a:spcPct val="0"/>
                            </a:spcBef>
                            <a:spcAft>
                              <a:spcPct val="0"/>
                            </a:spcAft>
                            <a:defRPr sz="2300" kern="1200">
                              <a:solidFill>
                                <a:schemeClr val="lt1"/>
                              </a:solidFill>
                              <a:latin typeface="+mn-lt"/>
                              <a:ea typeface="+mn-ea"/>
                              <a:cs typeface="+mn-cs"/>
                            </a:defRPr>
                          </a:lvl4pPr>
                          <a:lvl5pPr marL="1828800" algn="l" rtl="0" fontAlgn="base">
                            <a:spcBef>
                              <a:spcPct val="0"/>
                            </a:spcBef>
                            <a:spcAft>
                              <a:spcPct val="0"/>
                            </a:spcAft>
                            <a:defRPr sz="2300" kern="1200">
                              <a:solidFill>
                                <a:schemeClr val="lt1"/>
                              </a:solidFill>
                              <a:latin typeface="+mn-lt"/>
                              <a:ea typeface="+mn-ea"/>
                              <a:cs typeface="+mn-cs"/>
                            </a:defRPr>
                          </a:lvl5pPr>
                          <a:lvl6pPr marL="2286000" algn="l" defTabSz="914400" rtl="0" eaLnBrk="1" latinLnBrk="0" hangingPunct="1">
                            <a:defRPr sz="2300" kern="1200">
                              <a:solidFill>
                                <a:schemeClr val="lt1"/>
                              </a:solidFill>
                              <a:latin typeface="+mn-lt"/>
                              <a:ea typeface="+mn-ea"/>
                              <a:cs typeface="+mn-cs"/>
                            </a:defRPr>
                          </a:lvl6pPr>
                          <a:lvl7pPr marL="2743200" algn="l" defTabSz="914400" rtl="0" eaLnBrk="1" latinLnBrk="0" hangingPunct="1">
                            <a:defRPr sz="2300" kern="1200">
                              <a:solidFill>
                                <a:schemeClr val="lt1"/>
                              </a:solidFill>
                              <a:latin typeface="+mn-lt"/>
                              <a:ea typeface="+mn-ea"/>
                              <a:cs typeface="+mn-cs"/>
                            </a:defRPr>
                          </a:lvl7pPr>
                          <a:lvl8pPr marL="3200400" algn="l" defTabSz="914400" rtl="0" eaLnBrk="1" latinLnBrk="0" hangingPunct="1">
                            <a:defRPr sz="2300" kern="1200">
                              <a:solidFill>
                                <a:schemeClr val="lt1"/>
                              </a:solidFill>
                              <a:latin typeface="+mn-lt"/>
                              <a:ea typeface="+mn-ea"/>
                              <a:cs typeface="+mn-cs"/>
                            </a:defRPr>
                          </a:lvl8pPr>
                          <a:lvl9pPr marL="3657600" algn="l" defTabSz="914400" rtl="0" eaLnBrk="1" latinLnBrk="0" hangingPunct="1">
                            <a:defRPr sz="2300" kern="1200">
                              <a:solidFill>
                                <a:schemeClr val="lt1"/>
                              </a:solidFill>
                              <a:latin typeface="+mn-lt"/>
                              <a:ea typeface="+mn-ea"/>
                              <a:cs typeface="+mn-cs"/>
                            </a:defRPr>
                          </a:lvl9pPr>
                        </a:lstStyle>
                        <a:p>
                          <a:pPr algn="ctr"/>
                          <a:r>
                            <a:rPr lang="en-US" sz="2000" b="1" dirty="0" smtClean="0">
                              <a:solidFill>
                                <a:schemeClr val="tx1"/>
                              </a:solidFill>
                              <a:latin typeface="Calibri" pitchFamily="34" charset="0"/>
                            </a:rPr>
                            <a:t>Editors</a:t>
                          </a:r>
                        </a:p>
                      </a:txBody>
                      <a:useSpRect/>
                    </a:txSp>
                    <a:style>
                      <a:lnRef idx="0">
                        <a:schemeClr val="accent3"/>
                      </a:lnRef>
                      <a:fillRef idx="3">
                        <a:schemeClr val="accent3"/>
                      </a:fillRef>
                      <a:effectRef idx="3">
                        <a:schemeClr val="accent3"/>
                      </a:effectRef>
                      <a:fontRef idx="minor">
                        <a:schemeClr val="lt1"/>
                      </a:fontRef>
                    </a:style>
                  </a:sp>
                  <a:sp>
                    <a:nvSpPr>
                      <a:cNvPr id="22" name="TextBox 21"/>
                      <a:cNvSpPr txBox="1"/>
                    </a:nvSpPr>
                    <a:spPr>
                      <a:xfrm>
                        <a:off x="1139779" y="1243720"/>
                        <a:ext cx="2010532" cy="400110"/>
                      </a:xfrm>
                      <a:prstGeom prst="rect">
                        <a:avLst/>
                      </a:prstGeom>
                      <a:noFill/>
                      <a:effectLst/>
                    </a:spPr>
                    <a:txSp>
                      <a:txBody>
                        <a:bodyPr wrap="square" rtlCol="0">
                          <a:spAutoFit/>
                        </a:bodyPr>
                        <a:lstStyle>
                          <a:defPPr>
                            <a:defRPr lang="en-US"/>
                          </a:defPPr>
                          <a:lvl1pPr algn="l" rtl="0" fontAlgn="base">
                            <a:spcBef>
                              <a:spcPct val="0"/>
                            </a:spcBef>
                            <a:spcAft>
                              <a:spcPct val="0"/>
                            </a:spcAft>
                            <a:defRPr sz="2300" kern="1200">
                              <a:solidFill>
                                <a:schemeClr val="lt1"/>
                              </a:solidFill>
                              <a:latin typeface="+mn-lt"/>
                              <a:ea typeface="+mn-ea"/>
                              <a:cs typeface="+mn-cs"/>
                            </a:defRPr>
                          </a:lvl1pPr>
                          <a:lvl2pPr marL="457200" algn="l" rtl="0" fontAlgn="base">
                            <a:spcBef>
                              <a:spcPct val="0"/>
                            </a:spcBef>
                            <a:spcAft>
                              <a:spcPct val="0"/>
                            </a:spcAft>
                            <a:defRPr sz="2300" kern="1200">
                              <a:solidFill>
                                <a:schemeClr val="lt1"/>
                              </a:solidFill>
                              <a:latin typeface="+mn-lt"/>
                              <a:ea typeface="+mn-ea"/>
                              <a:cs typeface="+mn-cs"/>
                            </a:defRPr>
                          </a:lvl2pPr>
                          <a:lvl3pPr marL="914400" algn="l" rtl="0" fontAlgn="base">
                            <a:spcBef>
                              <a:spcPct val="0"/>
                            </a:spcBef>
                            <a:spcAft>
                              <a:spcPct val="0"/>
                            </a:spcAft>
                            <a:defRPr sz="2300" kern="1200">
                              <a:solidFill>
                                <a:schemeClr val="lt1"/>
                              </a:solidFill>
                              <a:latin typeface="+mn-lt"/>
                              <a:ea typeface="+mn-ea"/>
                              <a:cs typeface="+mn-cs"/>
                            </a:defRPr>
                          </a:lvl3pPr>
                          <a:lvl4pPr marL="1371600" algn="l" rtl="0" fontAlgn="base">
                            <a:spcBef>
                              <a:spcPct val="0"/>
                            </a:spcBef>
                            <a:spcAft>
                              <a:spcPct val="0"/>
                            </a:spcAft>
                            <a:defRPr sz="2300" kern="1200">
                              <a:solidFill>
                                <a:schemeClr val="lt1"/>
                              </a:solidFill>
                              <a:latin typeface="+mn-lt"/>
                              <a:ea typeface="+mn-ea"/>
                              <a:cs typeface="+mn-cs"/>
                            </a:defRPr>
                          </a:lvl4pPr>
                          <a:lvl5pPr marL="1828800" algn="l" rtl="0" fontAlgn="base">
                            <a:spcBef>
                              <a:spcPct val="0"/>
                            </a:spcBef>
                            <a:spcAft>
                              <a:spcPct val="0"/>
                            </a:spcAft>
                            <a:defRPr sz="2300" kern="1200">
                              <a:solidFill>
                                <a:schemeClr val="lt1"/>
                              </a:solidFill>
                              <a:latin typeface="+mn-lt"/>
                              <a:ea typeface="+mn-ea"/>
                              <a:cs typeface="+mn-cs"/>
                            </a:defRPr>
                          </a:lvl5pPr>
                          <a:lvl6pPr marL="2286000" algn="l" defTabSz="914400" rtl="0" eaLnBrk="1" latinLnBrk="0" hangingPunct="1">
                            <a:defRPr sz="2300" kern="1200">
                              <a:solidFill>
                                <a:schemeClr val="lt1"/>
                              </a:solidFill>
                              <a:latin typeface="+mn-lt"/>
                              <a:ea typeface="+mn-ea"/>
                              <a:cs typeface="+mn-cs"/>
                            </a:defRPr>
                          </a:lvl6pPr>
                          <a:lvl7pPr marL="2743200" algn="l" defTabSz="914400" rtl="0" eaLnBrk="1" latinLnBrk="0" hangingPunct="1">
                            <a:defRPr sz="2300" kern="1200">
                              <a:solidFill>
                                <a:schemeClr val="lt1"/>
                              </a:solidFill>
                              <a:latin typeface="+mn-lt"/>
                              <a:ea typeface="+mn-ea"/>
                              <a:cs typeface="+mn-cs"/>
                            </a:defRPr>
                          </a:lvl7pPr>
                          <a:lvl8pPr marL="3200400" algn="l" defTabSz="914400" rtl="0" eaLnBrk="1" latinLnBrk="0" hangingPunct="1">
                            <a:defRPr sz="2300" kern="1200">
                              <a:solidFill>
                                <a:schemeClr val="lt1"/>
                              </a:solidFill>
                              <a:latin typeface="+mn-lt"/>
                              <a:ea typeface="+mn-ea"/>
                              <a:cs typeface="+mn-cs"/>
                            </a:defRPr>
                          </a:lvl8pPr>
                          <a:lvl9pPr marL="3657600" algn="l" defTabSz="914400" rtl="0" eaLnBrk="1" latinLnBrk="0" hangingPunct="1">
                            <a:defRPr sz="2300" kern="1200">
                              <a:solidFill>
                                <a:schemeClr val="lt1"/>
                              </a:solidFill>
                              <a:latin typeface="+mn-lt"/>
                              <a:ea typeface="+mn-ea"/>
                              <a:cs typeface="+mn-cs"/>
                            </a:defRPr>
                          </a:lvl9pPr>
                        </a:lstStyle>
                        <a:p>
                          <a:pPr algn="ctr"/>
                          <a:r>
                            <a:rPr lang="en-US" sz="2000" b="1" dirty="0" smtClean="0">
                              <a:solidFill>
                                <a:schemeClr val="tx1"/>
                              </a:solidFill>
                              <a:latin typeface="Calibri" pitchFamily="34" charset="0"/>
                            </a:rPr>
                            <a:t>1970s-1980s</a:t>
                          </a:r>
                          <a:endParaRPr lang="en-US" sz="2000" b="1" dirty="0">
                            <a:solidFill>
                              <a:schemeClr val="tx1"/>
                            </a:solidFill>
                            <a:latin typeface="Calibri" pitchFamily="34" charset="0"/>
                          </a:endParaRPr>
                        </a:p>
                      </a:txBody>
                      <a:useSpRect/>
                    </a:txSp>
                    <a:style>
                      <a:lnRef idx="0">
                        <a:schemeClr val="accent5"/>
                      </a:lnRef>
                      <a:fillRef idx="3">
                        <a:schemeClr val="accent5"/>
                      </a:fillRef>
                      <a:effectRef idx="3">
                        <a:schemeClr val="accent5"/>
                      </a:effectRef>
                      <a:fontRef idx="minor">
                        <a:schemeClr val="lt1"/>
                      </a:fontRef>
                    </a:style>
                  </a:sp>
                  <a:sp>
                    <a:nvSpPr>
                      <a:cNvPr id="23" name="TextBox 22"/>
                      <a:cNvSpPr txBox="1"/>
                    </a:nvSpPr>
                    <a:spPr>
                      <a:xfrm>
                        <a:off x="3651086" y="1238267"/>
                        <a:ext cx="1923096" cy="400110"/>
                      </a:xfrm>
                      <a:prstGeom prst="rect">
                        <a:avLst/>
                      </a:prstGeom>
                      <a:noFill/>
                      <a:effectLst/>
                    </a:spPr>
                    <a:txSp>
                      <a:txBody>
                        <a:bodyPr wrap="square" rtlCol="0">
                          <a:spAutoFit/>
                        </a:bodyPr>
                        <a:lstStyle>
                          <a:defPPr>
                            <a:defRPr lang="en-US"/>
                          </a:defPPr>
                          <a:lvl1pPr algn="l" rtl="0" fontAlgn="base">
                            <a:spcBef>
                              <a:spcPct val="0"/>
                            </a:spcBef>
                            <a:spcAft>
                              <a:spcPct val="0"/>
                            </a:spcAft>
                            <a:defRPr sz="2300" kern="1200">
                              <a:solidFill>
                                <a:schemeClr val="lt1"/>
                              </a:solidFill>
                              <a:latin typeface="+mn-lt"/>
                              <a:ea typeface="+mn-ea"/>
                              <a:cs typeface="+mn-cs"/>
                            </a:defRPr>
                          </a:lvl1pPr>
                          <a:lvl2pPr marL="457200" algn="l" rtl="0" fontAlgn="base">
                            <a:spcBef>
                              <a:spcPct val="0"/>
                            </a:spcBef>
                            <a:spcAft>
                              <a:spcPct val="0"/>
                            </a:spcAft>
                            <a:defRPr sz="2300" kern="1200">
                              <a:solidFill>
                                <a:schemeClr val="lt1"/>
                              </a:solidFill>
                              <a:latin typeface="+mn-lt"/>
                              <a:ea typeface="+mn-ea"/>
                              <a:cs typeface="+mn-cs"/>
                            </a:defRPr>
                          </a:lvl2pPr>
                          <a:lvl3pPr marL="914400" algn="l" rtl="0" fontAlgn="base">
                            <a:spcBef>
                              <a:spcPct val="0"/>
                            </a:spcBef>
                            <a:spcAft>
                              <a:spcPct val="0"/>
                            </a:spcAft>
                            <a:defRPr sz="2300" kern="1200">
                              <a:solidFill>
                                <a:schemeClr val="lt1"/>
                              </a:solidFill>
                              <a:latin typeface="+mn-lt"/>
                              <a:ea typeface="+mn-ea"/>
                              <a:cs typeface="+mn-cs"/>
                            </a:defRPr>
                          </a:lvl3pPr>
                          <a:lvl4pPr marL="1371600" algn="l" rtl="0" fontAlgn="base">
                            <a:spcBef>
                              <a:spcPct val="0"/>
                            </a:spcBef>
                            <a:spcAft>
                              <a:spcPct val="0"/>
                            </a:spcAft>
                            <a:defRPr sz="2300" kern="1200">
                              <a:solidFill>
                                <a:schemeClr val="lt1"/>
                              </a:solidFill>
                              <a:latin typeface="+mn-lt"/>
                              <a:ea typeface="+mn-ea"/>
                              <a:cs typeface="+mn-cs"/>
                            </a:defRPr>
                          </a:lvl4pPr>
                          <a:lvl5pPr marL="1828800" algn="l" rtl="0" fontAlgn="base">
                            <a:spcBef>
                              <a:spcPct val="0"/>
                            </a:spcBef>
                            <a:spcAft>
                              <a:spcPct val="0"/>
                            </a:spcAft>
                            <a:defRPr sz="2300" kern="1200">
                              <a:solidFill>
                                <a:schemeClr val="lt1"/>
                              </a:solidFill>
                              <a:latin typeface="+mn-lt"/>
                              <a:ea typeface="+mn-ea"/>
                              <a:cs typeface="+mn-cs"/>
                            </a:defRPr>
                          </a:lvl5pPr>
                          <a:lvl6pPr marL="2286000" algn="l" defTabSz="914400" rtl="0" eaLnBrk="1" latinLnBrk="0" hangingPunct="1">
                            <a:defRPr sz="2300" kern="1200">
                              <a:solidFill>
                                <a:schemeClr val="lt1"/>
                              </a:solidFill>
                              <a:latin typeface="+mn-lt"/>
                              <a:ea typeface="+mn-ea"/>
                              <a:cs typeface="+mn-cs"/>
                            </a:defRPr>
                          </a:lvl6pPr>
                          <a:lvl7pPr marL="2743200" algn="l" defTabSz="914400" rtl="0" eaLnBrk="1" latinLnBrk="0" hangingPunct="1">
                            <a:defRPr sz="2300" kern="1200">
                              <a:solidFill>
                                <a:schemeClr val="lt1"/>
                              </a:solidFill>
                              <a:latin typeface="+mn-lt"/>
                              <a:ea typeface="+mn-ea"/>
                              <a:cs typeface="+mn-cs"/>
                            </a:defRPr>
                          </a:lvl7pPr>
                          <a:lvl8pPr marL="3200400" algn="l" defTabSz="914400" rtl="0" eaLnBrk="1" latinLnBrk="0" hangingPunct="1">
                            <a:defRPr sz="2300" kern="1200">
                              <a:solidFill>
                                <a:schemeClr val="lt1"/>
                              </a:solidFill>
                              <a:latin typeface="+mn-lt"/>
                              <a:ea typeface="+mn-ea"/>
                              <a:cs typeface="+mn-cs"/>
                            </a:defRPr>
                          </a:lvl8pPr>
                          <a:lvl9pPr marL="3657600" algn="l" defTabSz="914400" rtl="0" eaLnBrk="1" latinLnBrk="0" hangingPunct="1">
                            <a:defRPr sz="2300" kern="1200">
                              <a:solidFill>
                                <a:schemeClr val="lt1"/>
                              </a:solidFill>
                              <a:latin typeface="+mn-lt"/>
                              <a:ea typeface="+mn-ea"/>
                              <a:cs typeface="+mn-cs"/>
                            </a:defRPr>
                          </a:lvl9pPr>
                        </a:lstStyle>
                        <a:p>
                          <a:pPr algn="ctr"/>
                          <a:r>
                            <a:rPr lang="en-US" sz="2000" b="1" dirty="0" smtClean="0">
                              <a:solidFill>
                                <a:schemeClr val="tx1"/>
                              </a:solidFill>
                              <a:latin typeface="Calibri" pitchFamily="34" charset="0"/>
                            </a:rPr>
                            <a:t>1980s-1990s</a:t>
                          </a:r>
                          <a:endParaRPr lang="en-US" sz="2000" b="1" dirty="0">
                            <a:solidFill>
                              <a:schemeClr val="tx1"/>
                            </a:solidFill>
                            <a:latin typeface="Calibri" pitchFamily="34" charset="0"/>
                          </a:endParaRPr>
                        </a:p>
                      </a:txBody>
                      <a:useSpRect/>
                    </a:txSp>
                    <a:style>
                      <a:lnRef idx="0">
                        <a:schemeClr val="accent5"/>
                      </a:lnRef>
                      <a:fillRef idx="3">
                        <a:schemeClr val="accent5"/>
                      </a:fillRef>
                      <a:effectRef idx="3">
                        <a:schemeClr val="accent5"/>
                      </a:effectRef>
                      <a:fontRef idx="minor">
                        <a:schemeClr val="lt1"/>
                      </a:fontRef>
                    </a:style>
                  </a:sp>
                  <a:sp>
                    <a:nvSpPr>
                      <a:cNvPr id="29" name="TextBox 28"/>
                      <a:cNvSpPr txBox="1"/>
                    </a:nvSpPr>
                    <a:spPr>
                      <a:xfrm>
                        <a:off x="1361174" y="2779987"/>
                        <a:ext cx="1546922" cy="400110"/>
                      </a:xfrm>
                      <a:prstGeom prst="rect">
                        <a:avLst/>
                      </a:prstGeom>
                      <a:solidFill>
                        <a:schemeClr val="bg2">
                          <a:lumMod val="60000"/>
                          <a:lumOff val="40000"/>
                          <a:alpha val="46000"/>
                        </a:schemeClr>
                      </a:solidFill>
                      <a:ln>
                        <a:solidFill>
                          <a:schemeClr val="tx1"/>
                        </a:solidFill>
                        <a:headEnd type="none" w="med" len="med"/>
                        <a:tailEnd type="stealth" w="lg" len="lg"/>
                      </a:ln>
                      <a:effectLst/>
                      <a:scene3d>
                        <a:camera prst="orthographicFront">
                          <a:rot lat="0" lon="0" rev="0"/>
                        </a:camera>
                        <a:lightRig rig="threePt" dir="t">
                          <a:rot lat="0" lon="0" rev="1200000"/>
                        </a:lightRig>
                      </a:scene3d>
                      <a:sp3d/>
                    </a:spPr>
                    <a:txSp>
                      <a:txBody>
                        <a:bodyPr vert="horz" wrap="square" lIns="91440" tIns="45720" rIns="91440" bIns="45720" numCol="1" rtlCol="0" anchor="t" anchorCtr="0" compatLnSpc="1">
                          <a:prstTxWarp prst="textNoShape">
                            <a:avLst/>
                          </a:prstTxWarp>
                          <a:noAutofit/>
                        </a:bodyPr>
                        <a:lstStyle>
                          <a:defPPr>
                            <a:defRPr lang="en-US"/>
                          </a:defPPr>
                          <a:lvl1pPr algn="l" rtl="0" fontAlgn="base">
                            <a:spcBef>
                              <a:spcPct val="0"/>
                            </a:spcBef>
                            <a:spcAft>
                              <a:spcPct val="0"/>
                            </a:spcAft>
                            <a:defRPr sz="2300" kern="1200">
                              <a:solidFill>
                                <a:schemeClr val="lt1"/>
                              </a:solidFill>
                              <a:latin typeface="+mn-lt"/>
                              <a:ea typeface="+mn-ea"/>
                              <a:cs typeface="+mn-cs"/>
                            </a:defRPr>
                          </a:lvl1pPr>
                          <a:lvl2pPr marL="457200" algn="l" rtl="0" fontAlgn="base">
                            <a:spcBef>
                              <a:spcPct val="0"/>
                            </a:spcBef>
                            <a:spcAft>
                              <a:spcPct val="0"/>
                            </a:spcAft>
                            <a:defRPr sz="2300" kern="1200">
                              <a:solidFill>
                                <a:schemeClr val="lt1"/>
                              </a:solidFill>
                              <a:latin typeface="+mn-lt"/>
                              <a:ea typeface="+mn-ea"/>
                              <a:cs typeface="+mn-cs"/>
                            </a:defRPr>
                          </a:lvl2pPr>
                          <a:lvl3pPr marL="914400" algn="l" rtl="0" fontAlgn="base">
                            <a:spcBef>
                              <a:spcPct val="0"/>
                            </a:spcBef>
                            <a:spcAft>
                              <a:spcPct val="0"/>
                            </a:spcAft>
                            <a:defRPr sz="2300" kern="1200">
                              <a:solidFill>
                                <a:schemeClr val="lt1"/>
                              </a:solidFill>
                              <a:latin typeface="+mn-lt"/>
                              <a:ea typeface="+mn-ea"/>
                              <a:cs typeface="+mn-cs"/>
                            </a:defRPr>
                          </a:lvl3pPr>
                          <a:lvl4pPr marL="1371600" algn="l" rtl="0" fontAlgn="base">
                            <a:spcBef>
                              <a:spcPct val="0"/>
                            </a:spcBef>
                            <a:spcAft>
                              <a:spcPct val="0"/>
                            </a:spcAft>
                            <a:defRPr sz="2300" kern="1200">
                              <a:solidFill>
                                <a:schemeClr val="lt1"/>
                              </a:solidFill>
                              <a:latin typeface="+mn-lt"/>
                              <a:ea typeface="+mn-ea"/>
                              <a:cs typeface="+mn-cs"/>
                            </a:defRPr>
                          </a:lvl4pPr>
                          <a:lvl5pPr marL="1828800" algn="l" rtl="0" fontAlgn="base">
                            <a:spcBef>
                              <a:spcPct val="0"/>
                            </a:spcBef>
                            <a:spcAft>
                              <a:spcPct val="0"/>
                            </a:spcAft>
                            <a:defRPr sz="2300" kern="1200">
                              <a:solidFill>
                                <a:schemeClr val="lt1"/>
                              </a:solidFill>
                              <a:latin typeface="+mn-lt"/>
                              <a:ea typeface="+mn-ea"/>
                              <a:cs typeface="+mn-cs"/>
                            </a:defRPr>
                          </a:lvl5pPr>
                          <a:lvl6pPr marL="2286000" algn="l" defTabSz="914400" rtl="0" eaLnBrk="1" latinLnBrk="0" hangingPunct="1">
                            <a:defRPr sz="2300" kern="1200">
                              <a:solidFill>
                                <a:schemeClr val="lt1"/>
                              </a:solidFill>
                              <a:latin typeface="+mn-lt"/>
                              <a:ea typeface="+mn-ea"/>
                              <a:cs typeface="+mn-cs"/>
                            </a:defRPr>
                          </a:lvl6pPr>
                          <a:lvl7pPr marL="2743200" algn="l" defTabSz="914400" rtl="0" eaLnBrk="1" latinLnBrk="0" hangingPunct="1">
                            <a:defRPr sz="2300" kern="1200">
                              <a:solidFill>
                                <a:schemeClr val="lt1"/>
                              </a:solidFill>
                              <a:latin typeface="+mn-lt"/>
                              <a:ea typeface="+mn-ea"/>
                              <a:cs typeface="+mn-cs"/>
                            </a:defRPr>
                          </a:lvl7pPr>
                          <a:lvl8pPr marL="3200400" algn="l" defTabSz="914400" rtl="0" eaLnBrk="1" latinLnBrk="0" hangingPunct="1">
                            <a:defRPr sz="2300" kern="1200">
                              <a:solidFill>
                                <a:schemeClr val="lt1"/>
                              </a:solidFill>
                              <a:latin typeface="+mn-lt"/>
                              <a:ea typeface="+mn-ea"/>
                              <a:cs typeface="+mn-cs"/>
                            </a:defRPr>
                          </a:lvl8pPr>
                          <a:lvl9pPr marL="3657600" algn="l" defTabSz="914400" rtl="0" eaLnBrk="1" latinLnBrk="0" hangingPunct="1">
                            <a:defRPr sz="2300" kern="1200">
                              <a:solidFill>
                                <a:schemeClr val="lt1"/>
                              </a:solidFill>
                              <a:latin typeface="+mn-lt"/>
                              <a:ea typeface="+mn-ea"/>
                              <a:cs typeface="+mn-cs"/>
                            </a:defRPr>
                          </a:lvl9pPr>
                        </a:lstStyle>
                        <a:p>
                          <a:pPr algn="ctr"/>
                          <a:r>
                            <a:rPr lang="en-US" sz="2000" b="1" dirty="0" smtClean="0">
                              <a:solidFill>
                                <a:schemeClr val="tx1"/>
                              </a:solidFill>
                              <a:latin typeface="Calibri" pitchFamily="34" charset="0"/>
                            </a:rPr>
                            <a:t>Compilers</a:t>
                          </a:r>
                          <a:endParaRPr lang="en-US" sz="2000" b="1" dirty="0">
                            <a:solidFill>
                              <a:schemeClr val="tx1"/>
                            </a:solidFill>
                            <a:latin typeface="Calibri" pitchFamily="34" charset="0"/>
                          </a:endParaRPr>
                        </a:p>
                      </a:txBody>
                      <a:useSpRect/>
                    </a:txSp>
                    <a:style>
                      <a:lnRef idx="0">
                        <a:schemeClr val="accent3"/>
                      </a:lnRef>
                      <a:fillRef idx="3">
                        <a:schemeClr val="accent3"/>
                      </a:fillRef>
                      <a:effectRef idx="3">
                        <a:schemeClr val="accent3"/>
                      </a:effectRef>
                      <a:fontRef idx="minor">
                        <a:schemeClr val="lt1"/>
                      </a:fontRef>
                    </a:style>
                  </a:sp>
                  <a:sp>
                    <a:nvSpPr>
                      <a:cNvPr id="24" name="TextBox 23"/>
                      <a:cNvSpPr txBox="1"/>
                    </a:nvSpPr>
                    <a:spPr>
                      <a:xfrm>
                        <a:off x="6294676" y="1274353"/>
                        <a:ext cx="1894856" cy="400110"/>
                      </a:xfrm>
                      <a:prstGeom prst="rect">
                        <a:avLst/>
                      </a:prstGeom>
                      <a:noFill/>
                      <a:effectLst/>
                    </a:spPr>
                    <a:txSp>
                      <a:txBody>
                        <a:bodyPr wrap="square" rtlCol="0">
                          <a:spAutoFit/>
                        </a:bodyPr>
                        <a:lstStyle>
                          <a:defPPr>
                            <a:defRPr lang="en-US"/>
                          </a:defPPr>
                          <a:lvl1pPr algn="l" rtl="0" fontAlgn="base">
                            <a:spcBef>
                              <a:spcPct val="0"/>
                            </a:spcBef>
                            <a:spcAft>
                              <a:spcPct val="0"/>
                            </a:spcAft>
                            <a:defRPr sz="2300" kern="1200">
                              <a:solidFill>
                                <a:schemeClr val="lt1"/>
                              </a:solidFill>
                              <a:latin typeface="+mn-lt"/>
                              <a:ea typeface="+mn-ea"/>
                              <a:cs typeface="+mn-cs"/>
                            </a:defRPr>
                          </a:lvl1pPr>
                          <a:lvl2pPr marL="457200" algn="l" rtl="0" fontAlgn="base">
                            <a:spcBef>
                              <a:spcPct val="0"/>
                            </a:spcBef>
                            <a:spcAft>
                              <a:spcPct val="0"/>
                            </a:spcAft>
                            <a:defRPr sz="2300" kern="1200">
                              <a:solidFill>
                                <a:schemeClr val="lt1"/>
                              </a:solidFill>
                              <a:latin typeface="+mn-lt"/>
                              <a:ea typeface="+mn-ea"/>
                              <a:cs typeface="+mn-cs"/>
                            </a:defRPr>
                          </a:lvl2pPr>
                          <a:lvl3pPr marL="914400" algn="l" rtl="0" fontAlgn="base">
                            <a:spcBef>
                              <a:spcPct val="0"/>
                            </a:spcBef>
                            <a:spcAft>
                              <a:spcPct val="0"/>
                            </a:spcAft>
                            <a:defRPr sz="2300" kern="1200">
                              <a:solidFill>
                                <a:schemeClr val="lt1"/>
                              </a:solidFill>
                              <a:latin typeface="+mn-lt"/>
                              <a:ea typeface="+mn-ea"/>
                              <a:cs typeface="+mn-cs"/>
                            </a:defRPr>
                          </a:lvl3pPr>
                          <a:lvl4pPr marL="1371600" algn="l" rtl="0" fontAlgn="base">
                            <a:spcBef>
                              <a:spcPct val="0"/>
                            </a:spcBef>
                            <a:spcAft>
                              <a:spcPct val="0"/>
                            </a:spcAft>
                            <a:defRPr sz="2300" kern="1200">
                              <a:solidFill>
                                <a:schemeClr val="lt1"/>
                              </a:solidFill>
                              <a:latin typeface="+mn-lt"/>
                              <a:ea typeface="+mn-ea"/>
                              <a:cs typeface="+mn-cs"/>
                            </a:defRPr>
                          </a:lvl4pPr>
                          <a:lvl5pPr marL="1828800" algn="l" rtl="0" fontAlgn="base">
                            <a:spcBef>
                              <a:spcPct val="0"/>
                            </a:spcBef>
                            <a:spcAft>
                              <a:spcPct val="0"/>
                            </a:spcAft>
                            <a:defRPr sz="2300" kern="1200">
                              <a:solidFill>
                                <a:schemeClr val="lt1"/>
                              </a:solidFill>
                              <a:latin typeface="+mn-lt"/>
                              <a:ea typeface="+mn-ea"/>
                              <a:cs typeface="+mn-cs"/>
                            </a:defRPr>
                          </a:lvl5pPr>
                          <a:lvl6pPr marL="2286000" algn="l" defTabSz="914400" rtl="0" eaLnBrk="1" latinLnBrk="0" hangingPunct="1">
                            <a:defRPr sz="2300" kern="1200">
                              <a:solidFill>
                                <a:schemeClr val="lt1"/>
                              </a:solidFill>
                              <a:latin typeface="+mn-lt"/>
                              <a:ea typeface="+mn-ea"/>
                              <a:cs typeface="+mn-cs"/>
                            </a:defRPr>
                          </a:lvl6pPr>
                          <a:lvl7pPr marL="2743200" algn="l" defTabSz="914400" rtl="0" eaLnBrk="1" latinLnBrk="0" hangingPunct="1">
                            <a:defRPr sz="2300" kern="1200">
                              <a:solidFill>
                                <a:schemeClr val="lt1"/>
                              </a:solidFill>
                              <a:latin typeface="+mn-lt"/>
                              <a:ea typeface="+mn-ea"/>
                              <a:cs typeface="+mn-cs"/>
                            </a:defRPr>
                          </a:lvl7pPr>
                          <a:lvl8pPr marL="3200400" algn="l" defTabSz="914400" rtl="0" eaLnBrk="1" latinLnBrk="0" hangingPunct="1">
                            <a:defRPr sz="2300" kern="1200">
                              <a:solidFill>
                                <a:schemeClr val="lt1"/>
                              </a:solidFill>
                              <a:latin typeface="+mn-lt"/>
                              <a:ea typeface="+mn-ea"/>
                              <a:cs typeface="+mn-cs"/>
                            </a:defRPr>
                          </a:lvl8pPr>
                          <a:lvl9pPr marL="3657600" algn="l" defTabSz="914400" rtl="0" eaLnBrk="1" latinLnBrk="0" hangingPunct="1">
                            <a:defRPr sz="2300" kern="1200">
                              <a:solidFill>
                                <a:schemeClr val="lt1"/>
                              </a:solidFill>
                              <a:latin typeface="+mn-lt"/>
                              <a:ea typeface="+mn-ea"/>
                              <a:cs typeface="+mn-cs"/>
                            </a:defRPr>
                          </a:lvl9pPr>
                        </a:lstStyle>
                        <a:p>
                          <a:pPr algn="ctr"/>
                          <a:r>
                            <a:rPr lang="en-US" sz="2000" b="1" dirty="0" smtClean="0">
                              <a:solidFill>
                                <a:schemeClr val="tx1"/>
                              </a:solidFill>
                              <a:latin typeface="Calibri" pitchFamily="34" charset="0"/>
                            </a:rPr>
                            <a:t>1990s-2000s</a:t>
                          </a:r>
                          <a:endParaRPr lang="en-US" sz="2000" b="1" dirty="0">
                            <a:solidFill>
                              <a:schemeClr val="tx1"/>
                            </a:solidFill>
                            <a:latin typeface="Calibri" pitchFamily="34" charset="0"/>
                          </a:endParaRPr>
                        </a:p>
                      </a:txBody>
                      <a:useSpRect/>
                    </a:txSp>
                    <a:style>
                      <a:lnRef idx="0">
                        <a:schemeClr val="accent5"/>
                      </a:lnRef>
                      <a:fillRef idx="3">
                        <a:schemeClr val="accent5"/>
                      </a:fillRef>
                      <a:effectRef idx="3">
                        <a:schemeClr val="accent5"/>
                      </a:effectRef>
                      <a:fontRef idx="minor">
                        <a:schemeClr val="lt1"/>
                      </a:fontRef>
                    </a:style>
                  </a:sp>
                  <a:sp>
                    <a:nvSpPr>
                      <a:cNvPr id="50" name="Rectangle 49"/>
                      <a:cNvSpPr/>
                    </a:nvSpPr>
                    <a:spPr bwMode="auto">
                      <a:xfrm>
                        <a:off x="6362168" y="1849813"/>
                        <a:ext cx="1827364" cy="3579681"/>
                      </a:xfrm>
                      <a:prstGeom prst="rect">
                        <a:avLst/>
                      </a:prstGeom>
                      <a:solidFill>
                        <a:schemeClr val="bg2">
                          <a:lumMod val="60000"/>
                          <a:lumOff val="40000"/>
                          <a:alpha val="46000"/>
                        </a:schemeClr>
                      </a:solidFill>
                      <a:ln>
                        <a:solidFill>
                          <a:schemeClr val="tx1"/>
                        </a:solidFill>
                        <a:headEnd type="none" w="med" len="med"/>
                        <a:tailEnd type="stealth" w="lg" len="lg"/>
                      </a:ln>
                      <a:effectLst/>
                      <a:scene3d>
                        <a:camera prst="orthographicFront">
                          <a:rot lat="0" lon="0" rev="0"/>
                        </a:camera>
                        <a:lightRig rig="threePt" dir="t">
                          <a:rot lat="0" lon="0" rev="1200000"/>
                        </a:lightRig>
                      </a:scene3d>
                      <a:sp3d/>
                    </a:spPr>
                    <a:txSp>
                      <a:txBody>
                        <a:bodyPr vert="horz" wrap="square" lIns="91440" tIns="45720" rIns="91440" bIns="45720" numCol="1" rtlCol="0" anchor="t" anchorCtr="0" compatLnSpc="1">
                          <a:prstTxWarp prst="textNoShape">
                            <a:avLst/>
                          </a:prstTxWarp>
                          <a:noAutofit/>
                        </a:bodyPr>
                        <a:lstStyle>
                          <a:defPPr>
                            <a:defRPr lang="en-US"/>
                          </a:defPPr>
                          <a:lvl1pPr algn="l" rtl="0" fontAlgn="base">
                            <a:spcBef>
                              <a:spcPct val="0"/>
                            </a:spcBef>
                            <a:spcAft>
                              <a:spcPct val="0"/>
                            </a:spcAft>
                            <a:defRPr sz="2300" kern="1200">
                              <a:solidFill>
                                <a:schemeClr val="lt1"/>
                              </a:solidFill>
                              <a:latin typeface="+mn-lt"/>
                              <a:ea typeface="+mn-ea"/>
                              <a:cs typeface="+mn-cs"/>
                            </a:defRPr>
                          </a:lvl1pPr>
                          <a:lvl2pPr marL="457200" algn="l" rtl="0" fontAlgn="base">
                            <a:spcBef>
                              <a:spcPct val="0"/>
                            </a:spcBef>
                            <a:spcAft>
                              <a:spcPct val="0"/>
                            </a:spcAft>
                            <a:defRPr sz="2300" kern="1200">
                              <a:solidFill>
                                <a:schemeClr val="lt1"/>
                              </a:solidFill>
                              <a:latin typeface="+mn-lt"/>
                              <a:ea typeface="+mn-ea"/>
                              <a:cs typeface="+mn-cs"/>
                            </a:defRPr>
                          </a:lvl2pPr>
                          <a:lvl3pPr marL="914400" algn="l" rtl="0" fontAlgn="base">
                            <a:spcBef>
                              <a:spcPct val="0"/>
                            </a:spcBef>
                            <a:spcAft>
                              <a:spcPct val="0"/>
                            </a:spcAft>
                            <a:defRPr sz="2300" kern="1200">
                              <a:solidFill>
                                <a:schemeClr val="lt1"/>
                              </a:solidFill>
                              <a:latin typeface="+mn-lt"/>
                              <a:ea typeface="+mn-ea"/>
                              <a:cs typeface="+mn-cs"/>
                            </a:defRPr>
                          </a:lvl3pPr>
                          <a:lvl4pPr marL="1371600" algn="l" rtl="0" fontAlgn="base">
                            <a:spcBef>
                              <a:spcPct val="0"/>
                            </a:spcBef>
                            <a:spcAft>
                              <a:spcPct val="0"/>
                            </a:spcAft>
                            <a:defRPr sz="2300" kern="1200">
                              <a:solidFill>
                                <a:schemeClr val="lt1"/>
                              </a:solidFill>
                              <a:latin typeface="+mn-lt"/>
                              <a:ea typeface="+mn-ea"/>
                              <a:cs typeface="+mn-cs"/>
                            </a:defRPr>
                          </a:lvl4pPr>
                          <a:lvl5pPr marL="1828800" algn="l" rtl="0" fontAlgn="base">
                            <a:spcBef>
                              <a:spcPct val="0"/>
                            </a:spcBef>
                            <a:spcAft>
                              <a:spcPct val="0"/>
                            </a:spcAft>
                            <a:defRPr sz="2300" kern="1200">
                              <a:solidFill>
                                <a:schemeClr val="lt1"/>
                              </a:solidFill>
                              <a:latin typeface="+mn-lt"/>
                              <a:ea typeface="+mn-ea"/>
                              <a:cs typeface="+mn-cs"/>
                            </a:defRPr>
                          </a:lvl5pPr>
                          <a:lvl6pPr marL="2286000" algn="l" defTabSz="914400" rtl="0" eaLnBrk="1" latinLnBrk="0" hangingPunct="1">
                            <a:defRPr sz="2300" kern="1200">
                              <a:solidFill>
                                <a:schemeClr val="lt1"/>
                              </a:solidFill>
                              <a:latin typeface="+mn-lt"/>
                              <a:ea typeface="+mn-ea"/>
                              <a:cs typeface="+mn-cs"/>
                            </a:defRPr>
                          </a:lvl6pPr>
                          <a:lvl7pPr marL="2743200" algn="l" defTabSz="914400" rtl="0" eaLnBrk="1" latinLnBrk="0" hangingPunct="1">
                            <a:defRPr sz="2300" kern="1200">
                              <a:solidFill>
                                <a:schemeClr val="lt1"/>
                              </a:solidFill>
                              <a:latin typeface="+mn-lt"/>
                              <a:ea typeface="+mn-ea"/>
                              <a:cs typeface="+mn-cs"/>
                            </a:defRPr>
                          </a:lvl7pPr>
                          <a:lvl8pPr marL="3200400" algn="l" defTabSz="914400" rtl="0" eaLnBrk="1" latinLnBrk="0" hangingPunct="1">
                            <a:defRPr sz="2300" kern="1200">
                              <a:solidFill>
                                <a:schemeClr val="lt1"/>
                              </a:solidFill>
                              <a:latin typeface="+mn-lt"/>
                              <a:ea typeface="+mn-ea"/>
                              <a:cs typeface="+mn-cs"/>
                            </a:defRPr>
                          </a:lvl8pPr>
                          <a:lvl9pPr marL="3657600" algn="l" defTabSz="914400" rtl="0" eaLnBrk="1" latinLnBrk="0" hangingPunct="1">
                            <a:defRPr sz="2300" kern="1200">
                              <a:solidFill>
                                <a:schemeClr val="lt1"/>
                              </a:solidFill>
                              <a:latin typeface="+mn-lt"/>
                              <a:ea typeface="+mn-ea"/>
                              <a:cs typeface="+mn-cs"/>
                            </a:defRPr>
                          </a:lvl9pPr>
                        </a:lstStyle>
                        <a:p>
                          <a:endParaRPr lang="en-US" smtClean="0">
                            <a:latin typeface="Calibri" pitchFamily="34" charset="0"/>
                          </a:endParaRPr>
                        </a:p>
                      </a:txBody>
                      <a:useSpRect/>
                    </a:txSp>
                    <a:style>
                      <a:lnRef idx="0">
                        <a:schemeClr val="accent3"/>
                      </a:lnRef>
                      <a:fillRef idx="3">
                        <a:schemeClr val="accent3"/>
                      </a:fillRef>
                      <a:effectRef idx="3">
                        <a:schemeClr val="accent3"/>
                      </a:effectRef>
                      <a:fontRef idx="minor">
                        <a:schemeClr val="lt1"/>
                      </a:fontRef>
                    </a:style>
                  </a:sp>
                  <a:sp>
                    <a:nvSpPr>
                      <a:cNvPr id="48" name="Rectangle 47"/>
                      <a:cNvSpPr/>
                    </a:nvSpPr>
                    <a:spPr bwMode="auto">
                      <a:xfrm>
                        <a:off x="3654517" y="1849813"/>
                        <a:ext cx="1919667" cy="1368583"/>
                      </a:xfrm>
                      <a:prstGeom prst="rect">
                        <a:avLst/>
                      </a:prstGeom>
                      <a:solidFill>
                        <a:schemeClr val="bg2">
                          <a:lumMod val="60000"/>
                          <a:lumOff val="40000"/>
                          <a:alpha val="46000"/>
                        </a:schemeClr>
                      </a:solidFill>
                      <a:ln>
                        <a:solidFill>
                          <a:schemeClr val="tx1"/>
                        </a:solidFill>
                        <a:headEnd type="none" w="med" len="med"/>
                        <a:tailEnd type="stealth" w="lg" len="lg"/>
                      </a:ln>
                      <a:effectLst/>
                      <a:scene3d>
                        <a:camera prst="orthographicFront">
                          <a:rot lat="0" lon="0" rev="0"/>
                        </a:camera>
                        <a:lightRig rig="threePt" dir="t">
                          <a:rot lat="0" lon="0" rev="1200000"/>
                        </a:lightRig>
                      </a:scene3d>
                      <a:sp3d/>
                    </a:spPr>
                    <a:txSp>
                      <a:txBody>
                        <a:bodyPr vert="horz" wrap="square" lIns="91440" tIns="45720" rIns="91440" bIns="45720" numCol="1" rtlCol="0" anchor="t" anchorCtr="0" compatLnSpc="1">
                          <a:prstTxWarp prst="textNoShape">
                            <a:avLst/>
                          </a:prstTxWarp>
                          <a:noAutofit/>
                        </a:bodyPr>
                        <a:lstStyle>
                          <a:defPPr>
                            <a:defRPr lang="en-US"/>
                          </a:defPPr>
                          <a:lvl1pPr algn="l" rtl="0" fontAlgn="base">
                            <a:spcBef>
                              <a:spcPct val="0"/>
                            </a:spcBef>
                            <a:spcAft>
                              <a:spcPct val="0"/>
                            </a:spcAft>
                            <a:defRPr sz="2300" kern="1200">
                              <a:solidFill>
                                <a:schemeClr val="lt1"/>
                              </a:solidFill>
                              <a:latin typeface="+mn-lt"/>
                              <a:ea typeface="+mn-ea"/>
                              <a:cs typeface="+mn-cs"/>
                            </a:defRPr>
                          </a:lvl1pPr>
                          <a:lvl2pPr marL="457200" algn="l" rtl="0" fontAlgn="base">
                            <a:spcBef>
                              <a:spcPct val="0"/>
                            </a:spcBef>
                            <a:spcAft>
                              <a:spcPct val="0"/>
                            </a:spcAft>
                            <a:defRPr sz="2300" kern="1200">
                              <a:solidFill>
                                <a:schemeClr val="lt1"/>
                              </a:solidFill>
                              <a:latin typeface="+mn-lt"/>
                              <a:ea typeface="+mn-ea"/>
                              <a:cs typeface="+mn-cs"/>
                            </a:defRPr>
                          </a:lvl2pPr>
                          <a:lvl3pPr marL="914400" algn="l" rtl="0" fontAlgn="base">
                            <a:spcBef>
                              <a:spcPct val="0"/>
                            </a:spcBef>
                            <a:spcAft>
                              <a:spcPct val="0"/>
                            </a:spcAft>
                            <a:defRPr sz="2300" kern="1200">
                              <a:solidFill>
                                <a:schemeClr val="lt1"/>
                              </a:solidFill>
                              <a:latin typeface="+mn-lt"/>
                              <a:ea typeface="+mn-ea"/>
                              <a:cs typeface="+mn-cs"/>
                            </a:defRPr>
                          </a:lvl3pPr>
                          <a:lvl4pPr marL="1371600" algn="l" rtl="0" fontAlgn="base">
                            <a:spcBef>
                              <a:spcPct val="0"/>
                            </a:spcBef>
                            <a:spcAft>
                              <a:spcPct val="0"/>
                            </a:spcAft>
                            <a:defRPr sz="2300" kern="1200">
                              <a:solidFill>
                                <a:schemeClr val="lt1"/>
                              </a:solidFill>
                              <a:latin typeface="+mn-lt"/>
                              <a:ea typeface="+mn-ea"/>
                              <a:cs typeface="+mn-cs"/>
                            </a:defRPr>
                          </a:lvl4pPr>
                          <a:lvl5pPr marL="1828800" algn="l" rtl="0" fontAlgn="base">
                            <a:spcBef>
                              <a:spcPct val="0"/>
                            </a:spcBef>
                            <a:spcAft>
                              <a:spcPct val="0"/>
                            </a:spcAft>
                            <a:defRPr sz="2300" kern="1200">
                              <a:solidFill>
                                <a:schemeClr val="lt1"/>
                              </a:solidFill>
                              <a:latin typeface="+mn-lt"/>
                              <a:ea typeface="+mn-ea"/>
                              <a:cs typeface="+mn-cs"/>
                            </a:defRPr>
                          </a:lvl5pPr>
                          <a:lvl6pPr marL="2286000" algn="l" defTabSz="914400" rtl="0" eaLnBrk="1" latinLnBrk="0" hangingPunct="1">
                            <a:defRPr sz="2300" kern="1200">
                              <a:solidFill>
                                <a:schemeClr val="lt1"/>
                              </a:solidFill>
                              <a:latin typeface="+mn-lt"/>
                              <a:ea typeface="+mn-ea"/>
                              <a:cs typeface="+mn-cs"/>
                            </a:defRPr>
                          </a:lvl6pPr>
                          <a:lvl7pPr marL="2743200" algn="l" defTabSz="914400" rtl="0" eaLnBrk="1" latinLnBrk="0" hangingPunct="1">
                            <a:defRPr sz="2300" kern="1200">
                              <a:solidFill>
                                <a:schemeClr val="lt1"/>
                              </a:solidFill>
                              <a:latin typeface="+mn-lt"/>
                              <a:ea typeface="+mn-ea"/>
                              <a:cs typeface="+mn-cs"/>
                            </a:defRPr>
                          </a:lvl7pPr>
                          <a:lvl8pPr marL="3200400" algn="l" defTabSz="914400" rtl="0" eaLnBrk="1" latinLnBrk="0" hangingPunct="1">
                            <a:defRPr sz="2300" kern="1200">
                              <a:solidFill>
                                <a:schemeClr val="lt1"/>
                              </a:solidFill>
                              <a:latin typeface="+mn-lt"/>
                              <a:ea typeface="+mn-ea"/>
                              <a:cs typeface="+mn-cs"/>
                            </a:defRPr>
                          </a:lvl8pPr>
                          <a:lvl9pPr marL="3657600" algn="l" defTabSz="914400" rtl="0" eaLnBrk="1" latinLnBrk="0" hangingPunct="1">
                            <a:defRPr sz="2300" kern="1200">
                              <a:solidFill>
                                <a:schemeClr val="lt1"/>
                              </a:solidFill>
                              <a:latin typeface="+mn-lt"/>
                              <a:ea typeface="+mn-ea"/>
                              <a:cs typeface="+mn-cs"/>
                            </a:defRPr>
                          </a:lvl9pPr>
                        </a:lstStyle>
                        <a:p>
                          <a:pPr marL="0" marR="0" indent="0" defTabSz="914400" eaLnBrk="1" latinLnBrk="0" hangingPunct="1">
                            <a:lnSpc>
                              <a:spcPct val="100000"/>
                            </a:lnSpc>
                            <a:buClrTx/>
                            <a:buSzTx/>
                            <a:buFontTx/>
                            <a:buNone/>
                            <a:tabLst/>
                          </a:pPr>
                          <a:endParaRPr lang="en-US" smtClean="0">
                            <a:latin typeface="Calibri" pitchFamily="34" charset="0"/>
                          </a:endParaRPr>
                        </a:p>
                      </a:txBody>
                      <a:useSpRect/>
                    </a:txSp>
                    <a:style>
                      <a:lnRef idx="0">
                        <a:schemeClr val="accent3"/>
                      </a:lnRef>
                      <a:fillRef idx="3">
                        <a:schemeClr val="accent3"/>
                      </a:fillRef>
                      <a:effectRef idx="3">
                        <a:schemeClr val="accent3"/>
                      </a:effectRef>
                      <a:fontRef idx="minor">
                        <a:schemeClr val="lt1"/>
                      </a:fontRef>
                    </a:style>
                  </a:sp>
                  <a:sp>
                    <a:nvSpPr>
                      <a:cNvPr id="8" name="TextBox 7"/>
                      <a:cNvSpPr txBox="1"/>
                    </a:nvSpPr>
                    <a:spPr>
                      <a:xfrm>
                        <a:off x="6362168" y="2674258"/>
                        <a:ext cx="1827364" cy="1083849"/>
                      </a:xfrm>
                      <a:prstGeom prst="rect">
                        <a:avLst/>
                      </a:prstGeom>
                      <a:noFill/>
                      <a:ln>
                        <a:headEnd type="none" w="med" len="med"/>
                        <a:tailEnd type="stealth"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l" rtl="0" fontAlgn="base">
                            <a:spcBef>
                              <a:spcPct val="0"/>
                            </a:spcBef>
                            <a:spcAft>
                              <a:spcPct val="0"/>
                            </a:spcAft>
                            <a:defRPr sz="2300" kern="1200">
                              <a:solidFill>
                                <a:schemeClr val="lt1"/>
                              </a:solidFill>
                              <a:latin typeface="+mn-lt"/>
                              <a:ea typeface="+mn-ea"/>
                              <a:cs typeface="+mn-cs"/>
                            </a:defRPr>
                          </a:lvl1pPr>
                          <a:lvl2pPr marL="457200" algn="l" rtl="0" fontAlgn="base">
                            <a:spcBef>
                              <a:spcPct val="0"/>
                            </a:spcBef>
                            <a:spcAft>
                              <a:spcPct val="0"/>
                            </a:spcAft>
                            <a:defRPr sz="2300" kern="1200">
                              <a:solidFill>
                                <a:schemeClr val="lt1"/>
                              </a:solidFill>
                              <a:latin typeface="+mn-lt"/>
                              <a:ea typeface="+mn-ea"/>
                              <a:cs typeface="+mn-cs"/>
                            </a:defRPr>
                          </a:lvl2pPr>
                          <a:lvl3pPr marL="914400" algn="l" rtl="0" fontAlgn="base">
                            <a:spcBef>
                              <a:spcPct val="0"/>
                            </a:spcBef>
                            <a:spcAft>
                              <a:spcPct val="0"/>
                            </a:spcAft>
                            <a:defRPr sz="2300" kern="1200">
                              <a:solidFill>
                                <a:schemeClr val="lt1"/>
                              </a:solidFill>
                              <a:latin typeface="+mn-lt"/>
                              <a:ea typeface="+mn-ea"/>
                              <a:cs typeface="+mn-cs"/>
                            </a:defRPr>
                          </a:lvl3pPr>
                          <a:lvl4pPr marL="1371600" algn="l" rtl="0" fontAlgn="base">
                            <a:spcBef>
                              <a:spcPct val="0"/>
                            </a:spcBef>
                            <a:spcAft>
                              <a:spcPct val="0"/>
                            </a:spcAft>
                            <a:defRPr sz="2300" kern="1200">
                              <a:solidFill>
                                <a:schemeClr val="lt1"/>
                              </a:solidFill>
                              <a:latin typeface="+mn-lt"/>
                              <a:ea typeface="+mn-ea"/>
                              <a:cs typeface="+mn-cs"/>
                            </a:defRPr>
                          </a:lvl4pPr>
                          <a:lvl5pPr marL="1828800" algn="l" rtl="0" fontAlgn="base">
                            <a:spcBef>
                              <a:spcPct val="0"/>
                            </a:spcBef>
                            <a:spcAft>
                              <a:spcPct val="0"/>
                            </a:spcAft>
                            <a:defRPr sz="2300" kern="1200">
                              <a:solidFill>
                                <a:schemeClr val="lt1"/>
                              </a:solidFill>
                              <a:latin typeface="+mn-lt"/>
                              <a:ea typeface="+mn-ea"/>
                              <a:cs typeface="+mn-cs"/>
                            </a:defRPr>
                          </a:lvl5pPr>
                          <a:lvl6pPr marL="2286000" algn="l" defTabSz="914400" rtl="0" eaLnBrk="1" latinLnBrk="0" hangingPunct="1">
                            <a:defRPr sz="2300" kern="1200">
                              <a:solidFill>
                                <a:schemeClr val="lt1"/>
                              </a:solidFill>
                              <a:latin typeface="+mn-lt"/>
                              <a:ea typeface="+mn-ea"/>
                              <a:cs typeface="+mn-cs"/>
                            </a:defRPr>
                          </a:lvl6pPr>
                          <a:lvl7pPr marL="2743200" algn="l" defTabSz="914400" rtl="0" eaLnBrk="1" latinLnBrk="0" hangingPunct="1">
                            <a:defRPr sz="2300" kern="1200">
                              <a:solidFill>
                                <a:schemeClr val="lt1"/>
                              </a:solidFill>
                              <a:latin typeface="+mn-lt"/>
                              <a:ea typeface="+mn-ea"/>
                              <a:cs typeface="+mn-cs"/>
                            </a:defRPr>
                          </a:lvl7pPr>
                          <a:lvl8pPr marL="3200400" algn="l" defTabSz="914400" rtl="0" eaLnBrk="1" latinLnBrk="0" hangingPunct="1">
                            <a:defRPr sz="2300" kern="1200">
                              <a:solidFill>
                                <a:schemeClr val="lt1"/>
                              </a:solidFill>
                              <a:latin typeface="+mn-lt"/>
                              <a:ea typeface="+mn-ea"/>
                              <a:cs typeface="+mn-cs"/>
                            </a:defRPr>
                          </a:lvl8pPr>
                          <a:lvl9pPr marL="3657600" algn="l" defTabSz="914400" rtl="0" eaLnBrk="1" latinLnBrk="0" hangingPunct="1">
                            <a:defRPr sz="2300" kern="1200">
                              <a:solidFill>
                                <a:schemeClr val="lt1"/>
                              </a:solidFill>
                              <a:latin typeface="+mn-lt"/>
                              <a:ea typeface="+mn-ea"/>
                              <a:cs typeface="+mn-cs"/>
                            </a:defRPr>
                          </a:lvl9pPr>
                        </a:lstStyle>
                        <a:p>
                          <a:pPr algn="ctr"/>
                          <a:r>
                            <a:rPr lang="en-US" sz="2000" b="1" i="1" dirty="0" smtClean="0">
                              <a:solidFill>
                                <a:schemeClr val="tx1"/>
                              </a:solidFill>
                              <a:latin typeface="Calibri" pitchFamily="34" charset="0"/>
                            </a:rPr>
                            <a:t>Team development tools</a:t>
                          </a:r>
                        </a:p>
                        <a:p>
                          <a:endParaRPr lang="en-US" dirty="0" smtClean="0">
                            <a:solidFill>
                              <a:schemeClr val="tx1"/>
                            </a:solidFill>
                            <a:latin typeface="Calibri" pitchFamily="34" charset="0"/>
                          </a:endParaRPr>
                        </a:p>
                        <a:p>
                          <a:endParaRPr lang="en-US" dirty="0" smtClean="0">
                            <a:solidFill>
                              <a:schemeClr val="tx1"/>
                            </a:solidFill>
                            <a:latin typeface="Calibri" pitchFamily="34" charset="0"/>
                          </a:endParaRPr>
                        </a:p>
                        <a:p>
                          <a:endParaRPr lang="en-US" dirty="0">
                            <a:solidFill>
                              <a:schemeClr val="tx1"/>
                            </a:solidFill>
                            <a:latin typeface="Calibri" pitchFamily="34" charset="0"/>
                          </a:endParaRPr>
                        </a:p>
                      </a:txBody>
                      <a:useSpRect/>
                    </a:txSp>
                    <a:style>
                      <a:lnRef idx="0">
                        <a:schemeClr val="accent3"/>
                      </a:lnRef>
                      <a:fillRef idx="3">
                        <a:schemeClr val="accent3"/>
                      </a:fillRef>
                      <a:effectRef idx="3">
                        <a:schemeClr val="accent3"/>
                      </a:effectRef>
                      <a:fontRef idx="minor">
                        <a:schemeClr val="lt1"/>
                      </a:fontRef>
                    </a:style>
                  </a:sp>
                  <a:sp>
                    <a:nvSpPr>
                      <a:cNvPr id="47" name="TextBox 46"/>
                      <a:cNvSpPr txBox="1"/>
                    </a:nvSpPr>
                    <a:spPr>
                      <a:xfrm>
                        <a:off x="3654518" y="1849813"/>
                        <a:ext cx="1919667" cy="1368583"/>
                      </a:xfrm>
                      <a:prstGeom prst="rect">
                        <a:avLst/>
                      </a:prstGeom>
                      <a:noFill/>
                      <a:ln>
                        <a:headEnd type="none" w="med" len="med"/>
                        <a:tailEnd type="stealth"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l" rtl="0" fontAlgn="base">
                            <a:spcBef>
                              <a:spcPct val="0"/>
                            </a:spcBef>
                            <a:spcAft>
                              <a:spcPct val="0"/>
                            </a:spcAft>
                            <a:defRPr sz="2300" kern="1200">
                              <a:solidFill>
                                <a:schemeClr val="lt1"/>
                              </a:solidFill>
                              <a:latin typeface="+mn-lt"/>
                              <a:ea typeface="+mn-ea"/>
                              <a:cs typeface="+mn-cs"/>
                            </a:defRPr>
                          </a:lvl1pPr>
                          <a:lvl2pPr marL="457200" algn="l" rtl="0" fontAlgn="base">
                            <a:spcBef>
                              <a:spcPct val="0"/>
                            </a:spcBef>
                            <a:spcAft>
                              <a:spcPct val="0"/>
                            </a:spcAft>
                            <a:defRPr sz="2300" kern="1200">
                              <a:solidFill>
                                <a:schemeClr val="lt1"/>
                              </a:solidFill>
                              <a:latin typeface="+mn-lt"/>
                              <a:ea typeface="+mn-ea"/>
                              <a:cs typeface="+mn-cs"/>
                            </a:defRPr>
                          </a:lvl2pPr>
                          <a:lvl3pPr marL="914400" algn="l" rtl="0" fontAlgn="base">
                            <a:spcBef>
                              <a:spcPct val="0"/>
                            </a:spcBef>
                            <a:spcAft>
                              <a:spcPct val="0"/>
                            </a:spcAft>
                            <a:defRPr sz="2300" kern="1200">
                              <a:solidFill>
                                <a:schemeClr val="lt1"/>
                              </a:solidFill>
                              <a:latin typeface="+mn-lt"/>
                              <a:ea typeface="+mn-ea"/>
                              <a:cs typeface="+mn-cs"/>
                            </a:defRPr>
                          </a:lvl3pPr>
                          <a:lvl4pPr marL="1371600" algn="l" rtl="0" fontAlgn="base">
                            <a:spcBef>
                              <a:spcPct val="0"/>
                            </a:spcBef>
                            <a:spcAft>
                              <a:spcPct val="0"/>
                            </a:spcAft>
                            <a:defRPr sz="2300" kern="1200">
                              <a:solidFill>
                                <a:schemeClr val="lt1"/>
                              </a:solidFill>
                              <a:latin typeface="+mn-lt"/>
                              <a:ea typeface="+mn-ea"/>
                              <a:cs typeface="+mn-cs"/>
                            </a:defRPr>
                          </a:lvl4pPr>
                          <a:lvl5pPr marL="1828800" algn="l" rtl="0" fontAlgn="base">
                            <a:spcBef>
                              <a:spcPct val="0"/>
                            </a:spcBef>
                            <a:spcAft>
                              <a:spcPct val="0"/>
                            </a:spcAft>
                            <a:defRPr sz="2300" kern="1200">
                              <a:solidFill>
                                <a:schemeClr val="lt1"/>
                              </a:solidFill>
                              <a:latin typeface="+mn-lt"/>
                              <a:ea typeface="+mn-ea"/>
                              <a:cs typeface="+mn-cs"/>
                            </a:defRPr>
                          </a:lvl5pPr>
                          <a:lvl6pPr marL="2286000" algn="l" defTabSz="914400" rtl="0" eaLnBrk="1" latinLnBrk="0" hangingPunct="1">
                            <a:defRPr sz="2300" kern="1200">
                              <a:solidFill>
                                <a:schemeClr val="lt1"/>
                              </a:solidFill>
                              <a:latin typeface="+mn-lt"/>
                              <a:ea typeface="+mn-ea"/>
                              <a:cs typeface="+mn-cs"/>
                            </a:defRPr>
                          </a:lvl6pPr>
                          <a:lvl7pPr marL="2743200" algn="l" defTabSz="914400" rtl="0" eaLnBrk="1" latinLnBrk="0" hangingPunct="1">
                            <a:defRPr sz="2300" kern="1200">
                              <a:solidFill>
                                <a:schemeClr val="lt1"/>
                              </a:solidFill>
                              <a:latin typeface="+mn-lt"/>
                              <a:ea typeface="+mn-ea"/>
                              <a:cs typeface="+mn-cs"/>
                            </a:defRPr>
                          </a:lvl7pPr>
                          <a:lvl8pPr marL="3200400" algn="l" defTabSz="914400" rtl="0" eaLnBrk="1" latinLnBrk="0" hangingPunct="1">
                            <a:defRPr sz="2300" kern="1200">
                              <a:solidFill>
                                <a:schemeClr val="lt1"/>
                              </a:solidFill>
                              <a:latin typeface="+mn-lt"/>
                              <a:ea typeface="+mn-ea"/>
                              <a:cs typeface="+mn-cs"/>
                            </a:defRPr>
                          </a:lvl8pPr>
                          <a:lvl9pPr marL="3657600" algn="l" defTabSz="914400" rtl="0" eaLnBrk="1" latinLnBrk="0" hangingPunct="1">
                            <a:defRPr sz="2300" kern="1200">
                              <a:solidFill>
                                <a:schemeClr val="lt1"/>
                              </a:solidFill>
                              <a:latin typeface="+mn-lt"/>
                              <a:ea typeface="+mn-ea"/>
                              <a:cs typeface="+mn-cs"/>
                            </a:defRPr>
                          </a:lvl9pPr>
                        </a:lstStyle>
                        <a:p>
                          <a:pPr algn="ctr"/>
                          <a:r>
                            <a:rPr lang="en-US" sz="2000" b="1" i="1" dirty="0" smtClean="0">
                              <a:solidFill>
                                <a:schemeClr val="tx1"/>
                              </a:solidFill>
                              <a:latin typeface="Calibri" pitchFamily="34" charset="0"/>
                            </a:rPr>
                            <a:t>Integrated development environments (IDEs)</a:t>
                          </a:r>
                        </a:p>
                        <a:p>
                          <a:endParaRPr lang="en-US" dirty="0" smtClean="0">
                            <a:solidFill>
                              <a:schemeClr val="tx1"/>
                            </a:solidFill>
                            <a:latin typeface="Calibri" pitchFamily="34" charset="0"/>
                          </a:endParaRPr>
                        </a:p>
                        <a:p>
                          <a:endParaRPr lang="en-US" dirty="0">
                            <a:solidFill>
                              <a:schemeClr val="tx1"/>
                            </a:solidFill>
                            <a:latin typeface="Calibri" pitchFamily="34" charset="0"/>
                          </a:endParaRPr>
                        </a:p>
                      </a:txBody>
                      <a:useSpRect/>
                    </a:txSp>
                    <a:style>
                      <a:lnRef idx="0">
                        <a:schemeClr val="accent3"/>
                      </a:lnRef>
                      <a:fillRef idx="3">
                        <a:schemeClr val="accent3"/>
                      </a:fillRef>
                      <a:effectRef idx="3">
                        <a:schemeClr val="accent3"/>
                      </a:effectRef>
                      <a:fontRef idx="minor">
                        <a:schemeClr val="lt1"/>
                      </a:fontRef>
                    </a:style>
                  </a:sp>
                  <a:cxnSp>
                    <a:nvCxnSpPr>
                      <a:cNvPr id="33" name="Straight Connector 32"/>
                      <a:cNvCxnSpPr/>
                    </a:nvCxnSpPr>
                    <a:spPr bwMode="auto">
                      <a:xfrm>
                        <a:off x="2897133" y="2079078"/>
                        <a:ext cx="742990" cy="217011"/>
                      </a:xfrm>
                      <a:prstGeom prst="line">
                        <a:avLst/>
                      </a:prstGeom>
                      <a:noFill/>
                      <a:ln w="38100">
                        <a:solidFill>
                          <a:schemeClr val="tx2"/>
                        </a:solidFill>
                        <a:round/>
                        <a:headEnd/>
                        <a:tailEnd type="stealth" w="lg" len="lg"/>
                      </a:ln>
                      <a:effectLst/>
                    </a:spPr>
                  </a:cxnSp>
                  <a:cxnSp>
                    <a:nvCxnSpPr>
                      <a:cNvPr id="38" name="Straight Connector 37"/>
                      <a:cNvCxnSpPr>
                        <a:stCxn id="29" idx="3"/>
                      </a:cNvCxnSpPr>
                    </a:nvCxnSpPr>
                    <a:spPr bwMode="auto">
                      <a:xfrm flipV="1">
                        <a:off x="2908096" y="2779987"/>
                        <a:ext cx="746421" cy="200055"/>
                      </a:xfrm>
                      <a:prstGeom prst="line">
                        <a:avLst/>
                      </a:prstGeom>
                      <a:noFill/>
                      <a:ln w="38100">
                        <a:solidFill>
                          <a:schemeClr val="tx2"/>
                        </a:solidFill>
                        <a:round/>
                        <a:headEnd/>
                        <a:tailEnd type="stealth" w="lg" len="lg"/>
                      </a:ln>
                      <a:effectLst/>
                    </a:spPr>
                  </a:cxnSp>
                  <a:cxnSp>
                    <a:nvCxnSpPr>
                      <a:cNvPr id="44" name="Straight Connector 43"/>
                      <a:cNvCxnSpPr/>
                    </a:nvCxnSpPr>
                    <a:spPr bwMode="auto">
                      <a:xfrm>
                        <a:off x="5574185" y="2443036"/>
                        <a:ext cx="787983" cy="217011"/>
                      </a:xfrm>
                      <a:prstGeom prst="line">
                        <a:avLst/>
                      </a:prstGeom>
                      <a:noFill/>
                      <a:ln w="38100">
                        <a:solidFill>
                          <a:schemeClr val="tx2"/>
                        </a:solidFill>
                        <a:round/>
                        <a:headEnd/>
                        <a:tailEnd type="stealth" w="lg" len="lg"/>
                      </a:ln>
                      <a:effectLst/>
                    </a:spPr>
                  </a:cxnSp>
                  <a:cxnSp>
                    <a:nvCxnSpPr>
                      <a:cNvPr id="49" name="Straight Connector 48"/>
                      <a:cNvCxnSpPr>
                        <a:stCxn id="31" idx="3"/>
                      </a:cNvCxnSpPr>
                    </a:nvCxnSpPr>
                    <a:spPr bwMode="auto">
                      <a:xfrm flipV="1">
                        <a:off x="5551686" y="4100043"/>
                        <a:ext cx="810482" cy="479122"/>
                      </a:xfrm>
                      <a:prstGeom prst="line">
                        <a:avLst/>
                      </a:prstGeom>
                      <a:noFill/>
                      <a:ln w="38100">
                        <a:solidFill>
                          <a:schemeClr val="tx2"/>
                        </a:solidFill>
                        <a:round/>
                        <a:headEnd/>
                        <a:tailEnd type="stealth" w="lg" len="lg"/>
                      </a:ln>
                      <a:effectLst/>
                    </a:spPr>
                  </a:cxnSp>
                  <a:cxnSp>
                    <a:nvCxnSpPr>
                      <a:cNvPr id="51" name="Straight Connector 50"/>
                      <a:cNvCxnSpPr>
                        <a:stCxn id="39" idx="3"/>
                      </a:cNvCxnSpPr>
                    </a:nvCxnSpPr>
                    <a:spPr bwMode="auto">
                      <a:xfrm flipV="1">
                        <a:off x="5574185" y="3437501"/>
                        <a:ext cx="787983" cy="479122"/>
                      </a:xfrm>
                      <a:prstGeom prst="line">
                        <a:avLst/>
                      </a:prstGeom>
                      <a:noFill/>
                      <a:ln w="38100">
                        <a:solidFill>
                          <a:schemeClr val="tx2"/>
                        </a:solidFill>
                        <a:round/>
                        <a:headEnd/>
                        <a:tailEnd type="stealth" w="lg" len="lg"/>
                      </a:ln>
                      <a:effectLst/>
                    </a:spPr>
                  </a:cxnSp>
                  <a:cxnSp>
                    <a:nvCxnSpPr>
                      <a:cNvPr id="57" name="Straight Connector 56"/>
                      <a:cNvCxnSpPr>
                        <a:stCxn id="37" idx="3"/>
                      </a:cNvCxnSpPr>
                    </a:nvCxnSpPr>
                    <a:spPr bwMode="auto">
                      <a:xfrm flipV="1">
                        <a:off x="5551686" y="4779220"/>
                        <a:ext cx="810482" cy="425315"/>
                      </a:xfrm>
                      <a:prstGeom prst="line">
                        <a:avLst/>
                      </a:prstGeom>
                      <a:noFill/>
                      <a:ln w="38100">
                        <a:solidFill>
                          <a:schemeClr val="tx2"/>
                        </a:solidFill>
                        <a:round/>
                        <a:headEnd/>
                        <a:tailEnd type="stealth" w="lg" len="lg"/>
                      </a:ln>
                      <a:effectLst/>
                    </a:spPr>
                  </a:cxnSp>
                  <a:sp>
                    <a:nvSpPr>
                      <a:cNvPr id="31" name="TextBox 30"/>
                      <a:cNvSpPr txBox="1"/>
                    </a:nvSpPr>
                    <a:spPr>
                      <a:xfrm>
                        <a:off x="1338677" y="4379110"/>
                        <a:ext cx="4213009" cy="400110"/>
                      </a:xfrm>
                      <a:prstGeom prst="rect">
                        <a:avLst/>
                      </a:prstGeom>
                      <a:solidFill>
                        <a:schemeClr val="bg2">
                          <a:lumMod val="60000"/>
                          <a:lumOff val="40000"/>
                          <a:alpha val="46000"/>
                        </a:schemeClr>
                      </a:solidFill>
                      <a:ln>
                        <a:solidFill>
                          <a:schemeClr val="tx1"/>
                        </a:solidFill>
                        <a:headEnd type="none" w="med" len="med"/>
                        <a:tailEnd type="stealth" w="lg" len="lg"/>
                      </a:ln>
                      <a:effectLst/>
                      <a:scene3d>
                        <a:camera prst="orthographicFront">
                          <a:rot lat="0" lon="0" rev="0"/>
                        </a:camera>
                        <a:lightRig rig="threePt" dir="t">
                          <a:rot lat="0" lon="0" rev="1200000"/>
                        </a:lightRig>
                      </a:scene3d>
                      <a:sp3d/>
                    </a:spPr>
                    <a:txSp>
                      <a:txBody>
                        <a:bodyPr vert="horz" wrap="square" lIns="91440" tIns="45720" rIns="91440" bIns="45720" numCol="1" rtlCol="0" anchor="t" anchorCtr="0" compatLnSpc="1">
                          <a:prstTxWarp prst="textNoShape">
                            <a:avLst/>
                          </a:prstTxWarp>
                          <a:noAutofit/>
                        </a:bodyPr>
                        <a:lstStyle>
                          <a:defPPr>
                            <a:defRPr lang="en-US"/>
                          </a:defPPr>
                          <a:lvl1pPr algn="l" rtl="0" fontAlgn="base">
                            <a:spcBef>
                              <a:spcPct val="0"/>
                            </a:spcBef>
                            <a:spcAft>
                              <a:spcPct val="0"/>
                            </a:spcAft>
                            <a:defRPr sz="2300" kern="1200">
                              <a:solidFill>
                                <a:schemeClr val="lt1"/>
                              </a:solidFill>
                              <a:latin typeface="+mn-lt"/>
                              <a:ea typeface="+mn-ea"/>
                              <a:cs typeface="+mn-cs"/>
                            </a:defRPr>
                          </a:lvl1pPr>
                          <a:lvl2pPr marL="457200" algn="l" rtl="0" fontAlgn="base">
                            <a:spcBef>
                              <a:spcPct val="0"/>
                            </a:spcBef>
                            <a:spcAft>
                              <a:spcPct val="0"/>
                            </a:spcAft>
                            <a:defRPr sz="2300" kern="1200">
                              <a:solidFill>
                                <a:schemeClr val="lt1"/>
                              </a:solidFill>
                              <a:latin typeface="+mn-lt"/>
                              <a:ea typeface="+mn-ea"/>
                              <a:cs typeface="+mn-cs"/>
                            </a:defRPr>
                          </a:lvl2pPr>
                          <a:lvl3pPr marL="914400" algn="l" rtl="0" fontAlgn="base">
                            <a:spcBef>
                              <a:spcPct val="0"/>
                            </a:spcBef>
                            <a:spcAft>
                              <a:spcPct val="0"/>
                            </a:spcAft>
                            <a:defRPr sz="2300" kern="1200">
                              <a:solidFill>
                                <a:schemeClr val="lt1"/>
                              </a:solidFill>
                              <a:latin typeface="+mn-lt"/>
                              <a:ea typeface="+mn-ea"/>
                              <a:cs typeface="+mn-cs"/>
                            </a:defRPr>
                          </a:lvl3pPr>
                          <a:lvl4pPr marL="1371600" algn="l" rtl="0" fontAlgn="base">
                            <a:spcBef>
                              <a:spcPct val="0"/>
                            </a:spcBef>
                            <a:spcAft>
                              <a:spcPct val="0"/>
                            </a:spcAft>
                            <a:defRPr sz="2300" kern="1200">
                              <a:solidFill>
                                <a:schemeClr val="lt1"/>
                              </a:solidFill>
                              <a:latin typeface="+mn-lt"/>
                              <a:ea typeface="+mn-ea"/>
                              <a:cs typeface="+mn-cs"/>
                            </a:defRPr>
                          </a:lvl4pPr>
                          <a:lvl5pPr marL="1828800" algn="l" rtl="0" fontAlgn="base">
                            <a:spcBef>
                              <a:spcPct val="0"/>
                            </a:spcBef>
                            <a:spcAft>
                              <a:spcPct val="0"/>
                            </a:spcAft>
                            <a:defRPr sz="2300" kern="1200">
                              <a:solidFill>
                                <a:schemeClr val="lt1"/>
                              </a:solidFill>
                              <a:latin typeface="+mn-lt"/>
                              <a:ea typeface="+mn-ea"/>
                              <a:cs typeface="+mn-cs"/>
                            </a:defRPr>
                          </a:lvl5pPr>
                          <a:lvl6pPr marL="2286000" algn="l" defTabSz="914400" rtl="0" eaLnBrk="1" latinLnBrk="0" hangingPunct="1">
                            <a:defRPr sz="2300" kern="1200">
                              <a:solidFill>
                                <a:schemeClr val="lt1"/>
                              </a:solidFill>
                              <a:latin typeface="+mn-lt"/>
                              <a:ea typeface="+mn-ea"/>
                              <a:cs typeface="+mn-cs"/>
                            </a:defRPr>
                          </a:lvl6pPr>
                          <a:lvl7pPr marL="2743200" algn="l" defTabSz="914400" rtl="0" eaLnBrk="1" latinLnBrk="0" hangingPunct="1">
                            <a:defRPr sz="2300" kern="1200">
                              <a:solidFill>
                                <a:schemeClr val="lt1"/>
                              </a:solidFill>
                              <a:latin typeface="+mn-lt"/>
                              <a:ea typeface="+mn-ea"/>
                              <a:cs typeface="+mn-cs"/>
                            </a:defRPr>
                          </a:lvl7pPr>
                          <a:lvl8pPr marL="3200400" algn="l" defTabSz="914400" rtl="0" eaLnBrk="1" latinLnBrk="0" hangingPunct="1">
                            <a:defRPr sz="2300" kern="1200">
                              <a:solidFill>
                                <a:schemeClr val="lt1"/>
                              </a:solidFill>
                              <a:latin typeface="+mn-lt"/>
                              <a:ea typeface="+mn-ea"/>
                              <a:cs typeface="+mn-cs"/>
                            </a:defRPr>
                          </a:lvl8pPr>
                          <a:lvl9pPr marL="3657600" algn="l" defTabSz="914400" rtl="0" eaLnBrk="1" latinLnBrk="0" hangingPunct="1">
                            <a:defRPr sz="2300" kern="1200">
                              <a:solidFill>
                                <a:schemeClr val="lt1"/>
                              </a:solidFill>
                              <a:latin typeface="+mn-lt"/>
                              <a:ea typeface="+mn-ea"/>
                              <a:cs typeface="+mn-cs"/>
                            </a:defRPr>
                          </a:lvl9pPr>
                        </a:lstStyle>
                        <a:p>
                          <a:pPr algn="ctr"/>
                          <a:r>
                            <a:rPr lang="en-US" sz="2000" b="1" dirty="0" smtClean="0">
                              <a:solidFill>
                                <a:schemeClr val="tx1"/>
                              </a:solidFill>
                              <a:latin typeface="Calibri" pitchFamily="34" charset="0"/>
                            </a:rPr>
                            <a:t>Test tools</a:t>
                          </a:r>
                          <a:endParaRPr lang="en-US" sz="2000" b="1" dirty="0">
                            <a:solidFill>
                              <a:schemeClr val="tx1"/>
                            </a:solidFill>
                            <a:latin typeface="Calibri" pitchFamily="34" charset="0"/>
                          </a:endParaRPr>
                        </a:p>
                      </a:txBody>
                      <a:useSpRect/>
                    </a:txSp>
                    <a:style>
                      <a:lnRef idx="0">
                        <a:schemeClr val="accent3"/>
                      </a:lnRef>
                      <a:fillRef idx="3">
                        <a:schemeClr val="accent3"/>
                      </a:fillRef>
                      <a:effectRef idx="3">
                        <a:schemeClr val="accent3"/>
                      </a:effectRef>
                      <a:fontRef idx="minor">
                        <a:schemeClr val="lt1"/>
                      </a:fontRef>
                    </a:style>
                  </a:sp>
                  <a:sp>
                    <a:nvSpPr>
                      <a:cNvPr id="39" name="TextBox 38"/>
                      <a:cNvSpPr txBox="1"/>
                    </a:nvSpPr>
                    <a:spPr>
                      <a:xfrm>
                        <a:off x="1338677" y="3716568"/>
                        <a:ext cx="4235508" cy="400110"/>
                      </a:xfrm>
                      <a:prstGeom prst="rect">
                        <a:avLst/>
                      </a:prstGeom>
                      <a:solidFill>
                        <a:schemeClr val="bg2">
                          <a:lumMod val="60000"/>
                          <a:lumOff val="40000"/>
                          <a:alpha val="46000"/>
                        </a:schemeClr>
                      </a:solidFill>
                      <a:ln>
                        <a:solidFill>
                          <a:schemeClr val="tx1"/>
                        </a:solidFill>
                        <a:headEnd type="none" w="med" len="med"/>
                        <a:tailEnd type="stealth" w="lg" len="lg"/>
                      </a:ln>
                      <a:effectLst/>
                      <a:scene3d>
                        <a:camera prst="orthographicFront">
                          <a:rot lat="0" lon="0" rev="0"/>
                        </a:camera>
                        <a:lightRig rig="threePt" dir="t">
                          <a:rot lat="0" lon="0" rev="1200000"/>
                        </a:lightRig>
                      </a:scene3d>
                      <a:sp3d/>
                    </a:spPr>
                    <a:txSp>
                      <a:txBody>
                        <a:bodyPr vert="horz" wrap="square" lIns="91440" tIns="45720" rIns="91440" bIns="45720" numCol="1" rtlCol="0" anchor="t" anchorCtr="0" compatLnSpc="1">
                          <a:prstTxWarp prst="textNoShape">
                            <a:avLst/>
                          </a:prstTxWarp>
                          <a:noAutofit/>
                        </a:bodyPr>
                        <a:lstStyle>
                          <a:defPPr>
                            <a:defRPr lang="en-US"/>
                          </a:defPPr>
                          <a:lvl1pPr algn="l" rtl="0" fontAlgn="base">
                            <a:spcBef>
                              <a:spcPct val="0"/>
                            </a:spcBef>
                            <a:spcAft>
                              <a:spcPct val="0"/>
                            </a:spcAft>
                            <a:defRPr sz="2300" kern="1200">
                              <a:solidFill>
                                <a:schemeClr val="lt1"/>
                              </a:solidFill>
                              <a:latin typeface="+mn-lt"/>
                              <a:ea typeface="+mn-ea"/>
                              <a:cs typeface="+mn-cs"/>
                            </a:defRPr>
                          </a:lvl1pPr>
                          <a:lvl2pPr marL="457200" algn="l" rtl="0" fontAlgn="base">
                            <a:spcBef>
                              <a:spcPct val="0"/>
                            </a:spcBef>
                            <a:spcAft>
                              <a:spcPct val="0"/>
                            </a:spcAft>
                            <a:defRPr sz="2300" kern="1200">
                              <a:solidFill>
                                <a:schemeClr val="lt1"/>
                              </a:solidFill>
                              <a:latin typeface="+mn-lt"/>
                              <a:ea typeface="+mn-ea"/>
                              <a:cs typeface="+mn-cs"/>
                            </a:defRPr>
                          </a:lvl2pPr>
                          <a:lvl3pPr marL="914400" algn="l" rtl="0" fontAlgn="base">
                            <a:spcBef>
                              <a:spcPct val="0"/>
                            </a:spcBef>
                            <a:spcAft>
                              <a:spcPct val="0"/>
                            </a:spcAft>
                            <a:defRPr sz="2300" kern="1200">
                              <a:solidFill>
                                <a:schemeClr val="lt1"/>
                              </a:solidFill>
                              <a:latin typeface="+mn-lt"/>
                              <a:ea typeface="+mn-ea"/>
                              <a:cs typeface="+mn-cs"/>
                            </a:defRPr>
                          </a:lvl3pPr>
                          <a:lvl4pPr marL="1371600" algn="l" rtl="0" fontAlgn="base">
                            <a:spcBef>
                              <a:spcPct val="0"/>
                            </a:spcBef>
                            <a:spcAft>
                              <a:spcPct val="0"/>
                            </a:spcAft>
                            <a:defRPr sz="2300" kern="1200">
                              <a:solidFill>
                                <a:schemeClr val="lt1"/>
                              </a:solidFill>
                              <a:latin typeface="+mn-lt"/>
                              <a:ea typeface="+mn-ea"/>
                              <a:cs typeface="+mn-cs"/>
                            </a:defRPr>
                          </a:lvl4pPr>
                          <a:lvl5pPr marL="1828800" algn="l" rtl="0" fontAlgn="base">
                            <a:spcBef>
                              <a:spcPct val="0"/>
                            </a:spcBef>
                            <a:spcAft>
                              <a:spcPct val="0"/>
                            </a:spcAft>
                            <a:defRPr sz="2300" kern="1200">
                              <a:solidFill>
                                <a:schemeClr val="lt1"/>
                              </a:solidFill>
                              <a:latin typeface="+mn-lt"/>
                              <a:ea typeface="+mn-ea"/>
                              <a:cs typeface="+mn-cs"/>
                            </a:defRPr>
                          </a:lvl5pPr>
                          <a:lvl6pPr marL="2286000" algn="l" defTabSz="914400" rtl="0" eaLnBrk="1" latinLnBrk="0" hangingPunct="1">
                            <a:defRPr sz="2300" kern="1200">
                              <a:solidFill>
                                <a:schemeClr val="lt1"/>
                              </a:solidFill>
                              <a:latin typeface="+mn-lt"/>
                              <a:ea typeface="+mn-ea"/>
                              <a:cs typeface="+mn-cs"/>
                            </a:defRPr>
                          </a:lvl6pPr>
                          <a:lvl7pPr marL="2743200" algn="l" defTabSz="914400" rtl="0" eaLnBrk="1" latinLnBrk="0" hangingPunct="1">
                            <a:defRPr sz="2300" kern="1200">
                              <a:solidFill>
                                <a:schemeClr val="lt1"/>
                              </a:solidFill>
                              <a:latin typeface="+mn-lt"/>
                              <a:ea typeface="+mn-ea"/>
                              <a:cs typeface="+mn-cs"/>
                            </a:defRPr>
                          </a:lvl7pPr>
                          <a:lvl8pPr marL="3200400" algn="l" defTabSz="914400" rtl="0" eaLnBrk="1" latinLnBrk="0" hangingPunct="1">
                            <a:defRPr sz="2300" kern="1200">
                              <a:solidFill>
                                <a:schemeClr val="lt1"/>
                              </a:solidFill>
                              <a:latin typeface="+mn-lt"/>
                              <a:ea typeface="+mn-ea"/>
                              <a:cs typeface="+mn-cs"/>
                            </a:defRPr>
                          </a:lvl8pPr>
                          <a:lvl9pPr marL="3657600" algn="l" defTabSz="914400" rtl="0" eaLnBrk="1" latinLnBrk="0" hangingPunct="1">
                            <a:defRPr sz="2300" kern="1200">
                              <a:solidFill>
                                <a:schemeClr val="lt1"/>
                              </a:solidFill>
                              <a:latin typeface="+mn-lt"/>
                              <a:ea typeface="+mn-ea"/>
                              <a:cs typeface="+mn-cs"/>
                            </a:defRPr>
                          </a:lvl9pPr>
                        </a:lstStyle>
                        <a:p>
                          <a:pPr algn="ctr"/>
                          <a:r>
                            <a:rPr lang="en-US" sz="2000" b="1" dirty="0" smtClean="0">
                              <a:solidFill>
                                <a:schemeClr val="tx1"/>
                              </a:solidFill>
                              <a:latin typeface="Calibri" pitchFamily="34" charset="0"/>
                            </a:rPr>
                            <a:t>Build tools</a:t>
                          </a:r>
                          <a:endParaRPr lang="en-US" sz="2000" b="1" dirty="0">
                            <a:solidFill>
                              <a:schemeClr val="tx1"/>
                            </a:solidFill>
                            <a:latin typeface="Calibri" pitchFamily="34" charset="0"/>
                          </a:endParaRPr>
                        </a:p>
                      </a:txBody>
                      <a:useSpRect/>
                    </a:txSp>
                    <a:style>
                      <a:lnRef idx="0">
                        <a:schemeClr val="accent3"/>
                      </a:lnRef>
                      <a:fillRef idx="3">
                        <a:schemeClr val="accent3"/>
                      </a:fillRef>
                      <a:effectRef idx="3">
                        <a:schemeClr val="accent3"/>
                      </a:effectRef>
                      <a:fontRef idx="minor">
                        <a:schemeClr val="lt1"/>
                      </a:fontRef>
                    </a:style>
                  </a:sp>
                  <a:sp>
                    <a:nvSpPr>
                      <a:cNvPr id="37" name="TextBox 36"/>
                      <a:cNvSpPr txBox="1"/>
                    </a:nvSpPr>
                    <a:spPr>
                      <a:xfrm>
                        <a:off x="1338678" y="5004480"/>
                        <a:ext cx="4213008" cy="400110"/>
                      </a:xfrm>
                      <a:prstGeom prst="rect">
                        <a:avLst/>
                      </a:prstGeom>
                      <a:solidFill>
                        <a:schemeClr val="bg2">
                          <a:lumMod val="60000"/>
                          <a:lumOff val="40000"/>
                          <a:alpha val="46000"/>
                        </a:schemeClr>
                      </a:solidFill>
                      <a:ln>
                        <a:solidFill>
                          <a:schemeClr val="tx1"/>
                        </a:solidFill>
                        <a:headEnd type="none" w="med" len="med"/>
                        <a:tailEnd type="stealth" w="lg" len="lg"/>
                      </a:ln>
                      <a:effectLst/>
                      <a:scene3d>
                        <a:camera prst="orthographicFront">
                          <a:rot lat="0" lon="0" rev="0"/>
                        </a:camera>
                        <a:lightRig rig="threePt" dir="t">
                          <a:rot lat="0" lon="0" rev="1200000"/>
                        </a:lightRig>
                      </a:scene3d>
                      <a:sp3d/>
                    </a:spPr>
                    <a:txSp>
                      <a:txBody>
                        <a:bodyPr vert="horz" wrap="square" lIns="91440" tIns="45720" rIns="91440" bIns="45720" numCol="1" rtlCol="0" anchor="t" anchorCtr="0" compatLnSpc="1">
                          <a:prstTxWarp prst="textNoShape">
                            <a:avLst/>
                          </a:prstTxWarp>
                          <a:noAutofit/>
                        </a:bodyPr>
                        <a:lstStyle>
                          <a:defPPr>
                            <a:defRPr lang="en-US"/>
                          </a:defPPr>
                          <a:lvl1pPr algn="l" rtl="0" fontAlgn="base">
                            <a:spcBef>
                              <a:spcPct val="0"/>
                            </a:spcBef>
                            <a:spcAft>
                              <a:spcPct val="0"/>
                            </a:spcAft>
                            <a:defRPr sz="2300" kern="1200">
                              <a:solidFill>
                                <a:schemeClr val="lt1"/>
                              </a:solidFill>
                              <a:latin typeface="+mn-lt"/>
                              <a:ea typeface="+mn-ea"/>
                              <a:cs typeface="+mn-cs"/>
                            </a:defRPr>
                          </a:lvl1pPr>
                          <a:lvl2pPr marL="457200" algn="l" rtl="0" fontAlgn="base">
                            <a:spcBef>
                              <a:spcPct val="0"/>
                            </a:spcBef>
                            <a:spcAft>
                              <a:spcPct val="0"/>
                            </a:spcAft>
                            <a:defRPr sz="2300" kern="1200">
                              <a:solidFill>
                                <a:schemeClr val="lt1"/>
                              </a:solidFill>
                              <a:latin typeface="+mn-lt"/>
                              <a:ea typeface="+mn-ea"/>
                              <a:cs typeface="+mn-cs"/>
                            </a:defRPr>
                          </a:lvl2pPr>
                          <a:lvl3pPr marL="914400" algn="l" rtl="0" fontAlgn="base">
                            <a:spcBef>
                              <a:spcPct val="0"/>
                            </a:spcBef>
                            <a:spcAft>
                              <a:spcPct val="0"/>
                            </a:spcAft>
                            <a:defRPr sz="2300" kern="1200">
                              <a:solidFill>
                                <a:schemeClr val="lt1"/>
                              </a:solidFill>
                              <a:latin typeface="+mn-lt"/>
                              <a:ea typeface="+mn-ea"/>
                              <a:cs typeface="+mn-cs"/>
                            </a:defRPr>
                          </a:lvl3pPr>
                          <a:lvl4pPr marL="1371600" algn="l" rtl="0" fontAlgn="base">
                            <a:spcBef>
                              <a:spcPct val="0"/>
                            </a:spcBef>
                            <a:spcAft>
                              <a:spcPct val="0"/>
                            </a:spcAft>
                            <a:defRPr sz="2300" kern="1200">
                              <a:solidFill>
                                <a:schemeClr val="lt1"/>
                              </a:solidFill>
                              <a:latin typeface="+mn-lt"/>
                              <a:ea typeface="+mn-ea"/>
                              <a:cs typeface="+mn-cs"/>
                            </a:defRPr>
                          </a:lvl4pPr>
                          <a:lvl5pPr marL="1828800" algn="l" rtl="0" fontAlgn="base">
                            <a:spcBef>
                              <a:spcPct val="0"/>
                            </a:spcBef>
                            <a:spcAft>
                              <a:spcPct val="0"/>
                            </a:spcAft>
                            <a:defRPr sz="2300" kern="1200">
                              <a:solidFill>
                                <a:schemeClr val="lt1"/>
                              </a:solidFill>
                              <a:latin typeface="+mn-lt"/>
                              <a:ea typeface="+mn-ea"/>
                              <a:cs typeface="+mn-cs"/>
                            </a:defRPr>
                          </a:lvl5pPr>
                          <a:lvl6pPr marL="2286000" algn="l" defTabSz="914400" rtl="0" eaLnBrk="1" latinLnBrk="0" hangingPunct="1">
                            <a:defRPr sz="2300" kern="1200">
                              <a:solidFill>
                                <a:schemeClr val="lt1"/>
                              </a:solidFill>
                              <a:latin typeface="+mn-lt"/>
                              <a:ea typeface="+mn-ea"/>
                              <a:cs typeface="+mn-cs"/>
                            </a:defRPr>
                          </a:lvl6pPr>
                          <a:lvl7pPr marL="2743200" algn="l" defTabSz="914400" rtl="0" eaLnBrk="1" latinLnBrk="0" hangingPunct="1">
                            <a:defRPr sz="2300" kern="1200">
                              <a:solidFill>
                                <a:schemeClr val="lt1"/>
                              </a:solidFill>
                              <a:latin typeface="+mn-lt"/>
                              <a:ea typeface="+mn-ea"/>
                              <a:cs typeface="+mn-cs"/>
                            </a:defRPr>
                          </a:lvl7pPr>
                          <a:lvl8pPr marL="3200400" algn="l" defTabSz="914400" rtl="0" eaLnBrk="1" latinLnBrk="0" hangingPunct="1">
                            <a:defRPr sz="2300" kern="1200">
                              <a:solidFill>
                                <a:schemeClr val="lt1"/>
                              </a:solidFill>
                              <a:latin typeface="+mn-lt"/>
                              <a:ea typeface="+mn-ea"/>
                              <a:cs typeface="+mn-cs"/>
                            </a:defRPr>
                          </a:lvl8pPr>
                          <a:lvl9pPr marL="3657600" algn="l" defTabSz="914400" rtl="0" eaLnBrk="1" latinLnBrk="0" hangingPunct="1">
                            <a:defRPr sz="2300" kern="1200">
                              <a:solidFill>
                                <a:schemeClr val="lt1"/>
                              </a:solidFill>
                              <a:latin typeface="+mn-lt"/>
                              <a:ea typeface="+mn-ea"/>
                              <a:cs typeface="+mn-cs"/>
                            </a:defRPr>
                          </a:lvl9pPr>
                        </a:lstStyle>
                        <a:p>
                          <a:pPr algn="ctr"/>
                          <a:r>
                            <a:rPr lang="en-US" sz="2000" b="1" dirty="0" smtClean="0">
                              <a:solidFill>
                                <a:schemeClr val="tx1"/>
                              </a:solidFill>
                              <a:latin typeface="Calibri" pitchFamily="34" charset="0"/>
                            </a:rPr>
                            <a:t>Source code control tools</a:t>
                          </a:r>
                          <a:endParaRPr lang="en-US" sz="2000" b="1" dirty="0">
                            <a:solidFill>
                              <a:schemeClr val="tx1"/>
                            </a:solidFill>
                            <a:latin typeface="Calibri" pitchFamily="34" charset="0"/>
                          </a:endParaRPr>
                        </a:p>
                      </a:txBody>
                      <a:useSpRect/>
                    </a:txSp>
                    <a:style>
                      <a:lnRef idx="0">
                        <a:schemeClr val="accent3"/>
                      </a:lnRef>
                      <a:fillRef idx="3">
                        <a:schemeClr val="accent3"/>
                      </a:fillRef>
                      <a:effectRef idx="3">
                        <a:schemeClr val="accent3"/>
                      </a:effectRef>
                      <a:fontRef idx="minor">
                        <a:schemeClr val="lt1"/>
                      </a:fontRef>
                    </a:style>
                  </a:sp>
                  <a:cxnSp>
                    <a:nvCxnSpPr>
                      <a:cNvPr id="66" name="Straight Connector 65"/>
                      <a:cNvCxnSpPr/>
                    </a:nvCxnSpPr>
                    <a:spPr bwMode="auto">
                      <a:xfrm>
                        <a:off x="1361174" y="1638377"/>
                        <a:ext cx="6828358" cy="36086"/>
                      </a:xfrm>
                      <a:prstGeom prst="line">
                        <a:avLst/>
                      </a:prstGeom>
                      <a:noFill/>
                      <a:ln w="19050" cap="flat" cmpd="sng" algn="ctr">
                        <a:solidFill>
                          <a:schemeClr val="tx1"/>
                        </a:solidFill>
                        <a:prstDash val="sysDash"/>
                        <a:round/>
                        <a:headEnd type="none" w="med" len="med"/>
                        <a:tailEnd type="none" w="med" len="med"/>
                      </a:ln>
                      <a:effectLst/>
                    </a:spPr>
                  </a:cxnSp>
                </lc:lockedCanvas>
              </a:graphicData>
            </a:graphic>
          </wp:inline>
        </w:drawing>
      </w:r>
    </w:p>
    <w:p w:rsidR="00E04806" w:rsidRDefault="00680ADD" w:rsidP="00C5719C">
      <w:pPr>
        <w:pStyle w:val="Caption"/>
      </w:pPr>
      <w:r>
        <w:t xml:space="preserve">Figure </w:t>
      </w:r>
      <w:fldSimple w:instr=" SEQ Figure \* ARABIC ">
        <w:r>
          <w:rPr>
            <w:noProof/>
          </w:rPr>
          <w:t>1</w:t>
        </w:r>
      </w:fldSimple>
      <w:r>
        <w:t xml:space="preserve">: </w:t>
      </w:r>
      <w:r w:rsidR="00C96AA1">
        <w:t xml:space="preserve"> </w:t>
      </w:r>
      <w:r w:rsidR="00BC0D7D">
        <w:t xml:space="preserve">What began as separate tools have evolved into </w:t>
      </w:r>
      <w:r w:rsidR="00056391">
        <w:t xml:space="preserve">unified </w:t>
      </w:r>
      <w:r w:rsidR="00BC0D7D">
        <w:t>team development tools</w:t>
      </w:r>
      <w:r w:rsidR="001E17D3">
        <w:t>.</w:t>
      </w:r>
    </w:p>
    <w:p w:rsidR="00E04806" w:rsidRDefault="00547FD8" w:rsidP="00A56886">
      <w:r>
        <w:t>In the 1970s</w:t>
      </w:r>
      <w:r w:rsidR="00C874DA">
        <w:t xml:space="preserve">, all of the functions </w:t>
      </w:r>
      <w:r w:rsidR="003B4916">
        <w:t>performed</w:t>
      </w:r>
      <w:r w:rsidR="00C874DA">
        <w:t xml:space="preserve"> in the software development process were </w:t>
      </w:r>
      <w:r w:rsidR="007F2D05">
        <w:t>supported by</w:t>
      </w:r>
      <w:r w:rsidR="00C874DA">
        <w:t xml:space="preserve"> different tools. Developers created code using </w:t>
      </w:r>
      <w:r w:rsidR="00AD76B3">
        <w:t xml:space="preserve">an </w:t>
      </w:r>
      <w:r w:rsidR="00C874DA">
        <w:t xml:space="preserve">editor, then </w:t>
      </w:r>
      <w:r w:rsidR="00AD76B3">
        <w:t xml:space="preserve">explicitly invoked a separate compiler </w:t>
      </w:r>
      <w:r w:rsidR="00F77962">
        <w:t>when needed</w:t>
      </w:r>
      <w:r w:rsidR="00C874DA">
        <w:t xml:space="preserve">. Similarly, </w:t>
      </w:r>
      <w:r w:rsidR="008C0ED2">
        <w:t xml:space="preserve">the </w:t>
      </w:r>
      <w:r w:rsidR="002D221F">
        <w:t>tools used to build</w:t>
      </w:r>
      <w:r w:rsidR="00F77962">
        <w:t xml:space="preserve"> </w:t>
      </w:r>
      <w:r w:rsidR="0088153C">
        <w:t>complete</w:t>
      </w:r>
      <w:r w:rsidR="002D221F">
        <w:t xml:space="preserve"> executables, test code, and manage versions of </w:t>
      </w:r>
      <w:r w:rsidR="00621C50">
        <w:t>that</w:t>
      </w:r>
      <w:r w:rsidR="002D221F">
        <w:t xml:space="preserve"> code </w:t>
      </w:r>
      <w:r w:rsidR="00C874DA">
        <w:t xml:space="preserve">were all </w:t>
      </w:r>
      <w:r w:rsidR="002D221F">
        <w:t>distinct from one another</w:t>
      </w:r>
      <w:r w:rsidR="00C874DA">
        <w:t>.</w:t>
      </w:r>
    </w:p>
    <w:p w:rsidR="00C874DA" w:rsidRDefault="00786AF6" w:rsidP="00A56886">
      <w:r>
        <w:rPr>
          <w:noProof/>
          <w:lang w:bidi="ar-SA"/>
        </w:rPr>
        <w:pict>
          <v:shapetype id="_x0000_t202" coordsize="21600,21600" o:spt="202" path="m,l,21600r21600,l21600,xe">
            <v:stroke joinstyle="miter"/>
            <v:path gradientshapeok="t" o:connecttype="rect"/>
          </v:shapetype>
          <v:shape id="_x0000_s1032" type="#_x0000_t202" style="position:absolute;margin-left:87.1pt;margin-top:575.5pt;width:136.4pt;height:101.75pt;z-index:251661312;mso-position-horizontal-relative:page;mso-position-vertical-relative:page;mso-width-relative:margin;v-text-anchor:middle" o:allowincell="f" filled="f" stroked="f" strokecolor="red" strokeweight="1.5pt">
            <v:textbox style="mso-next-textbox:#_x0000_s1032" inset="10.8pt,0,10.8pt,7.2pt">
              <w:txbxContent>
                <w:p w:rsidR="00C97596" w:rsidRPr="003B0157" w:rsidRDefault="00C97596" w:rsidP="00C97596">
                  <w:pPr>
                    <w:spacing w:after="0" w:line="360" w:lineRule="auto"/>
                    <w:jc w:val="center"/>
                    <w:rPr>
                      <w:rFonts w:asciiTheme="minorHAnsi" w:eastAsiaTheme="majorEastAsia" w:hAnsiTheme="minorHAnsi" w:cstheme="majorBidi"/>
                      <w:i/>
                      <w:iCs/>
                      <w:sz w:val="24"/>
                      <w:szCs w:val="28"/>
                    </w:rPr>
                  </w:pPr>
                  <w:r>
                    <w:rPr>
                      <w:rFonts w:asciiTheme="minorHAnsi" w:eastAsiaTheme="majorEastAsia" w:hAnsiTheme="minorHAnsi" w:cstheme="majorBidi"/>
                      <w:i/>
                      <w:iCs/>
                      <w:sz w:val="24"/>
                      <w:szCs w:val="28"/>
                    </w:rPr>
                    <w:t xml:space="preserve">Over </w:t>
                  </w:r>
                  <w:r w:rsidR="008C0ED2">
                    <w:rPr>
                      <w:rFonts w:asciiTheme="minorHAnsi" w:eastAsiaTheme="majorEastAsia" w:hAnsiTheme="minorHAnsi" w:cstheme="majorBidi"/>
                      <w:i/>
                      <w:iCs/>
                      <w:sz w:val="24"/>
                      <w:szCs w:val="28"/>
                    </w:rPr>
                    <w:t>time</w:t>
                  </w:r>
                  <w:r>
                    <w:rPr>
                      <w:rFonts w:asciiTheme="minorHAnsi" w:eastAsiaTheme="majorEastAsia" w:hAnsiTheme="minorHAnsi" w:cstheme="majorBidi"/>
                      <w:i/>
                      <w:iCs/>
                      <w:sz w:val="24"/>
                      <w:szCs w:val="28"/>
                    </w:rPr>
                    <w:t>, what were once separate tools for software development have been combined.</w:t>
                  </w:r>
                </w:p>
              </w:txbxContent>
            </v:textbox>
            <w10:wrap type="square" anchorx="page" anchory="page"/>
          </v:shape>
        </w:pict>
      </w:r>
      <w:r w:rsidR="008774B7">
        <w:t xml:space="preserve">Over </w:t>
      </w:r>
      <w:r w:rsidR="00B8029F">
        <w:t>time</w:t>
      </w:r>
      <w:r w:rsidR="008774B7">
        <w:t xml:space="preserve">, </w:t>
      </w:r>
      <w:r w:rsidR="00015FF7">
        <w:t>these</w:t>
      </w:r>
      <w:r w:rsidR="008774B7">
        <w:t xml:space="preserve"> separate tools for software development have been combined. </w:t>
      </w:r>
      <w:r w:rsidR="00C874DA">
        <w:t xml:space="preserve">In the early 1980s, editors and compilers were </w:t>
      </w:r>
      <w:r w:rsidR="00B81A47">
        <w:t>united</w:t>
      </w:r>
      <w:r w:rsidR="00C874DA">
        <w:t xml:space="preserve"> to form </w:t>
      </w:r>
      <w:r w:rsidR="00C874DA" w:rsidRPr="00C874DA">
        <w:rPr>
          <w:i/>
        </w:rPr>
        <w:t>integrated development environments (IDEs)</w:t>
      </w:r>
      <w:r w:rsidR="00C874DA">
        <w:t xml:space="preserve">. </w:t>
      </w:r>
      <w:r w:rsidR="00C800DF">
        <w:t xml:space="preserve">Developers loved IDEs—yoking these previously separate tools together meant, for example, that errors could be </w:t>
      </w:r>
      <w:r w:rsidR="008F5C63">
        <w:t>fixed</w:t>
      </w:r>
      <w:r w:rsidR="00C800DF">
        <w:t xml:space="preserve"> </w:t>
      </w:r>
      <w:r w:rsidR="008F5C63">
        <w:t>immediately right</w:t>
      </w:r>
      <w:r w:rsidR="00C800DF">
        <w:t xml:space="preserve"> in the source code—and so IDEs caught on quickly. C</w:t>
      </w:r>
      <w:r w:rsidR="008F121D">
        <w:t xml:space="preserve">ombining these two tools made </w:t>
      </w:r>
      <w:r w:rsidR="00C800DF">
        <w:t xml:space="preserve">sense, because it let developers be </w:t>
      </w:r>
      <w:r w:rsidR="008F121D">
        <w:t>significantly more productive.</w:t>
      </w:r>
    </w:p>
    <w:p w:rsidR="008F121D" w:rsidRDefault="0093760A" w:rsidP="00A56886">
      <w:r>
        <w:t xml:space="preserve">As </w:t>
      </w:r>
      <w:r w:rsidR="000F4E67">
        <w:t xml:space="preserve">build </w:t>
      </w:r>
      <w:r>
        <w:t>tools</w:t>
      </w:r>
      <w:r w:rsidR="000F4E67">
        <w:t>, test tools</w:t>
      </w:r>
      <w:r>
        <w:t xml:space="preserve">, and source code control </w:t>
      </w:r>
      <w:r w:rsidR="000F4E67">
        <w:t xml:space="preserve">tools </w:t>
      </w:r>
      <w:r>
        <w:t xml:space="preserve">became more widely used, it </w:t>
      </w:r>
      <w:r w:rsidR="007438EA">
        <w:t xml:space="preserve">also </w:t>
      </w:r>
      <w:r>
        <w:t xml:space="preserve">made sense to combine </w:t>
      </w:r>
      <w:r w:rsidR="005E3E90">
        <w:t>them</w:t>
      </w:r>
      <w:r>
        <w:t xml:space="preserve"> with one another and with IDEs. Just as </w:t>
      </w:r>
      <w:r w:rsidR="003808A9">
        <w:t>integrating</w:t>
      </w:r>
      <w:r>
        <w:t xml:space="preserve"> compilers </w:t>
      </w:r>
      <w:r w:rsidR="008C0ED2">
        <w:t xml:space="preserve">and </w:t>
      </w:r>
      <w:r>
        <w:t xml:space="preserve">editors allowed things that weren’t possible when the two were separate, </w:t>
      </w:r>
      <w:r w:rsidR="009933B5">
        <w:t>grouping</w:t>
      </w:r>
      <w:r>
        <w:t xml:space="preserve"> all of these tools </w:t>
      </w:r>
      <w:r w:rsidR="009933B5">
        <w:t xml:space="preserve">together </w:t>
      </w:r>
      <w:r w:rsidR="008C0ED2">
        <w:t>was also a step forward</w:t>
      </w:r>
      <w:r>
        <w:t xml:space="preserve">. The result was </w:t>
      </w:r>
      <w:r w:rsidRPr="009933B5">
        <w:rPr>
          <w:i/>
        </w:rPr>
        <w:t>team development tools</w:t>
      </w:r>
      <w:r>
        <w:t xml:space="preserve">, </w:t>
      </w:r>
      <w:r w:rsidR="009933B5">
        <w:t>an advance that began appearing in the 1990s.</w:t>
      </w:r>
    </w:p>
    <w:p w:rsidR="0071274D" w:rsidRDefault="00434DB9" w:rsidP="00F86075">
      <w:r>
        <w:lastRenderedPageBreak/>
        <w:t>Unlike</w:t>
      </w:r>
      <w:r w:rsidR="009933B5">
        <w:t xml:space="preserve"> IDEs, </w:t>
      </w:r>
      <w:r>
        <w:t xml:space="preserve">which caught on quickly, </w:t>
      </w:r>
      <w:r w:rsidR="003E01D7">
        <w:t xml:space="preserve">organizations were slower to embrace </w:t>
      </w:r>
      <w:r>
        <w:t>t</w:t>
      </w:r>
      <w:r w:rsidR="009933B5">
        <w:t>eam development tools</w:t>
      </w:r>
      <w:r>
        <w:t xml:space="preserve">. </w:t>
      </w:r>
      <w:r w:rsidR="002302DC">
        <w:t>This slowness was partly because</w:t>
      </w:r>
      <w:r w:rsidR="00554F72">
        <w:t xml:space="preserve"> </w:t>
      </w:r>
      <w:r>
        <w:t>this kind of unified tool is</w:t>
      </w:r>
      <w:r w:rsidR="00554F72">
        <w:t xml:space="preserve"> harder to adopt</w:t>
      </w:r>
      <w:r>
        <w:t xml:space="preserve"> than an IDE</w:t>
      </w:r>
      <w:r w:rsidR="00554F72">
        <w:t>. Moving from a separate editor and co</w:t>
      </w:r>
      <w:r w:rsidR="00EF50F0">
        <w:t>mpiler to a unified IDE required</w:t>
      </w:r>
      <w:r w:rsidR="00554F72">
        <w:t xml:space="preserve"> only individual developers to change—it’s easy. Moving from separate tools for writing and compiling code, doing builds, testing, and source code control is significantly harder. More people have to change—not just developers—</w:t>
      </w:r>
      <w:r w:rsidR="00EE4127">
        <w:t xml:space="preserve">and </w:t>
      </w:r>
      <w:r w:rsidR="00554F72">
        <w:t xml:space="preserve">more important, the development process itself must change. </w:t>
      </w:r>
    </w:p>
    <w:p w:rsidR="00554F72" w:rsidRDefault="00554F72" w:rsidP="00F86075">
      <w:r>
        <w:t xml:space="preserve">Making this kind of </w:t>
      </w:r>
      <w:r w:rsidR="00EE4EAD">
        <w:t xml:space="preserve">process </w:t>
      </w:r>
      <w:r>
        <w:t xml:space="preserve">change can be </w:t>
      </w:r>
      <w:r w:rsidR="00EE4EAD">
        <w:t>challenging</w:t>
      </w:r>
      <w:r w:rsidR="00E579FD">
        <w:t xml:space="preserve">, </w:t>
      </w:r>
      <w:r w:rsidR="00DC7D88">
        <w:t>creating</w:t>
      </w:r>
      <w:r w:rsidR="00E579FD">
        <w:t xml:space="preserve"> various kinds of resistance</w:t>
      </w:r>
      <w:r>
        <w:t xml:space="preserve">. </w:t>
      </w:r>
      <w:r w:rsidR="00E579FD">
        <w:t>For example,</w:t>
      </w:r>
      <w:r>
        <w:t xml:space="preserve"> </w:t>
      </w:r>
      <w:r w:rsidR="008563AD">
        <w:t xml:space="preserve">one of the </w:t>
      </w:r>
      <w:r w:rsidR="00F54551">
        <w:t xml:space="preserve">most appealing </w:t>
      </w:r>
      <w:r w:rsidR="008563AD">
        <w:t xml:space="preserve">benefits of </w:t>
      </w:r>
      <w:r>
        <w:t xml:space="preserve">team development tools </w:t>
      </w:r>
      <w:r w:rsidR="008563AD">
        <w:t>is that they can</w:t>
      </w:r>
      <w:r>
        <w:t xml:space="preserve"> </w:t>
      </w:r>
      <w:r w:rsidR="00F54551">
        <w:t xml:space="preserve">automatically </w:t>
      </w:r>
      <w:r>
        <w:t>track information about the development process,</w:t>
      </w:r>
      <w:r w:rsidR="00E579FD">
        <w:t xml:space="preserve"> then </w:t>
      </w:r>
      <w:r w:rsidR="00F54551">
        <w:t>generate</w:t>
      </w:r>
      <w:r w:rsidR="00E579FD">
        <w:t xml:space="preserve"> reports on a project’s progress. While this </w:t>
      </w:r>
      <w:r w:rsidR="00320ED0">
        <w:t xml:space="preserve">transparency </w:t>
      </w:r>
      <w:r w:rsidR="00E579FD">
        <w:t xml:space="preserve">is a great boon for </w:t>
      </w:r>
      <w:r w:rsidR="00F508B1">
        <w:t>the people who manage the project</w:t>
      </w:r>
      <w:r w:rsidR="00E579FD">
        <w:t>, it also means that</w:t>
      </w:r>
      <w:r>
        <w:t xml:space="preserve"> people on the dev team have nowhere to hide. If</w:t>
      </w:r>
      <w:r w:rsidR="006240FA">
        <w:t xml:space="preserve"> </w:t>
      </w:r>
      <w:r w:rsidR="005D17DB">
        <w:t>a developer hasn’</w:t>
      </w:r>
      <w:r w:rsidR="006240FA">
        <w:t>t checked in any new code in the last</w:t>
      </w:r>
      <w:r w:rsidR="005D17DB">
        <w:t xml:space="preserve"> week</w:t>
      </w:r>
      <w:r>
        <w:t xml:space="preserve">, </w:t>
      </w:r>
      <w:r w:rsidR="00EB481E">
        <w:t>this problem will show</w:t>
      </w:r>
      <w:r>
        <w:t xml:space="preserve"> up quickly.</w:t>
      </w:r>
    </w:p>
    <w:p w:rsidR="00A96205" w:rsidRDefault="00A96205" w:rsidP="00A96205">
      <w:r>
        <w:t xml:space="preserve">There’s also another important reason why organizations have been slow to adopt team development tools: The tools weren’t initially as valuable as they might have been. In fact, it’s fair to say that, as in most new areas, the real problem wasn’t fully understood at the beginning. </w:t>
      </w:r>
    </w:p>
    <w:p w:rsidR="00A23B4D" w:rsidRDefault="00A23B4D" w:rsidP="00A23B4D">
      <w:pPr>
        <w:pStyle w:val="Heading1"/>
      </w:pPr>
      <w:r>
        <w:t>The Real Problem: Optimizing End-to-End Flow</w:t>
      </w:r>
    </w:p>
    <w:p w:rsidR="0018164B" w:rsidRDefault="00B62875" w:rsidP="00B2347B">
      <w:r>
        <w:t>When</w:t>
      </w:r>
      <w:r w:rsidR="00440756">
        <w:t xml:space="preserve"> </w:t>
      </w:r>
      <w:r>
        <w:t xml:space="preserve">vendors </w:t>
      </w:r>
      <w:r w:rsidR="00572E37">
        <w:t xml:space="preserve">(and open source projects) </w:t>
      </w:r>
      <w:r>
        <w:t xml:space="preserve">first created </w:t>
      </w:r>
      <w:r w:rsidR="00440756">
        <w:t>team development tools</w:t>
      </w:r>
      <w:r>
        <w:t>, they commonly built or acquired</w:t>
      </w:r>
      <w:r w:rsidR="00440756">
        <w:t xml:space="preserve"> the best tool</w:t>
      </w:r>
      <w:r w:rsidR="00083A56">
        <w:t xml:space="preserve"> they could</w:t>
      </w:r>
      <w:r w:rsidR="00440756">
        <w:t xml:space="preserve"> for each area: development, testing, </w:t>
      </w:r>
      <w:r w:rsidR="006D4DBE">
        <w:t xml:space="preserve">source code control, </w:t>
      </w:r>
      <w:r w:rsidR="00440756">
        <w:t>and so on. This kind of point optimization led to some excellent tools, but it didn’t solve the real problem.</w:t>
      </w:r>
      <w:r w:rsidR="001211C1">
        <w:t xml:space="preserve"> </w:t>
      </w:r>
      <w:r w:rsidR="002871A7">
        <w:t xml:space="preserve">The </w:t>
      </w:r>
      <w:r w:rsidR="001211C1">
        <w:t xml:space="preserve">goal in team-based </w:t>
      </w:r>
      <w:r w:rsidR="00F86075" w:rsidRPr="00F86075">
        <w:t>software development isn’t optimizing</w:t>
      </w:r>
      <w:r w:rsidR="009116E3">
        <w:t xml:space="preserve"> separate parts of the process—it’s </w:t>
      </w:r>
      <w:r w:rsidR="00F86075" w:rsidRPr="00F86075">
        <w:t xml:space="preserve">optimizing the process as a whole. </w:t>
      </w:r>
    </w:p>
    <w:p w:rsidR="0018164B" w:rsidRDefault="0018164B" w:rsidP="0018164B">
      <w:r>
        <w:t xml:space="preserve">To see why this is so important, think of a manufacturing process where a part takes three hours to manufacture, then sits in a warehouse for three weeks waiting to be shipped to a customer. Cutting the manufacturing time in half won’t make the customer any happier—what needs to be optimized is the end-to-end flow. Similarly, an organization that improves how its developers write and compile software won’t see much benefit if testing doesn’t also </w:t>
      </w:r>
      <w:r w:rsidR="00AF74C5">
        <w:t>get better</w:t>
      </w:r>
      <w:r>
        <w:t xml:space="preserve">. By providing a cohesive environment for creating software, team development tools </w:t>
      </w:r>
      <w:r w:rsidR="00AE1501">
        <w:t>can help</w:t>
      </w:r>
      <w:r>
        <w:t xml:space="preserve"> optimize the entire process, not just its individual components.</w:t>
      </w:r>
    </w:p>
    <w:p w:rsidR="0018164B" w:rsidRDefault="0018164B" w:rsidP="00B2347B">
      <w:r>
        <w:t xml:space="preserve">This idea becomes even more important </w:t>
      </w:r>
      <w:r w:rsidR="00A23F7F">
        <w:t>given</w:t>
      </w:r>
      <w:r>
        <w:t xml:space="preserve"> how software development has changed over the last few decades. Developers once waited an hour or more to get the results of compiling new code, then waited days or weeks for meaningful test results. Today, creating, compiling, and testing code happen continually—the cycles are much shorter—and the transitions between them are more frequent. Making the process better requires making these transitions as smooth as possible.</w:t>
      </w:r>
    </w:p>
    <w:p w:rsidR="005C5F82" w:rsidRPr="00643DED" w:rsidRDefault="00F86075" w:rsidP="00B2347B">
      <w:r w:rsidRPr="00F86075">
        <w:t xml:space="preserve">Doing </w:t>
      </w:r>
      <w:r w:rsidR="00A23F7F">
        <w:t xml:space="preserve">all of </w:t>
      </w:r>
      <w:r w:rsidRPr="00F86075">
        <w:t xml:space="preserve">this requires tools that work together well, with a common way to </w:t>
      </w:r>
      <w:r w:rsidR="005A7661">
        <w:t>share</w:t>
      </w:r>
      <w:r w:rsidRPr="00F86075">
        <w:t xml:space="preserve"> information </w:t>
      </w:r>
      <w:r w:rsidR="007F38F3">
        <w:t>across different aspects of the</w:t>
      </w:r>
      <w:r w:rsidRPr="00F86075">
        <w:t xml:space="preserve"> process. </w:t>
      </w:r>
      <w:r w:rsidR="00B12C21">
        <w:t>Just g</w:t>
      </w:r>
      <w:r w:rsidR="00B2347B">
        <w:t xml:space="preserve">luing together </w:t>
      </w:r>
      <w:r w:rsidR="00B12C21">
        <w:t>good</w:t>
      </w:r>
      <w:r w:rsidR="00B2347B">
        <w:t xml:space="preserve"> tools in each area won’t </w:t>
      </w:r>
      <w:r w:rsidR="002D523D">
        <w:t>work</w:t>
      </w:r>
      <w:r w:rsidR="00B2347B">
        <w:t xml:space="preserve">. </w:t>
      </w:r>
      <w:r w:rsidR="00B45982">
        <w:t>W</w:t>
      </w:r>
      <w:r w:rsidR="00B2347B">
        <w:t xml:space="preserve">hat’s required is </w:t>
      </w:r>
      <w:r w:rsidR="00C31336">
        <w:t>an approach</w:t>
      </w:r>
      <w:r w:rsidR="00B2347B">
        <w:t xml:space="preserve"> like </w:t>
      </w:r>
      <w:r w:rsidR="0058028B">
        <w:t>that</w:t>
      </w:r>
      <w:r w:rsidR="00B2347B">
        <w:t xml:space="preserve"> shown in Figure 2.</w:t>
      </w:r>
    </w:p>
    <w:p w:rsidR="00A56886" w:rsidRDefault="00A56886" w:rsidP="00782A19"/>
    <w:p w:rsidR="001F010D" w:rsidRDefault="00486D1C" w:rsidP="0022423D">
      <w:pPr>
        <w:keepNext/>
        <w:jc w:val="center"/>
        <w:rPr>
          <w:b/>
          <w:bCs/>
        </w:rPr>
      </w:pPr>
      <w:r w:rsidRPr="00486D1C">
        <w:rPr>
          <w:noProof/>
          <w:lang w:bidi="ar-SA"/>
        </w:rPr>
        <w:lastRenderedPageBreak/>
        <w:drawing>
          <wp:inline distT="0" distB="0" distL="0" distR="0">
            <wp:extent cx="5188966" cy="3677055"/>
            <wp:effectExtent l="19050" t="0" r="0" b="0"/>
            <wp:docPr id="17" name="Object 1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438039" cy="5958315"/>
                      <a:chOff x="326669" y="743056"/>
                      <a:chExt cx="8438039" cy="5958315"/>
                    </a:xfrm>
                  </a:grpSpPr>
                  <a:sp>
                    <a:nvSpPr>
                      <a:cNvPr id="116" name="Folded Corner 115"/>
                      <a:cNvSpPr/>
                    </a:nvSpPr>
                    <a:spPr bwMode="auto">
                      <a:xfrm>
                        <a:off x="2627457" y="2934691"/>
                        <a:ext cx="1209951" cy="523794"/>
                      </a:xfrm>
                      <a:prstGeom prst="foldedCorner">
                        <a:avLst/>
                      </a:prstGeom>
                      <a:noFill/>
                      <a:ln w="19050" cap="flat" cmpd="sng" algn="ctr">
                        <a:solidFill>
                          <a:schemeClr val="tx1"/>
                        </a:solidFill>
                        <a:prstDash val="solid"/>
                        <a:round/>
                        <a:headEnd type="none" w="med" len="med"/>
                        <a:tailEnd type="none" w="med" len="med"/>
                      </a:ln>
                      <a:effectLst/>
                    </a:spPr>
                    <a:txSp>
                      <a:txBody>
                        <a:bodyPr vert="horz" wrap="none" lIns="91440" tIns="45720" rIns="91440" bIns="45720" numCol="1" rtlCol="0" anchor="ctr" anchorCtr="0" compatLnSpc="1">
                          <a:prstTxWarp prst="textNoShape">
                            <a:avLst/>
                          </a:prstTxWarp>
                          <a:noAutofit/>
                        </a:bodyPr>
                        <a:lstStyle>
                          <a:defPPr>
                            <a:defRPr lang="en-US"/>
                          </a:defPPr>
                          <a:lvl1pPr algn="l" rtl="0" fontAlgn="base">
                            <a:spcBef>
                              <a:spcPct val="0"/>
                            </a:spcBef>
                            <a:spcAft>
                              <a:spcPct val="0"/>
                            </a:spcAft>
                            <a:defRPr sz="2300" kern="1200">
                              <a:solidFill>
                                <a:schemeClr val="tx1"/>
                              </a:solidFill>
                              <a:latin typeface="Arial" charset="0"/>
                              <a:ea typeface="+mn-ea"/>
                              <a:cs typeface="+mn-cs"/>
                            </a:defRPr>
                          </a:lvl1pPr>
                          <a:lvl2pPr marL="457200" algn="l" rtl="0" fontAlgn="base">
                            <a:spcBef>
                              <a:spcPct val="0"/>
                            </a:spcBef>
                            <a:spcAft>
                              <a:spcPct val="0"/>
                            </a:spcAft>
                            <a:defRPr sz="2300" kern="1200">
                              <a:solidFill>
                                <a:schemeClr val="tx1"/>
                              </a:solidFill>
                              <a:latin typeface="Arial" charset="0"/>
                              <a:ea typeface="+mn-ea"/>
                              <a:cs typeface="+mn-cs"/>
                            </a:defRPr>
                          </a:lvl2pPr>
                          <a:lvl3pPr marL="914400" algn="l" rtl="0" fontAlgn="base">
                            <a:spcBef>
                              <a:spcPct val="0"/>
                            </a:spcBef>
                            <a:spcAft>
                              <a:spcPct val="0"/>
                            </a:spcAft>
                            <a:defRPr sz="2300" kern="1200">
                              <a:solidFill>
                                <a:schemeClr val="tx1"/>
                              </a:solidFill>
                              <a:latin typeface="Arial" charset="0"/>
                              <a:ea typeface="+mn-ea"/>
                              <a:cs typeface="+mn-cs"/>
                            </a:defRPr>
                          </a:lvl3pPr>
                          <a:lvl4pPr marL="1371600" algn="l" rtl="0" fontAlgn="base">
                            <a:spcBef>
                              <a:spcPct val="0"/>
                            </a:spcBef>
                            <a:spcAft>
                              <a:spcPct val="0"/>
                            </a:spcAft>
                            <a:defRPr sz="2300" kern="1200">
                              <a:solidFill>
                                <a:schemeClr val="tx1"/>
                              </a:solidFill>
                              <a:latin typeface="Arial" charset="0"/>
                              <a:ea typeface="+mn-ea"/>
                              <a:cs typeface="+mn-cs"/>
                            </a:defRPr>
                          </a:lvl4pPr>
                          <a:lvl5pPr marL="1828800" algn="l" rtl="0" fontAlgn="base">
                            <a:spcBef>
                              <a:spcPct val="0"/>
                            </a:spcBef>
                            <a:spcAft>
                              <a:spcPct val="0"/>
                            </a:spcAft>
                            <a:defRPr sz="2300" kern="1200">
                              <a:solidFill>
                                <a:schemeClr val="tx1"/>
                              </a:solidFill>
                              <a:latin typeface="Arial" charset="0"/>
                              <a:ea typeface="+mn-ea"/>
                              <a:cs typeface="+mn-cs"/>
                            </a:defRPr>
                          </a:lvl5pPr>
                          <a:lvl6pPr marL="2286000" algn="l" defTabSz="914400" rtl="0" eaLnBrk="1" latinLnBrk="0" hangingPunct="1">
                            <a:defRPr sz="2300" kern="1200">
                              <a:solidFill>
                                <a:schemeClr val="tx1"/>
                              </a:solidFill>
                              <a:latin typeface="Arial" charset="0"/>
                              <a:ea typeface="+mn-ea"/>
                              <a:cs typeface="+mn-cs"/>
                            </a:defRPr>
                          </a:lvl6pPr>
                          <a:lvl7pPr marL="2743200" algn="l" defTabSz="914400" rtl="0" eaLnBrk="1" latinLnBrk="0" hangingPunct="1">
                            <a:defRPr sz="2300" kern="1200">
                              <a:solidFill>
                                <a:schemeClr val="tx1"/>
                              </a:solidFill>
                              <a:latin typeface="Arial" charset="0"/>
                              <a:ea typeface="+mn-ea"/>
                              <a:cs typeface="+mn-cs"/>
                            </a:defRPr>
                          </a:lvl7pPr>
                          <a:lvl8pPr marL="3200400" algn="l" defTabSz="914400" rtl="0" eaLnBrk="1" latinLnBrk="0" hangingPunct="1">
                            <a:defRPr sz="2300" kern="1200">
                              <a:solidFill>
                                <a:schemeClr val="tx1"/>
                              </a:solidFill>
                              <a:latin typeface="Arial" charset="0"/>
                              <a:ea typeface="+mn-ea"/>
                              <a:cs typeface="+mn-cs"/>
                            </a:defRPr>
                          </a:lvl8pPr>
                          <a:lvl9pPr marL="3657600" algn="l" defTabSz="914400" rtl="0" eaLnBrk="1" latinLnBrk="0" hangingPunct="1">
                            <a:defRPr sz="23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i="0" u="none" strike="noStrike" cap="none" normalizeH="0" baseline="0" smtClean="0">
                            <a:ln>
                              <a:noFill/>
                            </a:ln>
                            <a:solidFill>
                              <a:schemeClr val="tx1"/>
                            </a:solidFill>
                            <a:effectLst/>
                            <a:latin typeface="Arial" charset="0"/>
                          </a:endParaRPr>
                        </a:p>
                      </a:txBody>
                      <a:useSpRect/>
                    </a:txSp>
                  </a:sp>
                  <a:sp>
                    <a:nvSpPr>
                      <a:cNvPr id="101" name="Rectangle 100"/>
                      <a:cNvSpPr/>
                    </a:nvSpPr>
                    <a:spPr bwMode="auto">
                      <a:xfrm>
                        <a:off x="2153678" y="2606515"/>
                        <a:ext cx="4974232" cy="2130549"/>
                      </a:xfrm>
                      <a:prstGeom prst="rect">
                        <a:avLst/>
                      </a:prstGeom>
                      <a:noFill/>
                      <a:ln w="47625">
                        <a:solidFill>
                          <a:schemeClr val="bg2">
                            <a:lumMod val="75000"/>
                          </a:schemeClr>
                        </a:solidFill>
                        <a:prstDash val="sysDash"/>
                        <a:headEnd type="none" w="med" len="med"/>
                        <a:tailEnd type="stealth" w="lg" len="lg"/>
                      </a:ln>
                      <a:effectLst/>
                      <a:scene3d>
                        <a:camera prst="orthographicFront" fov="0">
                          <a:rot lat="0" lon="0" rev="0"/>
                        </a:camera>
                        <a:lightRig rig="soft" dir="tl">
                          <a:rot lat="0" lon="0" rev="20100000"/>
                        </a:lightRig>
                      </a:scene3d>
                      <a:sp3d/>
                    </a:spPr>
                    <a:txSp>
                      <a:txBody>
                        <a:bodyPr vert="horz" wrap="none" lIns="91440" tIns="45720" rIns="91440" bIns="45720" numCol="1" rtlCol="0" anchor="t" anchorCtr="0" compatLnSpc="1">
                          <a:prstTxWarp prst="textNoShape">
                            <a:avLst/>
                          </a:prstTxWarp>
                          <a:noAutofit/>
                        </a:bodyPr>
                        <a:lstStyle>
                          <a:defPPr>
                            <a:defRPr lang="en-US"/>
                          </a:defPPr>
                          <a:lvl1pPr algn="l" rtl="0" fontAlgn="base">
                            <a:spcBef>
                              <a:spcPct val="0"/>
                            </a:spcBef>
                            <a:spcAft>
                              <a:spcPct val="0"/>
                            </a:spcAft>
                            <a:defRPr sz="2300" kern="1200">
                              <a:solidFill>
                                <a:schemeClr val="lt1"/>
                              </a:solidFill>
                              <a:latin typeface="+mn-lt"/>
                              <a:ea typeface="+mn-ea"/>
                              <a:cs typeface="+mn-cs"/>
                            </a:defRPr>
                          </a:lvl1pPr>
                          <a:lvl2pPr marL="457200" algn="l" rtl="0" fontAlgn="base">
                            <a:spcBef>
                              <a:spcPct val="0"/>
                            </a:spcBef>
                            <a:spcAft>
                              <a:spcPct val="0"/>
                            </a:spcAft>
                            <a:defRPr sz="2300" kern="1200">
                              <a:solidFill>
                                <a:schemeClr val="lt1"/>
                              </a:solidFill>
                              <a:latin typeface="+mn-lt"/>
                              <a:ea typeface="+mn-ea"/>
                              <a:cs typeface="+mn-cs"/>
                            </a:defRPr>
                          </a:lvl2pPr>
                          <a:lvl3pPr marL="914400" algn="l" rtl="0" fontAlgn="base">
                            <a:spcBef>
                              <a:spcPct val="0"/>
                            </a:spcBef>
                            <a:spcAft>
                              <a:spcPct val="0"/>
                            </a:spcAft>
                            <a:defRPr sz="2300" kern="1200">
                              <a:solidFill>
                                <a:schemeClr val="lt1"/>
                              </a:solidFill>
                              <a:latin typeface="+mn-lt"/>
                              <a:ea typeface="+mn-ea"/>
                              <a:cs typeface="+mn-cs"/>
                            </a:defRPr>
                          </a:lvl3pPr>
                          <a:lvl4pPr marL="1371600" algn="l" rtl="0" fontAlgn="base">
                            <a:spcBef>
                              <a:spcPct val="0"/>
                            </a:spcBef>
                            <a:spcAft>
                              <a:spcPct val="0"/>
                            </a:spcAft>
                            <a:defRPr sz="2300" kern="1200">
                              <a:solidFill>
                                <a:schemeClr val="lt1"/>
                              </a:solidFill>
                              <a:latin typeface="+mn-lt"/>
                              <a:ea typeface="+mn-ea"/>
                              <a:cs typeface="+mn-cs"/>
                            </a:defRPr>
                          </a:lvl4pPr>
                          <a:lvl5pPr marL="1828800" algn="l" rtl="0" fontAlgn="base">
                            <a:spcBef>
                              <a:spcPct val="0"/>
                            </a:spcBef>
                            <a:spcAft>
                              <a:spcPct val="0"/>
                            </a:spcAft>
                            <a:defRPr sz="2300" kern="1200">
                              <a:solidFill>
                                <a:schemeClr val="lt1"/>
                              </a:solidFill>
                              <a:latin typeface="+mn-lt"/>
                              <a:ea typeface="+mn-ea"/>
                              <a:cs typeface="+mn-cs"/>
                            </a:defRPr>
                          </a:lvl5pPr>
                          <a:lvl6pPr marL="2286000" algn="l" defTabSz="914400" rtl="0" eaLnBrk="1" latinLnBrk="0" hangingPunct="1">
                            <a:defRPr sz="2300" kern="1200">
                              <a:solidFill>
                                <a:schemeClr val="lt1"/>
                              </a:solidFill>
                              <a:latin typeface="+mn-lt"/>
                              <a:ea typeface="+mn-ea"/>
                              <a:cs typeface="+mn-cs"/>
                            </a:defRPr>
                          </a:lvl6pPr>
                          <a:lvl7pPr marL="2743200" algn="l" defTabSz="914400" rtl="0" eaLnBrk="1" latinLnBrk="0" hangingPunct="1">
                            <a:defRPr sz="2300" kern="1200">
                              <a:solidFill>
                                <a:schemeClr val="lt1"/>
                              </a:solidFill>
                              <a:latin typeface="+mn-lt"/>
                              <a:ea typeface="+mn-ea"/>
                              <a:cs typeface="+mn-cs"/>
                            </a:defRPr>
                          </a:lvl7pPr>
                          <a:lvl8pPr marL="3200400" algn="l" defTabSz="914400" rtl="0" eaLnBrk="1" latinLnBrk="0" hangingPunct="1">
                            <a:defRPr sz="2300" kern="1200">
                              <a:solidFill>
                                <a:schemeClr val="lt1"/>
                              </a:solidFill>
                              <a:latin typeface="+mn-lt"/>
                              <a:ea typeface="+mn-ea"/>
                              <a:cs typeface="+mn-cs"/>
                            </a:defRPr>
                          </a:lvl8pPr>
                          <a:lvl9pPr marL="3657600" algn="l" defTabSz="914400" rtl="0" eaLnBrk="1" latinLnBrk="0" hangingPunct="1">
                            <a:defRPr sz="2300" kern="1200">
                              <a:solidFill>
                                <a:schemeClr val="lt1"/>
                              </a:solidFill>
                              <a:latin typeface="+mn-lt"/>
                              <a:ea typeface="+mn-ea"/>
                              <a:cs typeface="+mn-cs"/>
                            </a:defRPr>
                          </a:lvl9pPr>
                        </a:lstStyle>
                        <a:p>
                          <a:endParaRPr lang="en-US"/>
                        </a:p>
                      </a:txBody>
                      <a:useSpRect/>
                    </a:txSp>
                    <a:style>
                      <a:lnRef idx="0">
                        <a:schemeClr val="accent3"/>
                      </a:lnRef>
                      <a:fillRef idx="3">
                        <a:schemeClr val="accent3"/>
                      </a:fillRef>
                      <a:effectRef idx="3">
                        <a:schemeClr val="accent3"/>
                      </a:effectRef>
                      <a:fontRef idx="minor">
                        <a:schemeClr val="lt1"/>
                      </a:fontRef>
                    </a:style>
                  </a:sp>
                  <a:sp>
                    <a:nvSpPr>
                      <a:cNvPr id="95" name="Text Box 27"/>
                      <a:cNvSpPr txBox="1">
                        <a:spLocks noChangeArrowheads="1"/>
                      </a:cNvSpPr>
                    </a:nvSpPr>
                    <a:spPr bwMode="auto">
                      <a:xfrm>
                        <a:off x="7756053" y="2166903"/>
                        <a:ext cx="648524" cy="584775"/>
                      </a:xfrm>
                      <a:prstGeom prst="rect">
                        <a:avLst/>
                      </a:prstGeom>
                      <a:solidFill>
                        <a:schemeClr val="bg2">
                          <a:lumMod val="40000"/>
                          <a:lumOff val="60000"/>
                        </a:schemeClr>
                      </a:solidFill>
                      <a:ln>
                        <a:solidFill>
                          <a:schemeClr val="tx1"/>
                        </a:solidFill>
                        <a:headEnd type="none" w="med" len="med"/>
                        <a:tailEnd type="stealth" w="lg" len="lg"/>
                      </a:ln>
                      <a:effectLst/>
                      <a:scene3d>
                        <a:camera prst="orthographicFront">
                          <a:rot lat="0" lon="0" rev="0"/>
                        </a:camera>
                        <a:lightRig rig="threePt" dir="t">
                          <a:rot lat="0" lon="0" rev="1200000"/>
                        </a:lightRig>
                      </a:scene3d>
                      <a:sp3d/>
                    </a:spPr>
                    <a:txSp>
                      <a:txBody>
                        <a:bodyPr vert="horz" wrap="square" lIns="91440" tIns="45720" rIns="91440" bIns="45720" numCol="1" rtlCol="0" anchor="t" anchorCtr="0" compatLnSpc="1">
                          <a:prstTxWarp prst="textNoShape">
                            <a:avLst/>
                          </a:prstTxWarp>
                          <a:noAutofit/>
                        </a:bodyPr>
                        <a:lstStyle>
                          <a:defPPr>
                            <a:defRPr lang="en-US"/>
                          </a:defPPr>
                          <a:lvl1pPr algn="l" rtl="0" fontAlgn="base">
                            <a:spcBef>
                              <a:spcPct val="0"/>
                            </a:spcBef>
                            <a:spcAft>
                              <a:spcPct val="0"/>
                            </a:spcAft>
                            <a:defRPr sz="2300" kern="1200">
                              <a:solidFill>
                                <a:schemeClr val="lt1"/>
                              </a:solidFill>
                              <a:latin typeface="+mn-lt"/>
                              <a:ea typeface="+mn-ea"/>
                              <a:cs typeface="+mn-cs"/>
                            </a:defRPr>
                          </a:lvl1pPr>
                          <a:lvl2pPr marL="457200" algn="l" rtl="0" fontAlgn="base">
                            <a:spcBef>
                              <a:spcPct val="0"/>
                            </a:spcBef>
                            <a:spcAft>
                              <a:spcPct val="0"/>
                            </a:spcAft>
                            <a:defRPr sz="2300" kern="1200">
                              <a:solidFill>
                                <a:schemeClr val="lt1"/>
                              </a:solidFill>
                              <a:latin typeface="+mn-lt"/>
                              <a:ea typeface="+mn-ea"/>
                              <a:cs typeface="+mn-cs"/>
                            </a:defRPr>
                          </a:lvl2pPr>
                          <a:lvl3pPr marL="914400" algn="l" rtl="0" fontAlgn="base">
                            <a:spcBef>
                              <a:spcPct val="0"/>
                            </a:spcBef>
                            <a:spcAft>
                              <a:spcPct val="0"/>
                            </a:spcAft>
                            <a:defRPr sz="2300" kern="1200">
                              <a:solidFill>
                                <a:schemeClr val="lt1"/>
                              </a:solidFill>
                              <a:latin typeface="+mn-lt"/>
                              <a:ea typeface="+mn-ea"/>
                              <a:cs typeface="+mn-cs"/>
                            </a:defRPr>
                          </a:lvl3pPr>
                          <a:lvl4pPr marL="1371600" algn="l" rtl="0" fontAlgn="base">
                            <a:spcBef>
                              <a:spcPct val="0"/>
                            </a:spcBef>
                            <a:spcAft>
                              <a:spcPct val="0"/>
                            </a:spcAft>
                            <a:defRPr sz="2300" kern="1200">
                              <a:solidFill>
                                <a:schemeClr val="lt1"/>
                              </a:solidFill>
                              <a:latin typeface="+mn-lt"/>
                              <a:ea typeface="+mn-ea"/>
                              <a:cs typeface="+mn-cs"/>
                            </a:defRPr>
                          </a:lvl4pPr>
                          <a:lvl5pPr marL="1828800" algn="l" rtl="0" fontAlgn="base">
                            <a:spcBef>
                              <a:spcPct val="0"/>
                            </a:spcBef>
                            <a:spcAft>
                              <a:spcPct val="0"/>
                            </a:spcAft>
                            <a:defRPr sz="2300" kern="1200">
                              <a:solidFill>
                                <a:schemeClr val="lt1"/>
                              </a:solidFill>
                              <a:latin typeface="+mn-lt"/>
                              <a:ea typeface="+mn-ea"/>
                              <a:cs typeface="+mn-cs"/>
                            </a:defRPr>
                          </a:lvl5pPr>
                          <a:lvl6pPr marL="2286000" algn="l" defTabSz="914400" rtl="0" eaLnBrk="1" latinLnBrk="0" hangingPunct="1">
                            <a:defRPr sz="2300" kern="1200">
                              <a:solidFill>
                                <a:schemeClr val="lt1"/>
                              </a:solidFill>
                              <a:latin typeface="+mn-lt"/>
                              <a:ea typeface="+mn-ea"/>
                              <a:cs typeface="+mn-cs"/>
                            </a:defRPr>
                          </a:lvl6pPr>
                          <a:lvl7pPr marL="2743200" algn="l" defTabSz="914400" rtl="0" eaLnBrk="1" latinLnBrk="0" hangingPunct="1">
                            <a:defRPr sz="2300" kern="1200">
                              <a:solidFill>
                                <a:schemeClr val="lt1"/>
                              </a:solidFill>
                              <a:latin typeface="+mn-lt"/>
                              <a:ea typeface="+mn-ea"/>
                              <a:cs typeface="+mn-cs"/>
                            </a:defRPr>
                          </a:lvl7pPr>
                          <a:lvl8pPr marL="3200400" algn="l" defTabSz="914400" rtl="0" eaLnBrk="1" latinLnBrk="0" hangingPunct="1">
                            <a:defRPr sz="2300" kern="1200">
                              <a:solidFill>
                                <a:schemeClr val="lt1"/>
                              </a:solidFill>
                              <a:latin typeface="+mn-lt"/>
                              <a:ea typeface="+mn-ea"/>
                              <a:cs typeface="+mn-cs"/>
                            </a:defRPr>
                          </a:lvl8pPr>
                          <a:lvl9pPr marL="3657600" algn="l" defTabSz="914400" rtl="0" eaLnBrk="1" latinLnBrk="0" hangingPunct="1">
                            <a:defRPr sz="2300" kern="1200">
                              <a:solidFill>
                                <a:schemeClr val="lt1"/>
                              </a:solidFill>
                              <a:latin typeface="+mn-lt"/>
                              <a:ea typeface="+mn-ea"/>
                              <a:cs typeface="+mn-cs"/>
                            </a:defRPr>
                          </a:lvl9pPr>
                        </a:lstStyle>
                        <a:p>
                          <a:pPr algn="ctr">
                            <a:defRPr/>
                          </a:pPr>
                          <a:r>
                            <a:rPr lang="en-US" sz="1600" b="1" dirty="0" smtClean="0">
                              <a:solidFill>
                                <a:schemeClr val="tx1"/>
                              </a:solidFill>
                              <a:latin typeface="Calibri" pitchFamily="34" charset="0"/>
                            </a:rPr>
                            <a:t>Test Tool</a:t>
                          </a:r>
                        </a:p>
                      </a:txBody>
                      <a:useSpRect/>
                    </a:txSp>
                    <a:style>
                      <a:lnRef idx="0">
                        <a:schemeClr val="accent3"/>
                      </a:lnRef>
                      <a:fillRef idx="3">
                        <a:schemeClr val="accent3"/>
                      </a:fillRef>
                      <a:effectRef idx="3">
                        <a:schemeClr val="accent3"/>
                      </a:effectRef>
                      <a:fontRef idx="minor">
                        <a:schemeClr val="lt1"/>
                      </a:fontRef>
                    </a:style>
                  </a:sp>
                  <a:sp>
                    <a:nvSpPr>
                      <a:cNvPr id="98" name="Text Box 28"/>
                      <a:cNvSpPr txBox="1">
                        <a:spLocks noChangeArrowheads="1"/>
                      </a:cNvSpPr>
                    </a:nvSpPr>
                    <a:spPr bwMode="auto">
                      <a:xfrm>
                        <a:off x="7421626" y="4546137"/>
                        <a:ext cx="1343082" cy="836425"/>
                      </a:xfrm>
                      <a:prstGeom prst="rect">
                        <a:avLst/>
                      </a:prstGeom>
                      <a:solidFill>
                        <a:schemeClr val="bg2">
                          <a:lumMod val="40000"/>
                          <a:lumOff val="60000"/>
                        </a:schemeClr>
                      </a:solidFill>
                      <a:ln>
                        <a:solidFill>
                          <a:schemeClr val="tx1"/>
                        </a:solidFill>
                        <a:headEnd type="none" w="med" len="med"/>
                        <a:tailEnd type="stealth" w="lg" len="lg"/>
                      </a:ln>
                      <a:effectLst/>
                      <a:scene3d>
                        <a:camera prst="orthographicFront">
                          <a:rot lat="0" lon="0" rev="0"/>
                        </a:camera>
                        <a:lightRig rig="threePt" dir="t">
                          <a:rot lat="0" lon="0" rev="1200000"/>
                        </a:lightRig>
                      </a:scene3d>
                      <a:sp3d/>
                    </a:spPr>
                    <a:txSp>
                      <a:txBody>
                        <a:bodyPr vert="horz" wrap="square" lIns="91440" tIns="45720" rIns="91440" bIns="45720" numCol="1" rtlCol="0" anchor="t" anchorCtr="0" compatLnSpc="1">
                          <a:prstTxWarp prst="textNoShape">
                            <a:avLst/>
                          </a:prstTxWarp>
                          <a:noAutofit/>
                        </a:bodyPr>
                        <a:lstStyle>
                          <a:defPPr>
                            <a:defRPr lang="en-US"/>
                          </a:defPPr>
                          <a:lvl1pPr algn="l" rtl="0" fontAlgn="base">
                            <a:spcBef>
                              <a:spcPct val="0"/>
                            </a:spcBef>
                            <a:spcAft>
                              <a:spcPct val="0"/>
                            </a:spcAft>
                            <a:defRPr sz="2300" kern="1200">
                              <a:solidFill>
                                <a:schemeClr val="lt1"/>
                              </a:solidFill>
                              <a:latin typeface="+mn-lt"/>
                              <a:ea typeface="+mn-ea"/>
                              <a:cs typeface="+mn-cs"/>
                            </a:defRPr>
                          </a:lvl1pPr>
                          <a:lvl2pPr marL="457200" algn="l" rtl="0" fontAlgn="base">
                            <a:spcBef>
                              <a:spcPct val="0"/>
                            </a:spcBef>
                            <a:spcAft>
                              <a:spcPct val="0"/>
                            </a:spcAft>
                            <a:defRPr sz="2300" kern="1200">
                              <a:solidFill>
                                <a:schemeClr val="lt1"/>
                              </a:solidFill>
                              <a:latin typeface="+mn-lt"/>
                              <a:ea typeface="+mn-ea"/>
                              <a:cs typeface="+mn-cs"/>
                            </a:defRPr>
                          </a:lvl2pPr>
                          <a:lvl3pPr marL="914400" algn="l" rtl="0" fontAlgn="base">
                            <a:spcBef>
                              <a:spcPct val="0"/>
                            </a:spcBef>
                            <a:spcAft>
                              <a:spcPct val="0"/>
                            </a:spcAft>
                            <a:defRPr sz="2300" kern="1200">
                              <a:solidFill>
                                <a:schemeClr val="lt1"/>
                              </a:solidFill>
                              <a:latin typeface="+mn-lt"/>
                              <a:ea typeface="+mn-ea"/>
                              <a:cs typeface="+mn-cs"/>
                            </a:defRPr>
                          </a:lvl3pPr>
                          <a:lvl4pPr marL="1371600" algn="l" rtl="0" fontAlgn="base">
                            <a:spcBef>
                              <a:spcPct val="0"/>
                            </a:spcBef>
                            <a:spcAft>
                              <a:spcPct val="0"/>
                            </a:spcAft>
                            <a:defRPr sz="2300" kern="1200">
                              <a:solidFill>
                                <a:schemeClr val="lt1"/>
                              </a:solidFill>
                              <a:latin typeface="+mn-lt"/>
                              <a:ea typeface="+mn-ea"/>
                              <a:cs typeface="+mn-cs"/>
                            </a:defRPr>
                          </a:lvl4pPr>
                          <a:lvl5pPr marL="1828800" algn="l" rtl="0" fontAlgn="base">
                            <a:spcBef>
                              <a:spcPct val="0"/>
                            </a:spcBef>
                            <a:spcAft>
                              <a:spcPct val="0"/>
                            </a:spcAft>
                            <a:defRPr sz="2300" kern="1200">
                              <a:solidFill>
                                <a:schemeClr val="lt1"/>
                              </a:solidFill>
                              <a:latin typeface="+mn-lt"/>
                              <a:ea typeface="+mn-ea"/>
                              <a:cs typeface="+mn-cs"/>
                            </a:defRPr>
                          </a:lvl5pPr>
                          <a:lvl6pPr marL="2286000" algn="l" defTabSz="914400" rtl="0" eaLnBrk="1" latinLnBrk="0" hangingPunct="1">
                            <a:defRPr sz="2300" kern="1200">
                              <a:solidFill>
                                <a:schemeClr val="lt1"/>
                              </a:solidFill>
                              <a:latin typeface="+mn-lt"/>
                              <a:ea typeface="+mn-ea"/>
                              <a:cs typeface="+mn-cs"/>
                            </a:defRPr>
                          </a:lvl6pPr>
                          <a:lvl7pPr marL="2743200" algn="l" defTabSz="914400" rtl="0" eaLnBrk="1" latinLnBrk="0" hangingPunct="1">
                            <a:defRPr sz="2300" kern="1200">
                              <a:solidFill>
                                <a:schemeClr val="lt1"/>
                              </a:solidFill>
                              <a:latin typeface="+mn-lt"/>
                              <a:ea typeface="+mn-ea"/>
                              <a:cs typeface="+mn-cs"/>
                            </a:defRPr>
                          </a:lvl7pPr>
                          <a:lvl8pPr marL="3200400" algn="l" defTabSz="914400" rtl="0" eaLnBrk="1" latinLnBrk="0" hangingPunct="1">
                            <a:defRPr sz="2300" kern="1200">
                              <a:solidFill>
                                <a:schemeClr val="lt1"/>
                              </a:solidFill>
                              <a:latin typeface="+mn-lt"/>
                              <a:ea typeface="+mn-ea"/>
                              <a:cs typeface="+mn-cs"/>
                            </a:defRPr>
                          </a:lvl8pPr>
                          <a:lvl9pPr marL="3657600" algn="l" defTabSz="914400" rtl="0" eaLnBrk="1" latinLnBrk="0" hangingPunct="1">
                            <a:defRPr sz="2300" kern="1200">
                              <a:solidFill>
                                <a:schemeClr val="lt1"/>
                              </a:solidFill>
                              <a:latin typeface="+mn-lt"/>
                              <a:ea typeface="+mn-ea"/>
                              <a:cs typeface="+mn-cs"/>
                            </a:defRPr>
                          </a:lvl9pPr>
                        </a:lstStyle>
                        <a:p>
                          <a:pPr algn="ctr">
                            <a:defRPr/>
                          </a:pPr>
                          <a:r>
                            <a:rPr lang="en-US" sz="1600" b="1" dirty="0" smtClean="0">
                              <a:solidFill>
                                <a:schemeClr val="tx1"/>
                              </a:solidFill>
                              <a:latin typeface="Calibri" pitchFamily="34" charset="0"/>
                            </a:rPr>
                            <a:t>Project Management Tool</a:t>
                          </a:r>
                        </a:p>
                      </a:txBody>
                      <a:useSpRect/>
                    </a:txSp>
                    <a:style>
                      <a:lnRef idx="0">
                        <a:schemeClr val="accent3"/>
                      </a:lnRef>
                      <a:fillRef idx="3">
                        <a:schemeClr val="accent3"/>
                      </a:fillRef>
                      <a:effectRef idx="3">
                        <a:schemeClr val="accent3"/>
                      </a:effectRef>
                      <a:fontRef idx="minor">
                        <a:schemeClr val="lt1"/>
                      </a:fontRef>
                    </a:style>
                  </a:sp>
                  <a:grpSp>
                    <a:nvGrpSpPr>
                      <a:cNvPr id="4" name="Group 15"/>
                      <a:cNvGrpSpPr>
                        <a:grpSpLocks/>
                      </a:cNvGrpSpPr>
                    </a:nvGrpSpPr>
                    <a:grpSpPr bwMode="auto">
                      <a:xfrm>
                        <a:off x="949690" y="5466485"/>
                        <a:ext cx="234774" cy="610412"/>
                        <a:chOff x="2976" y="768"/>
                        <a:chExt cx="912" cy="2135"/>
                      </a:xfrm>
                    </a:grpSpPr>
                    <a:sp>
                      <a:nvSpPr>
                        <a:cNvPr id="37" name="Oval 16" descr="Dark vertical"/>
                        <a:cNvSpPr>
                          <a:spLocks noChangeArrowheads="1"/>
                        </a:cNvSpPr>
                      </a:nvSpPr>
                      <a:spPr bwMode="auto">
                        <a:xfrm>
                          <a:off x="3141" y="768"/>
                          <a:ext cx="611" cy="614"/>
                        </a:xfrm>
                        <a:prstGeom prst="ellipse">
                          <a:avLst/>
                        </a:prstGeom>
                        <a:pattFill prst="dkVert">
                          <a:fgClr>
                            <a:srgbClr val="B2B2B2"/>
                          </a:fgClr>
                          <a:bgClr>
                            <a:schemeClr val="tx2"/>
                          </a:bgClr>
                        </a:pattFill>
                        <a:ln w="38100" algn="ctr">
                          <a:noFill/>
                          <a:round/>
                          <a:headEnd/>
                          <a:tailEnd type="none" w="lg" len="lg"/>
                        </a:ln>
                      </a:spPr>
                      <a:txSp>
                        <a:txBody>
                          <a:bodyPr anchor="ctr">
                            <a:spAutoFit/>
                          </a:bodyPr>
                          <a:lstStyle>
                            <a:defPPr>
                              <a:defRPr lang="en-US"/>
                            </a:defPPr>
                            <a:lvl1pPr algn="l" rtl="0" fontAlgn="base">
                              <a:spcBef>
                                <a:spcPct val="0"/>
                              </a:spcBef>
                              <a:spcAft>
                                <a:spcPct val="0"/>
                              </a:spcAft>
                              <a:defRPr sz="2300" kern="1200">
                                <a:solidFill>
                                  <a:schemeClr val="tx1"/>
                                </a:solidFill>
                                <a:latin typeface="Arial" charset="0"/>
                                <a:ea typeface="+mn-ea"/>
                                <a:cs typeface="+mn-cs"/>
                              </a:defRPr>
                            </a:lvl1pPr>
                            <a:lvl2pPr marL="457200" algn="l" rtl="0" fontAlgn="base">
                              <a:spcBef>
                                <a:spcPct val="0"/>
                              </a:spcBef>
                              <a:spcAft>
                                <a:spcPct val="0"/>
                              </a:spcAft>
                              <a:defRPr sz="2300" kern="1200">
                                <a:solidFill>
                                  <a:schemeClr val="tx1"/>
                                </a:solidFill>
                                <a:latin typeface="Arial" charset="0"/>
                                <a:ea typeface="+mn-ea"/>
                                <a:cs typeface="+mn-cs"/>
                              </a:defRPr>
                            </a:lvl2pPr>
                            <a:lvl3pPr marL="914400" algn="l" rtl="0" fontAlgn="base">
                              <a:spcBef>
                                <a:spcPct val="0"/>
                              </a:spcBef>
                              <a:spcAft>
                                <a:spcPct val="0"/>
                              </a:spcAft>
                              <a:defRPr sz="2300" kern="1200">
                                <a:solidFill>
                                  <a:schemeClr val="tx1"/>
                                </a:solidFill>
                                <a:latin typeface="Arial" charset="0"/>
                                <a:ea typeface="+mn-ea"/>
                                <a:cs typeface="+mn-cs"/>
                              </a:defRPr>
                            </a:lvl3pPr>
                            <a:lvl4pPr marL="1371600" algn="l" rtl="0" fontAlgn="base">
                              <a:spcBef>
                                <a:spcPct val="0"/>
                              </a:spcBef>
                              <a:spcAft>
                                <a:spcPct val="0"/>
                              </a:spcAft>
                              <a:defRPr sz="2300" kern="1200">
                                <a:solidFill>
                                  <a:schemeClr val="tx1"/>
                                </a:solidFill>
                                <a:latin typeface="Arial" charset="0"/>
                                <a:ea typeface="+mn-ea"/>
                                <a:cs typeface="+mn-cs"/>
                              </a:defRPr>
                            </a:lvl4pPr>
                            <a:lvl5pPr marL="1828800" algn="l" rtl="0" fontAlgn="base">
                              <a:spcBef>
                                <a:spcPct val="0"/>
                              </a:spcBef>
                              <a:spcAft>
                                <a:spcPct val="0"/>
                              </a:spcAft>
                              <a:defRPr sz="2300" kern="1200">
                                <a:solidFill>
                                  <a:schemeClr val="tx1"/>
                                </a:solidFill>
                                <a:latin typeface="Arial" charset="0"/>
                                <a:ea typeface="+mn-ea"/>
                                <a:cs typeface="+mn-cs"/>
                              </a:defRPr>
                            </a:lvl5pPr>
                            <a:lvl6pPr marL="2286000" algn="l" defTabSz="914400" rtl="0" eaLnBrk="1" latinLnBrk="0" hangingPunct="1">
                              <a:defRPr sz="2300" kern="1200">
                                <a:solidFill>
                                  <a:schemeClr val="tx1"/>
                                </a:solidFill>
                                <a:latin typeface="Arial" charset="0"/>
                                <a:ea typeface="+mn-ea"/>
                                <a:cs typeface="+mn-cs"/>
                              </a:defRPr>
                            </a:lvl6pPr>
                            <a:lvl7pPr marL="2743200" algn="l" defTabSz="914400" rtl="0" eaLnBrk="1" latinLnBrk="0" hangingPunct="1">
                              <a:defRPr sz="2300" kern="1200">
                                <a:solidFill>
                                  <a:schemeClr val="tx1"/>
                                </a:solidFill>
                                <a:latin typeface="Arial" charset="0"/>
                                <a:ea typeface="+mn-ea"/>
                                <a:cs typeface="+mn-cs"/>
                              </a:defRPr>
                            </a:lvl7pPr>
                            <a:lvl8pPr marL="3200400" algn="l" defTabSz="914400" rtl="0" eaLnBrk="1" latinLnBrk="0" hangingPunct="1">
                              <a:defRPr sz="2300" kern="1200">
                                <a:solidFill>
                                  <a:schemeClr val="tx1"/>
                                </a:solidFill>
                                <a:latin typeface="Arial" charset="0"/>
                                <a:ea typeface="+mn-ea"/>
                                <a:cs typeface="+mn-cs"/>
                              </a:defRPr>
                            </a:lvl8pPr>
                            <a:lvl9pPr marL="3657600" algn="l" defTabSz="914400" rtl="0" eaLnBrk="1" latinLnBrk="0" hangingPunct="1">
                              <a:defRPr sz="2300" kern="1200">
                                <a:solidFill>
                                  <a:schemeClr val="tx1"/>
                                </a:solidFill>
                                <a:latin typeface="Arial" charset="0"/>
                                <a:ea typeface="+mn-ea"/>
                                <a:cs typeface="+mn-cs"/>
                              </a:defRPr>
                            </a:lvl9pPr>
                          </a:lstStyle>
                          <a:p>
                            <a:endParaRPr lang="en-US"/>
                          </a:p>
                        </a:txBody>
                        <a:useSpRect/>
                      </a:txSp>
                    </a:sp>
                    <a:grpSp>
                      <a:nvGrpSpPr>
                        <a:cNvPr id="8" name="Group 17"/>
                        <a:cNvGrpSpPr>
                          <a:grpSpLocks/>
                        </a:cNvGrpSpPr>
                      </a:nvGrpSpPr>
                      <a:grpSpPr bwMode="auto">
                        <a:xfrm>
                          <a:off x="2976" y="1433"/>
                          <a:ext cx="912" cy="1470"/>
                          <a:chOff x="2976" y="1433"/>
                          <a:chExt cx="912" cy="1495"/>
                        </a:xfrm>
                      </a:grpSpPr>
                      <a:sp>
                        <a:nvSpPr>
                          <a:cNvPr id="39" name="AutoShape 18" descr="Dark vertical"/>
                          <a:cNvSpPr>
                            <a:spLocks noChangeArrowheads="1"/>
                          </a:cNvSpPr>
                        </a:nvSpPr>
                        <a:spPr bwMode="auto">
                          <a:xfrm rot="10800000">
                            <a:off x="2976" y="1433"/>
                            <a:ext cx="912" cy="834"/>
                          </a:xfrm>
                          <a:prstGeom prst="triangle">
                            <a:avLst>
                              <a:gd name="adj" fmla="val 50000"/>
                            </a:avLst>
                          </a:prstGeom>
                          <a:pattFill prst="dkVert">
                            <a:fgClr>
                              <a:srgbClr val="B2B2B2"/>
                            </a:fgClr>
                            <a:bgClr>
                              <a:schemeClr val="tx2"/>
                            </a:bgClr>
                          </a:pattFill>
                          <a:ln w="38100" algn="ctr">
                            <a:noFill/>
                            <a:miter lim="800000"/>
                            <a:headEnd/>
                            <a:tailEnd type="none" w="lg" len="lg"/>
                          </a:ln>
                        </a:spPr>
                        <a:txSp>
                          <a:txBody>
                            <a:bodyPr anchor="ctr">
                              <a:spAutoFit/>
                            </a:bodyPr>
                            <a:lstStyle>
                              <a:defPPr>
                                <a:defRPr lang="en-US"/>
                              </a:defPPr>
                              <a:lvl1pPr algn="l" rtl="0" fontAlgn="base">
                                <a:spcBef>
                                  <a:spcPct val="0"/>
                                </a:spcBef>
                                <a:spcAft>
                                  <a:spcPct val="0"/>
                                </a:spcAft>
                                <a:defRPr sz="2300" kern="1200">
                                  <a:solidFill>
                                    <a:schemeClr val="tx1"/>
                                  </a:solidFill>
                                  <a:latin typeface="Arial" charset="0"/>
                                  <a:ea typeface="+mn-ea"/>
                                  <a:cs typeface="+mn-cs"/>
                                </a:defRPr>
                              </a:lvl1pPr>
                              <a:lvl2pPr marL="457200" algn="l" rtl="0" fontAlgn="base">
                                <a:spcBef>
                                  <a:spcPct val="0"/>
                                </a:spcBef>
                                <a:spcAft>
                                  <a:spcPct val="0"/>
                                </a:spcAft>
                                <a:defRPr sz="2300" kern="1200">
                                  <a:solidFill>
                                    <a:schemeClr val="tx1"/>
                                  </a:solidFill>
                                  <a:latin typeface="Arial" charset="0"/>
                                  <a:ea typeface="+mn-ea"/>
                                  <a:cs typeface="+mn-cs"/>
                                </a:defRPr>
                              </a:lvl2pPr>
                              <a:lvl3pPr marL="914400" algn="l" rtl="0" fontAlgn="base">
                                <a:spcBef>
                                  <a:spcPct val="0"/>
                                </a:spcBef>
                                <a:spcAft>
                                  <a:spcPct val="0"/>
                                </a:spcAft>
                                <a:defRPr sz="2300" kern="1200">
                                  <a:solidFill>
                                    <a:schemeClr val="tx1"/>
                                  </a:solidFill>
                                  <a:latin typeface="Arial" charset="0"/>
                                  <a:ea typeface="+mn-ea"/>
                                  <a:cs typeface="+mn-cs"/>
                                </a:defRPr>
                              </a:lvl3pPr>
                              <a:lvl4pPr marL="1371600" algn="l" rtl="0" fontAlgn="base">
                                <a:spcBef>
                                  <a:spcPct val="0"/>
                                </a:spcBef>
                                <a:spcAft>
                                  <a:spcPct val="0"/>
                                </a:spcAft>
                                <a:defRPr sz="2300" kern="1200">
                                  <a:solidFill>
                                    <a:schemeClr val="tx1"/>
                                  </a:solidFill>
                                  <a:latin typeface="Arial" charset="0"/>
                                  <a:ea typeface="+mn-ea"/>
                                  <a:cs typeface="+mn-cs"/>
                                </a:defRPr>
                              </a:lvl4pPr>
                              <a:lvl5pPr marL="1828800" algn="l" rtl="0" fontAlgn="base">
                                <a:spcBef>
                                  <a:spcPct val="0"/>
                                </a:spcBef>
                                <a:spcAft>
                                  <a:spcPct val="0"/>
                                </a:spcAft>
                                <a:defRPr sz="2300" kern="1200">
                                  <a:solidFill>
                                    <a:schemeClr val="tx1"/>
                                  </a:solidFill>
                                  <a:latin typeface="Arial" charset="0"/>
                                  <a:ea typeface="+mn-ea"/>
                                  <a:cs typeface="+mn-cs"/>
                                </a:defRPr>
                              </a:lvl5pPr>
                              <a:lvl6pPr marL="2286000" algn="l" defTabSz="914400" rtl="0" eaLnBrk="1" latinLnBrk="0" hangingPunct="1">
                                <a:defRPr sz="2300" kern="1200">
                                  <a:solidFill>
                                    <a:schemeClr val="tx1"/>
                                  </a:solidFill>
                                  <a:latin typeface="Arial" charset="0"/>
                                  <a:ea typeface="+mn-ea"/>
                                  <a:cs typeface="+mn-cs"/>
                                </a:defRPr>
                              </a:lvl6pPr>
                              <a:lvl7pPr marL="2743200" algn="l" defTabSz="914400" rtl="0" eaLnBrk="1" latinLnBrk="0" hangingPunct="1">
                                <a:defRPr sz="2300" kern="1200">
                                  <a:solidFill>
                                    <a:schemeClr val="tx1"/>
                                  </a:solidFill>
                                  <a:latin typeface="Arial" charset="0"/>
                                  <a:ea typeface="+mn-ea"/>
                                  <a:cs typeface="+mn-cs"/>
                                </a:defRPr>
                              </a:lvl7pPr>
                              <a:lvl8pPr marL="3200400" algn="l" defTabSz="914400" rtl="0" eaLnBrk="1" latinLnBrk="0" hangingPunct="1">
                                <a:defRPr sz="2300" kern="1200">
                                  <a:solidFill>
                                    <a:schemeClr val="tx1"/>
                                  </a:solidFill>
                                  <a:latin typeface="Arial" charset="0"/>
                                  <a:ea typeface="+mn-ea"/>
                                  <a:cs typeface="+mn-cs"/>
                                </a:defRPr>
                              </a:lvl8pPr>
                              <a:lvl9pPr marL="3657600" algn="l" defTabSz="914400" rtl="0" eaLnBrk="1" latinLnBrk="0" hangingPunct="1">
                                <a:defRPr sz="2300" kern="1200">
                                  <a:solidFill>
                                    <a:schemeClr val="tx1"/>
                                  </a:solidFill>
                                  <a:latin typeface="Arial" charset="0"/>
                                  <a:ea typeface="+mn-ea"/>
                                  <a:cs typeface="+mn-cs"/>
                                </a:defRPr>
                              </a:lvl9pPr>
                            </a:lstStyle>
                            <a:p>
                              <a:endParaRPr lang="en-US"/>
                            </a:p>
                          </a:txBody>
                          <a:useSpRect/>
                        </a:txSp>
                      </a:sp>
                      <a:sp>
                        <a:nvSpPr>
                          <a:cNvPr id="40" name="AutoShape 19" descr="Dark vertical"/>
                          <a:cNvSpPr>
                            <a:spLocks noChangeArrowheads="1"/>
                          </a:cNvSpPr>
                        </a:nvSpPr>
                        <a:spPr bwMode="auto">
                          <a:xfrm rot="17803396" flipH="1">
                            <a:off x="2644" y="2160"/>
                            <a:ext cx="1275" cy="262"/>
                          </a:xfrm>
                          <a:prstGeom prst="parallelogram">
                            <a:avLst>
                              <a:gd name="adj" fmla="val 33502"/>
                            </a:avLst>
                          </a:prstGeom>
                          <a:pattFill prst="dkVert">
                            <a:fgClr>
                              <a:srgbClr val="B2B2B2"/>
                            </a:fgClr>
                            <a:bgClr>
                              <a:schemeClr val="tx2"/>
                            </a:bgClr>
                          </a:pattFill>
                          <a:ln w="38100" algn="ctr">
                            <a:noFill/>
                            <a:miter lim="800000"/>
                            <a:headEnd/>
                            <a:tailEnd type="none" w="lg" len="lg"/>
                          </a:ln>
                        </a:spPr>
                        <a:txSp>
                          <a:txBody>
                            <a:bodyPr anchor="ctr">
                              <a:spAutoFit/>
                            </a:bodyPr>
                            <a:lstStyle>
                              <a:defPPr>
                                <a:defRPr lang="en-US"/>
                              </a:defPPr>
                              <a:lvl1pPr algn="l" rtl="0" fontAlgn="base">
                                <a:spcBef>
                                  <a:spcPct val="0"/>
                                </a:spcBef>
                                <a:spcAft>
                                  <a:spcPct val="0"/>
                                </a:spcAft>
                                <a:defRPr sz="2300" kern="1200">
                                  <a:solidFill>
                                    <a:schemeClr val="tx1"/>
                                  </a:solidFill>
                                  <a:latin typeface="Arial" charset="0"/>
                                  <a:ea typeface="+mn-ea"/>
                                  <a:cs typeface="+mn-cs"/>
                                </a:defRPr>
                              </a:lvl1pPr>
                              <a:lvl2pPr marL="457200" algn="l" rtl="0" fontAlgn="base">
                                <a:spcBef>
                                  <a:spcPct val="0"/>
                                </a:spcBef>
                                <a:spcAft>
                                  <a:spcPct val="0"/>
                                </a:spcAft>
                                <a:defRPr sz="2300" kern="1200">
                                  <a:solidFill>
                                    <a:schemeClr val="tx1"/>
                                  </a:solidFill>
                                  <a:latin typeface="Arial" charset="0"/>
                                  <a:ea typeface="+mn-ea"/>
                                  <a:cs typeface="+mn-cs"/>
                                </a:defRPr>
                              </a:lvl2pPr>
                              <a:lvl3pPr marL="914400" algn="l" rtl="0" fontAlgn="base">
                                <a:spcBef>
                                  <a:spcPct val="0"/>
                                </a:spcBef>
                                <a:spcAft>
                                  <a:spcPct val="0"/>
                                </a:spcAft>
                                <a:defRPr sz="2300" kern="1200">
                                  <a:solidFill>
                                    <a:schemeClr val="tx1"/>
                                  </a:solidFill>
                                  <a:latin typeface="Arial" charset="0"/>
                                  <a:ea typeface="+mn-ea"/>
                                  <a:cs typeface="+mn-cs"/>
                                </a:defRPr>
                              </a:lvl3pPr>
                              <a:lvl4pPr marL="1371600" algn="l" rtl="0" fontAlgn="base">
                                <a:spcBef>
                                  <a:spcPct val="0"/>
                                </a:spcBef>
                                <a:spcAft>
                                  <a:spcPct val="0"/>
                                </a:spcAft>
                                <a:defRPr sz="2300" kern="1200">
                                  <a:solidFill>
                                    <a:schemeClr val="tx1"/>
                                  </a:solidFill>
                                  <a:latin typeface="Arial" charset="0"/>
                                  <a:ea typeface="+mn-ea"/>
                                  <a:cs typeface="+mn-cs"/>
                                </a:defRPr>
                              </a:lvl4pPr>
                              <a:lvl5pPr marL="1828800" algn="l" rtl="0" fontAlgn="base">
                                <a:spcBef>
                                  <a:spcPct val="0"/>
                                </a:spcBef>
                                <a:spcAft>
                                  <a:spcPct val="0"/>
                                </a:spcAft>
                                <a:defRPr sz="2300" kern="1200">
                                  <a:solidFill>
                                    <a:schemeClr val="tx1"/>
                                  </a:solidFill>
                                  <a:latin typeface="Arial" charset="0"/>
                                  <a:ea typeface="+mn-ea"/>
                                  <a:cs typeface="+mn-cs"/>
                                </a:defRPr>
                              </a:lvl5pPr>
                              <a:lvl6pPr marL="2286000" algn="l" defTabSz="914400" rtl="0" eaLnBrk="1" latinLnBrk="0" hangingPunct="1">
                                <a:defRPr sz="2300" kern="1200">
                                  <a:solidFill>
                                    <a:schemeClr val="tx1"/>
                                  </a:solidFill>
                                  <a:latin typeface="Arial" charset="0"/>
                                  <a:ea typeface="+mn-ea"/>
                                  <a:cs typeface="+mn-cs"/>
                                </a:defRPr>
                              </a:lvl6pPr>
                              <a:lvl7pPr marL="2743200" algn="l" defTabSz="914400" rtl="0" eaLnBrk="1" latinLnBrk="0" hangingPunct="1">
                                <a:defRPr sz="2300" kern="1200">
                                  <a:solidFill>
                                    <a:schemeClr val="tx1"/>
                                  </a:solidFill>
                                  <a:latin typeface="Arial" charset="0"/>
                                  <a:ea typeface="+mn-ea"/>
                                  <a:cs typeface="+mn-cs"/>
                                </a:defRPr>
                              </a:lvl7pPr>
                              <a:lvl8pPr marL="3200400" algn="l" defTabSz="914400" rtl="0" eaLnBrk="1" latinLnBrk="0" hangingPunct="1">
                                <a:defRPr sz="2300" kern="1200">
                                  <a:solidFill>
                                    <a:schemeClr val="tx1"/>
                                  </a:solidFill>
                                  <a:latin typeface="Arial" charset="0"/>
                                  <a:ea typeface="+mn-ea"/>
                                  <a:cs typeface="+mn-cs"/>
                                </a:defRPr>
                              </a:lvl8pPr>
                              <a:lvl9pPr marL="3657600" algn="l" defTabSz="914400" rtl="0" eaLnBrk="1" latinLnBrk="0" hangingPunct="1">
                                <a:defRPr sz="2300" kern="1200">
                                  <a:solidFill>
                                    <a:schemeClr val="tx1"/>
                                  </a:solidFill>
                                  <a:latin typeface="Arial" charset="0"/>
                                  <a:ea typeface="+mn-ea"/>
                                  <a:cs typeface="+mn-cs"/>
                                </a:defRPr>
                              </a:lvl9pPr>
                            </a:lstStyle>
                            <a:p>
                              <a:endParaRPr lang="en-US"/>
                            </a:p>
                          </a:txBody>
                          <a:useSpRect/>
                        </a:txSp>
                      </a:sp>
                      <a:sp>
                        <a:nvSpPr>
                          <a:cNvPr id="41" name="AutoShape 20" descr="Dark vertical"/>
                          <a:cNvSpPr>
                            <a:spLocks noChangeArrowheads="1"/>
                          </a:cNvSpPr>
                        </a:nvSpPr>
                        <a:spPr bwMode="auto">
                          <a:xfrm rot="3796604">
                            <a:off x="2950" y="2160"/>
                            <a:ext cx="1275" cy="262"/>
                          </a:xfrm>
                          <a:prstGeom prst="parallelogram">
                            <a:avLst>
                              <a:gd name="adj" fmla="val 33502"/>
                            </a:avLst>
                          </a:prstGeom>
                          <a:pattFill prst="dkVert">
                            <a:fgClr>
                              <a:srgbClr val="B2B2B2"/>
                            </a:fgClr>
                            <a:bgClr>
                              <a:schemeClr val="tx2"/>
                            </a:bgClr>
                          </a:pattFill>
                          <a:ln w="38100" algn="ctr">
                            <a:noFill/>
                            <a:miter lim="800000"/>
                            <a:headEnd/>
                            <a:tailEnd type="none" w="lg" len="lg"/>
                          </a:ln>
                        </a:spPr>
                        <a:txSp>
                          <a:txBody>
                            <a:bodyPr anchor="ctr">
                              <a:spAutoFit/>
                            </a:bodyPr>
                            <a:lstStyle>
                              <a:defPPr>
                                <a:defRPr lang="en-US"/>
                              </a:defPPr>
                              <a:lvl1pPr algn="l" rtl="0" fontAlgn="base">
                                <a:spcBef>
                                  <a:spcPct val="0"/>
                                </a:spcBef>
                                <a:spcAft>
                                  <a:spcPct val="0"/>
                                </a:spcAft>
                                <a:defRPr sz="2300" kern="1200">
                                  <a:solidFill>
                                    <a:schemeClr val="tx1"/>
                                  </a:solidFill>
                                  <a:latin typeface="Arial" charset="0"/>
                                  <a:ea typeface="+mn-ea"/>
                                  <a:cs typeface="+mn-cs"/>
                                </a:defRPr>
                              </a:lvl1pPr>
                              <a:lvl2pPr marL="457200" algn="l" rtl="0" fontAlgn="base">
                                <a:spcBef>
                                  <a:spcPct val="0"/>
                                </a:spcBef>
                                <a:spcAft>
                                  <a:spcPct val="0"/>
                                </a:spcAft>
                                <a:defRPr sz="2300" kern="1200">
                                  <a:solidFill>
                                    <a:schemeClr val="tx1"/>
                                  </a:solidFill>
                                  <a:latin typeface="Arial" charset="0"/>
                                  <a:ea typeface="+mn-ea"/>
                                  <a:cs typeface="+mn-cs"/>
                                </a:defRPr>
                              </a:lvl2pPr>
                              <a:lvl3pPr marL="914400" algn="l" rtl="0" fontAlgn="base">
                                <a:spcBef>
                                  <a:spcPct val="0"/>
                                </a:spcBef>
                                <a:spcAft>
                                  <a:spcPct val="0"/>
                                </a:spcAft>
                                <a:defRPr sz="2300" kern="1200">
                                  <a:solidFill>
                                    <a:schemeClr val="tx1"/>
                                  </a:solidFill>
                                  <a:latin typeface="Arial" charset="0"/>
                                  <a:ea typeface="+mn-ea"/>
                                  <a:cs typeface="+mn-cs"/>
                                </a:defRPr>
                              </a:lvl3pPr>
                              <a:lvl4pPr marL="1371600" algn="l" rtl="0" fontAlgn="base">
                                <a:spcBef>
                                  <a:spcPct val="0"/>
                                </a:spcBef>
                                <a:spcAft>
                                  <a:spcPct val="0"/>
                                </a:spcAft>
                                <a:defRPr sz="2300" kern="1200">
                                  <a:solidFill>
                                    <a:schemeClr val="tx1"/>
                                  </a:solidFill>
                                  <a:latin typeface="Arial" charset="0"/>
                                  <a:ea typeface="+mn-ea"/>
                                  <a:cs typeface="+mn-cs"/>
                                </a:defRPr>
                              </a:lvl4pPr>
                              <a:lvl5pPr marL="1828800" algn="l" rtl="0" fontAlgn="base">
                                <a:spcBef>
                                  <a:spcPct val="0"/>
                                </a:spcBef>
                                <a:spcAft>
                                  <a:spcPct val="0"/>
                                </a:spcAft>
                                <a:defRPr sz="2300" kern="1200">
                                  <a:solidFill>
                                    <a:schemeClr val="tx1"/>
                                  </a:solidFill>
                                  <a:latin typeface="Arial" charset="0"/>
                                  <a:ea typeface="+mn-ea"/>
                                  <a:cs typeface="+mn-cs"/>
                                </a:defRPr>
                              </a:lvl5pPr>
                              <a:lvl6pPr marL="2286000" algn="l" defTabSz="914400" rtl="0" eaLnBrk="1" latinLnBrk="0" hangingPunct="1">
                                <a:defRPr sz="2300" kern="1200">
                                  <a:solidFill>
                                    <a:schemeClr val="tx1"/>
                                  </a:solidFill>
                                  <a:latin typeface="Arial" charset="0"/>
                                  <a:ea typeface="+mn-ea"/>
                                  <a:cs typeface="+mn-cs"/>
                                </a:defRPr>
                              </a:lvl6pPr>
                              <a:lvl7pPr marL="2743200" algn="l" defTabSz="914400" rtl="0" eaLnBrk="1" latinLnBrk="0" hangingPunct="1">
                                <a:defRPr sz="2300" kern="1200">
                                  <a:solidFill>
                                    <a:schemeClr val="tx1"/>
                                  </a:solidFill>
                                  <a:latin typeface="Arial" charset="0"/>
                                  <a:ea typeface="+mn-ea"/>
                                  <a:cs typeface="+mn-cs"/>
                                </a:defRPr>
                              </a:lvl7pPr>
                              <a:lvl8pPr marL="3200400" algn="l" defTabSz="914400" rtl="0" eaLnBrk="1" latinLnBrk="0" hangingPunct="1">
                                <a:defRPr sz="2300" kern="1200">
                                  <a:solidFill>
                                    <a:schemeClr val="tx1"/>
                                  </a:solidFill>
                                  <a:latin typeface="Arial" charset="0"/>
                                  <a:ea typeface="+mn-ea"/>
                                  <a:cs typeface="+mn-cs"/>
                                </a:defRPr>
                              </a:lvl8pPr>
                              <a:lvl9pPr marL="3657600" algn="l" defTabSz="914400" rtl="0" eaLnBrk="1" latinLnBrk="0" hangingPunct="1">
                                <a:defRPr sz="2300" kern="1200">
                                  <a:solidFill>
                                    <a:schemeClr val="tx1"/>
                                  </a:solidFill>
                                  <a:latin typeface="Arial" charset="0"/>
                                  <a:ea typeface="+mn-ea"/>
                                  <a:cs typeface="+mn-cs"/>
                                </a:defRPr>
                              </a:lvl9pPr>
                            </a:lstStyle>
                            <a:p>
                              <a:endParaRPr lang="en-US"/>
                            </a:p>
                          </a:txBody>
                          <a:useSpRect/>
                        </a:txSp>
                      </a:sp>
                    </a:grpSp>
                  </a:grpSp>
                  <a:sp>
                    <a:nvSpPr>
                      <a:cNvPr id="108" name="Text Box 28"/>
                      <a:cNvSpPr txBox="1">
                        <a:spLocks noChangeArrowheads="1"/>
                      </a:cNvSpPr>
                    </a:nvSpPr>
                    <a:spPr bwMode="auto">
                      <a:xfrm>
                        <a:off x="326669" y="4753284"/>
                        <a:ext cx="1470143" cy="629278"/>
                      </a:xfrm>
                      <a:prstGeom prst="rect">
                        <a:avLst/>
                      </a:prstGeom>
                      <a:solidFill>
                        <a:schemeClr val="bg2">
                          <a:lumMod val="40000"/>
                          <a:lumOff val="60000"/>
                        </a:schemeClr>
                      </a:solidFill>
                      <a:ln>
                        <a:solidFill>
                          <a:schemeClr val="tx1"/>
                        </a:solidFill>
                        <a:headEnd type="none" w="med" len="med"/>
                        <a:tailEnd type="stealth" w="lg" len="lg"/>
                      </a:ln>
                      <a:effectLst/>
                      <a:scene3d>
                        <a:camera prst="orthographicFront">
                          <a:rot lat="0" lon="0" rev="0"/>
                        </a:camera>
                        <a:lightRig rig="threePt" dir="t">
                          <a:rot lat="0" lon="0" rev="1200000"/>
                        </a:lightRig>
                      </a:scene3d>
                      <a:sp3d/>
                    </a:spPr>
                    <a:txSp>
                      <a:txBody>
                        <a:bodyPr vert="horz" wrap="square" lIns="91440" tIns="45720" rIns="91440" bIns="45720" numCol="1" rtlCol="0" anchor="t" anchorCtr="0" compatLnSpc="1">
                          <a:prstTxWarp prst="textNoShape">
                            <a:avLst/>
                          </a:prstTxWarp>
                          <a:noAutofit/>
                        </a:bodyPr>
                        <a:lstStyle>
                          <a:defPPr>
                            <a:defRPr lang="en-US"/>
                          </a:defPPr>
                          <a:lvl1pPr algn="l" rtl="0" fontAlgn="base">
                            <a:spcBef>
                              <a:spcPct val="0"/>
                            </a:spcBef>
                            <a:spcAft>
                              <a:spcPct val="0"/>
                            </a:spcAft>
                            <a:defRPr sz="2300" kern="1200">
                              <a:solidFill>
                                <a:schemeClr val="lt1"/>
                              </a:solidFill>
                              <a:latin typeface="+mn-lt"/>
                              <a:ea typeface="+mn-ea"/>
                              <a:cs typeface="+mn-cs"/>
                            </a:defRPr>
                          </a:lvl1pPr>
                          <a:lvl2pPr marL="457200" algn="l" rtl="0" fontAlgn="base">
                            <a:spcBef>
                              <a:spcPct val="0"/>
                            </a:spcBef>
                            <a:spcAft>
                              <a:spcPct val="0"/>
                            </a:spcAft>
                            <a:defRPr sz="2300" kern="1200">
                              <a:solidFill>
                                <a:schemeClr val="lt1"/>
                              </a:solidFill>
                              <a:latin typeface="+mn-lt"/>
                              <a:ea typeface="+mn-ea"/>
                              <a:cs typeface="+mn-cs"/>
                            </a:defRPr>
                          </a:lvl2pPr>
                          <a:lvl3pPr marL="914400" algn="l" rtl="0" fontAlgn="base">
                            <a:spcBef>
                              <a:spcPct val="0"/>
                            </a:spcBef>
                            <a:spcAft>
                              <a:spcPct val="0"/>
                            </a:spcAft>
                            <a:defRPr sz="2300" kern="1200">
                              <a:solidFill>
                                <a:schemeClr val="lt1"/>
                              </a:solidFill>
                              <a:latin typeface="+mn-lt"/>
                              <a:ea typeface="+mn-ea"/>
                              <a:cs typeface="+mn-cs"/>
                            </a:defRPr>
                          </a:lvl3pPr>
                          <a:lvl4pPr marL="1371600" algn="l" rtl="0" fontAlgn="base">
                            <a:spcBef>
                              <a:spcPct val="0"/>
                            </a:spcBef>
                            <a:spcAft>
                              <a:spcPct val="0"/>
                            </a:spcAft>
                            <a:defRPr sz="2300" kern="1200">
                              <a:solidFill>
                                <a:schemeClr val="lt1"/>
                              </a:solidFill>
                              <a:latin typeface="+mn-lt"/>
                              <a:ea typeface="+mn-ea"/>
                              <a:cs typeface="+mn-cs"/>
                            </a:defRPr>
                          </a:lvl4pPr>
                          <a:lvl5pPr marL="1828800" algn="l" rtl="0" fontAlgn="base">
                            <a:spcBef>
                              <a:spcPct val="0"/>
                            </a:spcBef>
                            <a:spcAft>
                              <a:spcPct val="0"/>
                            </a:spcAft>
                            <a:defRPr sz="2300" kern="1200">
                              <a:solidFill>
                                <a:schemeClr val="lt1"/>
                              </a:solidFill>
                              <a:latin typeface="+mn-lt"/>
                              <a:ea typeface="+mn-ea"/>
                              <a:cs typeface="+mn-cs"/>
                            </a:defRPr>
                          </a:lvl5pPr>
                          <a:lvl6pPr marL="2286000" algn="l" defTabSz="914400" rtl="0" eaLnBrk="1" latinLnBrk="0" hangingPunct="1">
                            <a:defRPr sz="2300" kern="1200">
                              <a:solidFill>
                                <a:schemeClr val="lt1"/>
                              </a:solidFill>
                              <a:latin typeface="+mn-lt"/>
                              <a:ea typeface="+mn-ea"/>
                              <a:cs typeface="+mn-cs"/>
                            </a:defRPr>
                          </a:lvl6pPr>
                          <a:lvl7pPr marL="2743200" algn="l" defTabSz="914400" rtl="0" eaLnBrk="1" latinLnBrk="0" hangingPunct="1">
                            <a:defRPr sz="2300" kern="1200">
                              <a:solidFill>
                                <a:schemeClr val="lt1"/>
                              </a:solidFill>
                              <a:latin typeface="+mn-lt"/>
                              <a:ea typeface="+mn-ea"/>
                              <a:cs typeface="+mn-cs"/>
                            </a:defRPr>
                          </a:lvl7pPr>
                          <a:lvl8pPr marL="3200400" algn="l" defTabSz="914400" rtl="0" eaLnBrk="1" latinLnBrk="0" hangingPunct="1">
                            <a:defRPr sz="2300" kern="1200">
                              <a:solidFill>
                                <a:schemeClr val="lt1"/>
                              </a:solidFill>
                              <a:latin typeface="+mn-lt"/>
                              <a:ea typeface="+mn-ea"/>
                              <a:cs typeface="+mn-cs"/>
                            </a:defRPr>
                          </a:lvl8pPr>
                          <a:lvl9pPr marL="3657600" algn="l" defTabSz="914400" rtl="0" eaLnBrk="1" latinLnBrk="0" hangingPunct="1">
                            <a:defRPr sz="2300" kern="1200">
                              <a:solidFill>
                                <a:schemeClr val="lt1"/>
                              </a:solidFill>
                              <a:latin typeface="+mn-lt"/>
                              <a:ea typeface="+mn-ea"/>
                              <a:cs typeface="+mn-cs"/>
                            </a:defRPr>
                          </a:lvl9pPr>
                        </a:lstStyle>
                        <a:p>
                          <a:pPr algn="ctr">
                            <a:defRPr/>
                          </a:pPr>
                          <a:r>
                            <a:rPr lang="en-US" sz="1600" b="1" dirty="0" smtClean="0">
                              <a:solidFill>
                                <a:schemeClr val="tx1"/>
                              </a:solidFill>
                              <a:latin typeface="Calibri" pitchFamily="34" charset="0"/>
                            </a:rPr>
                            <a:t>Requirements Tool</a:t>
                          </a:r>
                        </a:p>
                      </a:txBody>
                      <a:useSpRect/>
                    </a:txSp>
                    <a:style>
                      <a:lnRef idx="0">
                        <a:schemeClr val="accent3"/>
                      </a:lnRef>
                      <a:fillRef idx="3">
                        <a:schemeClr val="accent3"/>
                      </a:fillRef>
                      <a:effectRef idx="3">
                        <a:schemeClr val="accent3"/>
                      </a:effectRef>
                      <a:fontRef idx="minor">
                        <a:schemeClr val="lt1"/>
                      </a:fontRef>
                    </a:style>
                  </a:sp>
                  <a:sp>
                    <a:nvSpPr>
                      <a:cNvPr id="76" name="Can 75"/>
                      <a:cNvSpPr/>
                    </a:nvSpPr>
                    <a:spPr bwMode="auto">
                      <a:xfrm>
                        <a:off x="4175420" y="5820264"/>
                        <a:ext cx="1059413" cy="881107"/>
                      </a:xfrm>
                      <a:prstGeom prst="can">
                        <a:avLst/>
                      </a:prstGeom>
                      <a:solidFill>
                        <a:schemeClr val="bg2">
                          <a:lumMod val="40000"/>
                          <a:lumOff val="60000"/>
                        </a:schemeClr>
                      </a:solidFill>
                      <a:ln>
                        <a:solidFill>
                          <a:schemeClr val="tx1"/>
                        </a:solidFill>
                        <a:headEnd type="none" w="med" len="med"/>
                        <a:tailEnd type="stealth" w="lg" len="lg"/>
                      </a:ln>
                    </a:spPr>
                    <a:txSp>
                      <a:txBody>
                        <a:bodyPr vert="horz" wrap="square" lIns="91440" tIns="45720" rIns="91440" bIns="45720" numCol="1" rtlCol="0" anchor="t" anchorCtr="0" compatLnSpc="1">
                          <a:prstTxWarp prst="textNoShape">
                            <a:avLst/>
                          </a:prstTxWarp>
                          <a:noAutofit/>
                        </a:bodyPr>
                        <a:lstStyle>
                          <a:defPPr>
                            <a:defRPr lang="en-US"/>
                          </a:defPPr>
                          <a:lvl1pPr algn="l" rtl="0" fontAlgn="base">
                            <a:spcBef>
                              <a:spcPct val="0"/>
                            </a:spcBef>
                            <a:spcAft>
                              <a:spcPct val="0"/>
                            </a:spcAft>
                            <a:defRPr sz="2300" kern="1200">
                              <a:solidFill>
                                <a:schemeClr val="lt1"/>
                              </a:solidFill>
                              <a:latin typeface="+mn-lt"/>
                              <a:ea typeface="+mn-ea"/>
                              <a:cs typeface="+mn-cs"/>
                            </a:defRPr>
                          </a:lvl1pPr>
                          <a:lvl2pPr marL="457200" algn="l" rtl="0" fontAlgn="base">
                            <a:spcBef>
                              <a:spcPct val="0"/>
                            </a:spcBef>
                            <a:spcAft>
                              <a:spcPct val="0"/>
                            </a:spcAft>
                            <a:defRPr sz="2300" kern="1200">
                              <a:solidFill>
                                <a:schemeClr val="lt1"/>
                              </a:solidFill>
                              <a:latin typeface="+mn-lt"/>
                              <a:ea typeface="+mn-ea"/>
                              <a:cs typeface="+mn-cs"/>
                            </a:defRPr>
                          </a:lvl2pPr>
                          <a:lvl3pPr marL="914400" algn="l" rtl="0" fontAlgn="base">
                            <a:spcBef>
                              <a:spcPct val="0"/>
                            </a:spcBef>
                            <a:spcAft>
                              <a:spcPct val="0"/>
                            </a:spcAft>
                            <a:defRPr sz="2300" kern="1200">
                              <a:solidFill>
                                <a:schemeClr val="lt1"/>
                              </a:solidFill>
                              <a:latin typeface="+mn-lt"/>
                              <a:ea typeface="+mn-ea"/>
                              <a:cs typeface="+mn-cs"/>
                            </a:defRPr>
                          </a:lvl3pPr>
                          <a:lvl4pPr marL="1371600" algn="l" rtl="0" fontAlgn="base">
                            <a:spcBef>
                              <a:spcPct val="0"/>
                            </a:spcBef>
                            <a:spcAft>
                              <a:spcPct val="0"/>
                            </a:spcAft>
                            <a:defRPr sz="2300" kern="1200">
                              <a:solidFill>
                                <a:schemeClr val="lt1"/>
                              </a:solidFill>
                              <a:latin typeface="+mn-lt"/>
                              <a:ea typeface="+mn-ea"/>
                              <a:cs typeface="+mn-cs"/>
                            </a:defRPr>
                          </a:lvl4pPr>
                          <a:lvl5pPr marL="1828800" algn="l" rtl="0" fontAlgn="base">
                            <a:spcBef>
                              <a:spcPct val="0"/>
                            </a:spcBef>
                            <a:spcAft>
                              <a:spcPct val="0"/>
                            </a:spcAft>
                            <a:defRPr sz="2300" kern="1200">
                              <a:solidFill>
                                <a:schemeClr val="lt1"/>
                              </a:solidFill>
                              <a:latin typeface="+mn-lt"/>
                              <a:ea typeface="+mn-ea"/>
                              <a:cs typeface="+mn-cs"/>
                            </a:defRPr>
                          </a:lvl5pPr>
                          <a:lvl6pPr marL="2286000" algn="l" defTabSz="914400" rtl="0" eaLnBrk="1" latinLnBrk="0" hangingPunct="1">
                            <a:defRPr sz="2300" kern="1200">
                              <a:solidFill>
                                <a:schemeClr val="lt1"/>
                              </a:solidFill>
                              <a:latin typeface="+mn-lt"/>
                              <a:ea typeface="+mn-ea"/>
                              <a:cs typeface="+mn-cs"/>
                            </a:defRPr>
                          </a:lvl6pPr>
                          <a:lvl7pPr marL="2743200" algn="l" defTabSz="914400" rtl="0" eaLnBrk="1" latinLnBrk="0" hangingPunct="1">
                            <a:defRPr sz="2300" kern="1200">
                              <a:solidFill>
                                <a:schemeClr val="lt1"/>
                              </a:solidFill>
                              <a:latin typeface="+mn-lt"/>
                              <a:ea typeface="+mn-ea"/>
                              <a:cs typeface="+mn-cs"/>
                            </a:defRPr>
                          </a:lvl7pPr>
                          <a:lvl8pPr marL="3200400" algn="l" defTabSz="914400" rtl="0" eaLnBrk="1" latinLnBrk="0" hangingPunct="1">
                            <a:defRPr sz="2300" kern="1200">
                              <a:solidFill>
                                <a:schemeClr val="lt1"/>
                              </a:solidFill>
                              <a:latin typeface="+mn-lt"/>
                              <a:ea typeface="+mn-ea"/>
                              <a:cs typeface="+mn-cs"/>
                            </a:defRPr>
                          </a:lvl8pPr>
                          <a:lvl9pPr marL="3657600" algn="l" defTabSz="914400" rtl="0" eaLnBrk="1" latinLnBrk="0" hangingPunct="1">
                            <a:defRPr sz="2300" kern="1200">
                              <a:solidFill>
                                <a:schemeClr val="lt1"/>
                              </a:solidFill>
                              <a:latin typeface="+mn-lt"/>
                              <a:ea typeface="+mn-ea"/>
                              <a:cs typeface="+mn-cs"/>
                            </a:defRPr>
                          </a:lvl9pPr>
                        </a:lstStyle>
                        <a:p>
                          <a:pPr marL="0" marR="0" indent="0" algn="ctr" defTabSz="914400" eaLnBrk="1" latinLnBrk="0" hangingPunct="1">
                            <a:lnSpc>
                              <a:spcPct val="100000"/>
                            </a:lnSpc>
                            <a:buClrTx/>
                            <a:buSzTx/>
                            <a:buFontTx/>
                            <a:buNone/>
                            <a:tabLst/>
                          </a:pPr>
                          <a:endParaRPr lang="en-US" sz="1600" b="1" smtClean="0">
                            <a:latin typeface="Calibri" pitchFamily="34" charset="0"/>
                          </a:endParaRPr>
                        </a:p>
                      </a:txBody>
                      <a:useSpRect/>
                    </a:txSp>
                    <a:style>
                      <a:lnRef idx="0">
                        <a:schemeClr val="accent3"/>
                      </a:lnRef>
                      <a:fillRef idx="3">
                        <a:schemeClr val="accent3"/>
                      </a:fillRef>
                      <a:effectRef idx="3">
                        <a:schemeClr val="accent3"/>
                      </a:effectRef>
                      <a:fontRef idx="minor">
                        <a:schemeClr val="lt1"/>
                      </a:fontRef>
                    </a:style>
                  </a:sp>
                  <a:sp>
                    <a:nvSpPr>
                      <a:cNvPr id="91" name="Text Box 29"/>
                      <a:cNvSpPr txBox="1">
                        <a:spLocks noChangeArrowheads="1"/>
                      </a:cNvSpPr>
                    </a:nvSpPr>
                    <a:spPr bwMode="auto">
                      <a:xfrm>
                        <a:off x="4175421" y="6068511"/>
                        <a:ext cx="1059412" cy="628789"/>
                      </a:xfrm>
                      <a:prstGeom prst="rect">
                        <a:avLst/>
                      </a:prstGeom>
                      <a:noFill/>
                      <a:ln>
                        <a:headEnd type="none" w="med" len="med"/>
                        <a:tailEnd type="stealth" w="lg" len="lg"/>
                      </a:ln>
                      <a:effectLst/>
                    </a:spPr>
                    <a:txSp>
                      <a:txBody>
                        <a:bodyPr vert="horz" wrap="square" lIns="91440" tIns="45720" rIns="91440" bIns="45720" numCol="1" rtlCol="0" anchor="t" anchorCtr="0" compatLnSpc="1">
                          <a:prstTxWarp prst="textNoShape">
                            <a:avLst/>
                          </a:prstTxWarp>
                          <a:noAutofit/>
                        </a:bodyPr>
                        <a:lstStyle>
                          <a:defPPr>
                            <a:defRPr lang="en-US"/>
                          </a:defPPr>
                          <a:lvl1pPr algn="l" rtl="0" fontAlgn="base">
                            <a:spcBef>
                              <a:spcPct val="0"/>
                            </a:spcBef>
                            <a:spcAft>
                              <a:spcPct val="0"/>
                            </a:spcAft>
                            <a:defRPr sz="2300" kern="1200">
                              <a:solidFill>
                                <a:schemeClr val="lt1"/>
                              </a:solidFill>
                              <a:latin typeface="+mn-lt"/>
                              <a:ea typeface="+mn-ea"/>
                              <a:cs typeface="+mn-cs"/>
                            </a:defRPr>
                          </a:lvl1pPr>
                          <a:lvl2pPr marL="457200" algn="l" rtl="0" fontAlgn="base">
                            <a:spcBef>
                              <a:spcPct val="0"/>
                            </a:spcBef>
                            <a:spcAft>
                              <a:spcPct val="0"/>
                            </a:spcAft>
                            <a:defRPr sz="2300" kern="1200">
                              <a:solidFill>
                                <a:schemeClr val="lt1"/>
                              </a:solidFill>
                              <a:latin typeface="+mn-lt"/>
                              <a:ea typeface="+mn-ea"/>
                              <a:cs typeface="+mn-cs"/>
                            </a:defRPr>
                          </a:lvl2pPr>
                          <a:lvl3pPr marL="914400" algn="l" rtl="0" fontAlgn="base">
                            <a:spcBef>
                              <a:spcPct val="0"/>
                            </a:spcBef>
                            <a:spcAft>
                              <a:spcPct val="0"/>
                            </a:spcAft>
                            <a:defRPr sz="2300" kern="1200">
                              <a:solidFill>
                                <a:schemeClr val="lt1"/>
                              </a:solidFill>
                              <a:latin typeface="+mn-lt"/>
                              <a:ea typeface="+mn-ea"/>
                              <a:cs typeface="+mn-cs"/>
                            </a:defRPr>
                          </a:lvl3pPr>
                          <a:lvl4pPr marL="1371600" algn="l" rtl="0" fontAlgn="base">
                            <a:spcBef>
                              <a:spcPct val="0"/>
                            </a:spcBef>
                            <a:spcAft>
                              <a:spcPct val="0"/>
                            </a:spcAft>
                            <a:defRPr sz="2300" kern="1200">
                              <a:solidFill>
                                <a:schemeClr val="lt1"/>
                              </a:solidFill>
                              <a:latin typeface="+mn-lt"/>
                              <a:ea typeface="+mn-ea"/>
                              <a:cs typeface="+mn-cs"/>
                            </a:defRPr>
                          </a:lvl4pPr>
                          <a:lvl5pPr marL="1828800" algn="l" rtl="0" fontAlgn="base">
                            <a:spcBef>
                              <a:spcPct val="0"/>
                            </a:spcBef>
                            <a:spcAft>
                              <a:spcPct val="0"/>
                            </a:spcAft>
                            <a:defRPr sz="2300" kern="1200">
                              <a:solidFill>
                                <a:schemeClr val="lt1"/>
                              </a:solidFill>
                              <a:latin typeface="+mn-lt"/>
                              <a:ea typeface="+mn-ea"/>
                              <a:cs typeface="+mn-cs"/>
                            </a:defRPr>
                          </a:lvl5pPr>
                          <a:lvl6pPr marL="2286000" algn="l" defTabSz="914400" rtl="0" eaLnBrk="1" latinLnBrk="0" hangingPunct="1">
                            <a:defRPr sz="2300" kern="1200">
                              <a:solidFill>
                                <a:schemeClr val="lt1"/>
                              </a:solidFill>
                              <a:latin typeface="+mn-lt"/>
                              <a:ea typeface="+mn-ea"/>
                              <a:cs typeface="+mn-cs"/>
                            </a:defRPr>
                          </a:lvl6pPr>
                          <a:lvl7pPr marL="2743200" algn="l" defTabSz="914400" rtl="0" eaLnBrk="1" latinLnBrk="0" hangingPunct="1">
                            <a:defRPr sz="2300" kern="1200">
                              <a:solidFill>
                                <a:schemeClr val="lt1"/>
                              </a:solidFill>
                              <a:latin typeface="+mn-lt"/>
                              <a:ea typeface="+mn-ea"/>
                              <a:cs typeface="+mn-cs"/>
                            </a:defRPr>
                          </a:lvl7pPr>
                          <a:lvl8pPr marL="3200400" algn="l" defTabSz="914400" rtl="0" eaLnBrk="1" latinLnBrk="0" hangingPunct="1">
                            <a:defRPr sz="2300" kern="1200">
                              <a:solidFill>
                                <a:schemeClr val="lt1"/>
                              </a:solidFill>
                              <a:latin typeface="+mn-lt"/>
                              <a:ea typeface="+mn-ea"/>
                              <a:cs typeface="+mn-cs"/>
                            </a:defRPr>
                          </a:lvl8pPr>
                          <a:lvl9pPr marL="3657600" algn="l" defTabSz="914400" rtl="0" eaLnBrk="1" latinLnBrk="0" hangingPunct="1">
                            <a:defRPr sz="2300" kern="1200">
                              <a:solidFill>
                                <a:schemeClr val="lt1"/>
                              </a:solidFill>
                              <a:latin typeface="+mn-lt"/>
                              <a:ea typeface="+mn-ea"/>
                              <a:cs typeface="+mn-cs"/>
                            </a:defRPr>
                          </a:lvl9pPr>
                        </a:lstStyle>
                        <a:p>
                          <a:pPr algn="ctr"/>
                          <a:r>
                            <a:rPr lang="en-US" sz="1600" b="1" dirty="0" smtClean="0">
                              <a:solidFill>
                                <a:schemeClr val="tx1"/>
                              </a:solidFill>
                              <a:latin typeface="Calibri" pitchFamily="34" charset="0"/>
                            </a:rPr>
                            <a:t>Shared Server</a:t>
                          </a:r>
                        </a:p>
                      </a:txBody>
                      <a:useSpRect/>
                    </a:txSp>
                    <a:style>
                      <a:lnRef idx="0">
                        <a:schemeClr val="accent3"/>
                      </a:lnRef>
                      <a:fillRef idx="3">
                        <a:schemeClr val="accent3"/>
                      </a:fillRef>
                      <a:effectRef idx="3">
                        <a:schemeClr val="accent3"/>
                      </a:effectRef>
                      <a:fontRef idx="minor">
                        <a:schemeClr val="lt1"/>
                      </a:fontRef>
                    </a:style>
                  </a:sp>
                  <a:sp>
                    <a:nvSpPr>
                      <a:cNvPr id="78" name="Flowchart: Multidocument 77"/>
                      <a:cNvSpPr/>
                    </a:nvSpPr>
                    <a:spPr bwMode="auto">
                      <a:xfrm>
                        <a:off x="4365098" y="3114088"/>
                        <a:ext cx="1112331" cy="1161705"/>
                      </a:xfrm>
                      <a:prstGeom prst="flowChartMultidocument">
                        <a:avLst/>
                      </a:prstGeom>
                      <a:noFill/>
                      <a:ln w="19050" cap="flat" cmpd="sng" algn="ctr">
                        <a:solidFill>
                          <a:schemeClr val="tx1"/>
                        </a:solidFill>
                        <a:prstDash val="solid"/>
                        <a:round/>
                        <a:headEnd type="none" w="med" len="med"/>
                        <a:tailEnd type="none" w="med" len="med"/>
                      </a:ln>
                      <a:effectLst/>
                    </a:spPr>
                    <a:txSp>
                      <a:txBody>
                        <a:bodyPr vert="horz" wrap="none" lIns="91440" tIns="45720" rIns="91440" bIns="45720" numCol="1" rtlCol="0" anchor="ctr" anchorCtr="0" compatLnSpc="1">
                          <a:prstTxWarp prst="textNoShape">
                            <a:avLst/>
                          </a:prstTxWarp>
                          <a:noAutofit/>
                        </a:bodyPr>
                        <a:lstStyle>
                          <a:defPPr>
                            <a:defRPr lang="en-US"/>
                          </a:defPPr>
                          <a:lvl1pPr algn="l" rtl="0" fontAlgn="base">
                            <a:spcBef>
                              <a:spcPct val="0"/>
                            </a:spcBef>
                            <a:spcAft>
                              <a:spcPct val="0"/>
                            </a:spcAft>
                            <a:defRPr sz="2300" kern="1200">
                              <a:solidFill>
                                <a:schemeClr val="tx1"/>
                              </a:solidFill>
                              <a:latin typeface="Arial" charset="0"/>
                              <a:ea typeface="+mn-ea"/>
                              <a:cs typeface="+mn-cs"/>
                            </a:defRPr>
                          </a:lvl1pPr>
                          <a:lvl2pPr marL="457200" algn="l" rtl="0" fontAlgn="base">
                            <a:spcBef>
                              <a:spcPct val="0"/>
                            </a:spcBef>
                            <a:spcAft>
                              <a:spcPct val="0"/>
                            </a:spcAft>
                            <a:defRPr sz="2300" kern="1200">
                              <a:solidFill>
                                <a:schemeClr val="tx1"/>
                              </a:solidFill>
                              <a:latin typeface="Arial" charset="0"/>
                              <a:ea typeface="+mn-ea"/>
                              <a:cs typeface="+mn-cs"/>
                            </a:defRPr>
                          </a:lvl2pPr>
                          <a:lvl3pPr marL="914400" algn="l" rtl="0" fontAlgn="base">
                            <a:spcBef>
                              <a:spcPct val="0"/>
                            </a:spcBef>
                            <a:spcAft>
                              <a:spcPct val="0"/>
                            </a:spcAft>
                            <a:defRPr sz="2300" kern="1200">
                              <a:solidFill>
                                <a:schemeClr val="tx1"/>
                              </a:solidFill>
                              <a:latin typeface="Arial" charset="0"/>
                              <a:ea typeface="+mn-ea"/>
                              <a:cs typeface="+mn-cs"/>
                            </a:defRPr>
                          </a:lvl3pPr>
                          <a:lvl4pPr marL="1371600" algn="l" rtl="0" fontAlgn="base">
                            <a:spcBef>
                              <a:spcPct val="0"/>
                            </a:spcBef>
                            <a:spcAft>
                              <a:spcPct val="0"/>
                            </a:spcAft>
                            <a:defRPr sz="2300" kern="1200">
                              <a:solidFill>
                                <a:schemeClr val="tx1"/>
                              </a:solidFill>
                              <a:latin typeface="Arial" charset="0"/>
                              <a:ea typeface="+mn-ea"/>
                              <a:cs typeface="+mn-cs"/>
                            </a:defRPr>
                          </a:lvl4pPr>
                          <a:lvl5pPr marL="1828800" algn="l" rtl="0" fontAlgn="base">
                            <a:spcBef>
                              <a:spcPct val="0"/>
                            </a:spcBef>
                            <a:spcAft>
                              <a:spcPct val="0"/>
                            </a:spcAft>
                            <a:defRPr sz="2300" kern="1200">
                              <a:solidFill>
                                <a:schemeClr val="tx1"/>
                              </a:solidFill>
                              <a:latin typeface="Arial" charset="0"/>
                              <a:ea typeface="+mn-ea"/>
                              <a:cs typeface="+mn-cs"/>
                            </a:defRPr>
                          </a:lvl5pPr>
                          <a:lvl6pPr marL="2286000" algn="l" defTabSz="914400" rtl="0" eaLnBrk="1" latinLnBrk="0" hangingPunct="1">
                            <a:defRPr sz="2300" kern="1200">
                              <a:solidFill>
                                <a:schemeClr val="tx1"/>
                              </a:solidFill>
                              <a:latin typeface="Arial" charset="0"/>
                              <a:ea typeface="+mn-ea"/>
                              <a:cs typeface="+mn-cs"/>
                            </a:defRPr>
                          </a:lvl6pPr>
                          <a:lvl7pPr marL="2743200" algn="l" defTabSz="914400" rtl="0" eaLnBrk="1" latinLnBrk="0" hangingPunct="1">
                            <a:defRPr sz="2300" kern="1200">
                              <a:solidFill>
                                <a:schemeClr val="tx1"/>
                              </a:solidFill>
                              <a:latin typeface="Arial" charset="0"/>
                              <a:ea typeface="+mn-ea"/>
                              <a:cs typeface="+mn-cs"/>
                            </a:defRPr>
                          </a:lvl7pPr>
                          <a:lvl8pPr marL="3200400" algn="l" defTabSz="914400" rtl="0" eaLnBrk="1" latinLnBrk="0" hangingPunct="1">
                            <a:defRPr sz="2300" kern="1200">
                              <a:solidFill>
                                <a:schemeClr val="tx1"/>
                              </a:solidFill>
                              <a:latin typeface="Arial" charset="0"/>
                              <a:ea typeface="+mn-ea"/>
                              <a:cs typeface="+mn-cs"/>
                            </a:defRPr>
                          </a:lvl8pPr>
                          <a:lvl9pPr marL="3657600" algn="l" defTabSz="914400" rtl="0" eaLnBrk="1" latinLnBrk="0" hangingPunct="1">
                            <a:defRPr sz="23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i="0" u="none" strike="noStrike" cap="none" normalizeH="0" baseline="0" smtClean="0">
                            <a:ln>
                              <a:noFill/>
                            </a:ln>
                            <a:solidFill>
                              <a:schemeClr val="tx1"/>
                            </a:solidFill>
                            <a:effectLst/>
                            <a:latin typeface="Arial" charset="0"/>
                          </a:endParaRPr>
                        </a:p>
                      </a:txBody>
                      <a:useSpRect/>
                    </a:txSp>
                  </a:sp>
                  <a:sp>
                    <a:nvSpPr>
                      <a:cNvPr id="99" name="Folded Corner 98"/>
                      <a:cNvSpPr/>
                    </a:nvSpPr>
                    <a:spPr bwMode="auto">
                      <a:xfrm>
                        <a:off x="2555473" y="2844657"/>
                        <a:ext cx="1191608" cy="523794"/>
                      </a:xfrm>
                      <a:prstGeom prst="foldedCorner">
                        <a:avLst/>
                      </a:prstGeom>
                      <a:solidFill>
                        <a:schemeClr val="bg1"/>
                      </a:solidFill>
                      <a:ln w="19050" cap="flat" cmpd="sng" algn="ctr">
                        <a:solidFill>
                          <a:schemeClr val="tx1"/>
                        </a:solidFill>
                        <a:prstDash val="solid"/>
                        <a:round/>
                        <a:headEnd type="none" w="med" len="med"/>
                        <a:tailEnd type="none" w="med" len="med"/>
                      </a:ln>
                      <a:effectLst/>
                    </a:spPr>
                    <a:txSp>
                      <a:txBody>
                        <a:bodyPr vert="horz" wrap="none" lIns="91440" tIns="45720" rIns="91440" bIns="45720" numCol="1" rtlCol="0" anchor="ctr" anchorCtr="0" compatLnSpc="1">
                          <a:prstTxWarp prst="textNoShape">
                            <a:avLst/>
                          </a:prstTxWarp>
                          <a:noAutofit/>
                        </a:bodyPr>
                        <a:lstStyle>
                          <a:defPPr>
                            <a:defRPr lang="en-US"/>
                          </a:defPPr>
                          <a:lvl1pPr algn="l" rtl="0" fontAlgn="base">
                            <a:spcBef>
                              <a:spcPct val="0"/>
                            </a:spcBef>
                            <a:spcAft>
                              <a:spcPct val="0"/>
                            </a:spcAft>
                            <a:defRPr sz="2300" kern="1200">
                              <a:solidFill>
                                <a:schemeClr val="tx1"/>
                              </a:solidFill>
                              <a:latin typeface="Arial" charset="0"/>
                              <a:ea typeface="+mn-ea"/>
                              <a:cs typeface="+mn-cs"/>
                            </a:defRPr>
                          </a:lvl1pPr>
                          <a:lvl2pPr marL="457200" algn="l" rtl="0" fontAlgn="base">
                            <a:spcBef>
                              <a:spcPct val="0"/>
                            </a:spcBef>
                            <a:spcAft>
                              <a:spcPct val="0"/>
                            </a:spcAft>
                            <a:defRPr sz="2300" kern="1200">
                              <a:solidFill>
                                <a:schemeClr val="tx1"/>
                              </a:solidFill>
                              <a:latin typeface="Arial" charset="0"/>
                              <a:ea typeface="+mn-ea"/>
                              <a:cs typeface="+mn-cs"/>
                            </a:defRPr>
                          </a:lvl2pPr>
                          <a:lvl3pPr marL="914400" algn="l" rtl="0" fontAlgn="base">
                            <a:spcBef>
                              <a:spcPct val="0"/>
                            </a:spcBef>
                            <a:spcAft>
                              <a:spcPct val="0"/>
                            </a:spcAft>
                            <a:defRPr sz="2300" kern="1200">
                              <a:solidFill>
                                <a:schemeClr val="tx1"/>
                              </a:solidFill>
                              <a:latin typeface="Arial" charset="0"/>
                              <a:ea typeface="+mn-ea"/>
                              <a:cs typeface="+mn-cs"/>
                            </a:defRPr>
                          </a:lvl3pPr>
                          <a:lvl4pPr marL="1371600" algn="l" rtl="0" fontAlgn="base">
                            <a:spcBef>
                              <a:spcPct val="0"/>
                            </a:spcBef>
                            <a:spcAft>
                              <a:spcPct val="0"/>
                            </a:spcAft>
                            <a:defRPr sz="2300" kern="1200">
                              <a:solidFill>
                                <a:schemeClr val="tx1"/>
                              </a:solidFill>
                              <a:latin typeface="Arial" charset="0"/>
                              <a:ea typeface="+mn-ea"/>
                              <a:cs typeface="+mn-cs"/>
                            </a:defRPr>
                          </a:lvl4pPr>
                          <a:lvl5pPr marL="1828800" algn="l" rtl="0" fontAlgn="base">
                            <a:spcBef>
                              <a:spcPct val="0"/>
                            </a:spcBef>
                            <a:spcAft>
                              <a:spcPct val="0"/>
                            </a:spcAft>
                            <a:defRPr sz="2300" kern="1200">
                              <a:solidFill>
                                <a:schemeClr val="tx1"/>
                              </a:solidFill>
                              <a:latin typeface="Arial" charset="0"/>
                              <a:ea typeface="+mn-ea"/>
                              <a:cs typeface="+mn-cs"/>
                            </a:defRPr>
                          </a:lvl5pPr>
                          <a:lvl6pPr marL="2286000" algn="l" defTabSz="914400" rtl="0" eaLnBrk="1" latinLnBrk="0" hangingPunct="1">
                            <a:defRPr sz="2300" kern="1200">
                              <a:solidFill>
                                <a:schemeClr val="tx1"/>
                              </a:solidFill>
                              <a:latin typeface="Arial" charset="0"/>
                              <a:ea typeface="+mn-ea"/>
                              <a:cs typeface="+mn-cs"/>
                            </a:defRPr>
                          </a:lvl6pPr>
                          <a:lvl7pPr marL="2743200" algn="l" defTabSz="914400" rtl="0" eaLnBrk="1" latinLnBrk="0" hangingPunct="1">
                            <a:defRPr sz="2300" kern="1200">
                              <a:solidFill>
                                <a:schemeClr val="tx1"/>
                              </a:solidFill>
                              <a:latin typeface="Arial" charset="0"/>
                              <a:ea typeface="+mn-ea"/>
                              <a:cs typeface="+mn-cs"/>
                            </a:defRPr>
                          </a:lvl7pPr>
                          <a:lvl8pPr marL="3200400" algn="l" defTabSz="914400" rtl="0" eaLnBrk="1" latinLnBrk="0" hangingPunct="1">
                            <a:defRPr sz="2300" kern="1200">
                              <a:solidFill>
                                <a:schemeClr val="tx1"/>
                              </a:solidFill>
                              <a:latin typeface="Arial" charset="0"/>
                              <a:ea typeface="+mn-ea"/>
                              <a:cs typeface="+mn-cs"/>
                            </a:defRPr>
                          </a:lvl8pPr>
                          <a:lvl9pPr marL="3657600" algn="l" defTabSz="914400" rtl="0" eaLnBrk="1" latinLnBrk="0" hangingPunct="1">
                            <a:defRPr sz="23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i="0" u="none" strike="noStrike" cap="none" normalizeH="0" baseline="0" smtClean="0">
                            <a:ln>
                              <a:noFill/>
                            </a:ln>
                            <a:solidFill>
                              <a:schemeClr val="tx1"/>
                            </a:solidFill>
                            <a:effectLst/>
                            <a:latin typeface="Arial" charset="0"/>
                          </a:endParaRPr>
                        </a:p>
                      </a:txBody>
                      <a:useSpRect/>
                    </a:txSp>
                  </a:sp>
                  <a:sp>
                    <a:nvSpPr>
                      <a:cNvPr id="100" name="Can 99"/>
                      <a:cNvSpPr/>
                    </a:nvSpPr>
                    <a:spPr bwMode="auto">
                      <a:xfrm>
                        <a:off x="5852379" y="3798838"/>
                        <a:ext cx="942181" cy="713220"/>
                      </a:xfrm>
                      <a:prstGeom prst="can">
                        <a:avLst/>
                      </a:prstGeom>
                      <a:noFill/>
                      <a:ln w="19050" cap="flat" cmpd="sng" algn="ctr">
                        <a:solidFill>
                          <a:schemeClr val="tx1"/>
                        </a:solidFill>
                        <a:prstDash val="solid"/>
                        <a:round/>
                        <a:headEnd type="none" w="med" len="med"/>
                        <a:tailEnd type="none" w="med" len="med"/>
                      </a:ln>
                      <a:effectLst/>
                    </a:spPr>
                    <a:txSp>
                      <a:txBody>
                        <a:bodyPr vert="horz" wrap="none" lIns="91440" tIns="45720" rIns="91440" bIns="45720" numCol="1" rtlCol="0" anchor="ctr" anchorCtr="0" compatLnSpc="1">
                          <a:prstTxWarp prst="textNoShape">
                            <a:avLst/>
                          </a:prstTxWarp>
                          <a:noAutofit/>
                        </a:bodyPr>
                        <a:lstStyle>
                          <a:defPPr>
                            <a:defRPr lang="en-US"/>
                          </a:defPPr>
                          <a:lvl1pPr algn="l" rtl="0" fontAlgn="base">
                            <a:spcBef>
                              <a:spcPct val="0"/>
                            </a:spcBef>
                            <a:spcAft>
                              <a:spcPct val="0"/>
                            </a:spcAft>
                            <a:defRPr sz="2300" kern="1200">
                              <a:solidFill>
                                <a:schemeClr val="tx1"/>
                              </a:solidFill>
                              <a:latin typeface="Arial" charset="0"/>
                              <a:ea typeface="+mn-ea"/>
                              <a:cs typeface="+mn-cs"/>
                            </a:defRPr>
                          </a:lvl1pPr>
                          <a:lvl2pPr marL="457200" algn="l" rtl="0" fontAlgn="base">
                            <a:spcBef>
                              <a:spcPct val="0"/>
                            </a:spcBef>
                            <a:spcAft>
                              <a:spcPct val="0"/>
                            </a:spcAft>
                            <a:defRPr sz="2300" kern="1200">
                              <a:solidFill>
                                <a:schemeClr val="tx1"/>
                              </a:solidFill>
                              <a:latin typeface="Arial" charset="0"/>
                              <a:ea typeface="+mn-ea"/>
                              <a:cs typeface="+mn-cs"/>
                            </a:defRPr>
                          </a:lvl2pPr>
                          <a:lvl3pPr marL="914400" algn="l" rtl="0" fontAlgn="base">
                            <a:spcBef>
                              <a:spcPct val="0"/>
                            </a:spcBef>
                            <a:spcAft>
                              <a:spcPct val="0"/>
                            </a:spcAft>
                            <a:defRPr sz="2300" kern="1200">
                              <a:solidFill>
                                <a:schemeClr val="tx1"/>
                              </a:solidFill>
                              <a:latin typeface="Arial" charset="0"/>
                              <a:ea typeface="+mn-ea"/>
                              <a:cs typeface="+mn-cs"/>
                            </a:defRPr>
                          </a:lvl3pPr>
                          <a:lvl4pPr marL="1371600" algn="l" rtl="0" fontAlgn="base">
                            <a:spcBef>
                              <a:spcPct val="0"/>
                            </a:spcBef>
                            <a:spcAft>
                              <a:spcPct val="0"/>
                            </a:spcAft>
                            <a:defRPr sz="2300" kern="1200">
                              <a:solidFill>
                                <a:schemeClr val="tx1"/>
                              </a:solidFill>
                              <a:latin typeface="Arial" charset="0"/>
                              <a:ea typeface="+mn-ea"/>
                              <a:cs typeface="+mn-cs"/>
                            </a:defRPr>
                          </a:lvl4pPr>
                          <a:lvl5pPr marL="1828800" algn="l" rtl="0" fontAlgn="base">
                            <a:spcBef>
                              <a:spcPct val="0"/>
                            </a:spcBef>
                            <a:spcAft>
                              <a:spcPct val="0"/>
                            </a:spcAft>
                            <a:defRPr sz="2300" kern="1200">
                              <a:solidFill>
                                <a:schemeClr val="tx1"/>
                              </a:solidFill>
                              <a:latin typeface="Arial" charset="0"/>
                              <a:ea typeface="+mn-ea"/>
                              <a:cs typeface="+mn-cs"/>
                            </a:defRPr>
                          </a:lvl5pPr>
                          <a:lvl6pPr marL="2286000" algn="l" defTabSz="914400" rtl="0" eaLnBrk="1" latinLnBrk="0" hangingPunct="1">
                            <a:defRPr sz="2300" kern="1200">
                              <a:solidFill>
                                <a:schemeClr val="tx1"/>
                              </a:solidFill>
                              <a:latin typeface="Arial" charset="0"/>
                              <a:ea typeface="+mn-ea"/>
                              <a:cs typeface="+mn-cs"/>
                            </a:defRPr>
                          </a:lvl6pPr>
                          <a:lvl7pPr marL="2743200" algn="l" defTabSz="914400" rtl="0" eaLnBrk="1" latinLnBrk="0" hangingPunct="1">
                            <a:defRPr sz="2300" kern="1200">
                              <a:solidFill>
                                <a:schemeClr val="tx1"/>
                              </a:solidFill>
                              <a:latin typeface="Arial" charset="0"/>
                              <a:ea typeface="+mn-ea"/>
                              <a:cs typeface="+mn-cs"/>
                            </a:defRPr>
                          </a:lvl7pPr>
                          <a:lvl8pPr marL="3200400" algn="l" defTabSz="914400" rtl="0" eaLnBrk="1" latinLnBrk="0" hangingPunct="1">
                            <a:defRPr sz="2300" kern="1200">
                              <a:solidFill>
                                <a:schemeClr val="tx1"/>
                              </a:solidFill>
                              <a:latin typeface="Arial" charset="0"/>
                              <a:ea typeface="+mn-ea"/>
                              <a:cs typeface="+mn-cs"/>
                            </a:defRPr>
                          </a:lvl8pPr>
                          <a:lvl9pPr marL="3657600" algn="l" defTabSz="914400" rtl="0" eaLnBrk="1" latinLnBrk="0" hangingPunct="1">
                            <a:defRPr sz="23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i="0" u="none" strike="noStrike" cap="none" normalizeH="0" baseline="0" smtClean="0">
                            <a:ln>
                              <a:noFill/>
                            </a:ln>
                            <a:solidFill>
                              <a:schemeClr val="tx1"/>
                            </a:solidFill>
                            <a:effectLst/>
                            <a:latin typeface="Arial" charset="0"/>
                          </a:endParaRPr>
                        </a:p>
                      </a:txBody>
                      <a:useSpRect/>
                    </a:txSp>
                  </a:sp>
                  <a:grpSp>
                    <a:nvGrpSpPr>
                      <a:cNvPr id="117" name="Group 116"/>
                      <a:cNvGrpSpPr/>
                    </a:nvGrpSpPr>
                    <a:grpSpPr>
                      <a:xfrm>
                        <a:off x="5979791" y="2958710"/>
                        <a:ext cx="677713" cy="343674"/>
                        <a:chOff x="7338362" y="5303803"/>
                        <a:chExt cx="754030" cy="338414"/>
                      </a:xfrm>
                    </a:grpSpPr>
                    <a:sp>
                      <a:nvSpPr>
                        <a:cNvPr id="96" name="Flowchart: Summing Junction 95"/>
                        <a:cNvSpPr/>
                      </a:nvSpPr>
                      <a:spPr bwMode="auto">
                        <a:xfrm>
                          <a:off x="7338362" y="5303803"/>
                          <a:ext cx="382381" cy="330431"/>
                        </a:xfrm>
                        <a:prstGeom prst="flowChartSummingJunction">
                          <a:avLst/>
                        </a:prstGeom>
                        <a:noFill/>
                        <a:ln w="19050" cap="flat" cmpd="sng" algn="ctr">
                          <a:solidFill>
                            <a:schemeClr val="tx1"/>
                          </a:solidFill>
                          <a:prstDash val="solid"/>
                          <a:round/>
                          <a:headEnd type="none" w="med" len="med"/>
                          <a:tailEnd type="none" w="med" len="med"/>
                        </a:ln>
                        <a:effectLst/>
                      </a:spPr>
                      <a:txSp>
                        <a:txBody>
                          <a:bodyPr vert="horz" wrap="none" lIns="91440" tIns="45720" rIns="91440" bIns="45720" numCol="1" rtlCol="0" anchor="ctr" anchorCtr="0" compatLnSpc="1">
                            <a:prstTxWarp prst="textNoShape">
                              <a:avLst/>
                            </a:prstTxWarp>
                            <a:noAutofit/>
                          </a:bodyPr>
                          <a:lstStyle>
                            <a:defPPr>
                              <a:defRPr lang="en-US"/>
                            </a:defPPr>
                            <a:lvl1pPr algn="l" rtl="0" fontAlgn="base">
                              <a:spcBef>
                                <a:spcPct val="0"/>
                              </a:spcBef>
                              <a:spcAft>
                                <a:spcPct val="0"/>
                              </a:spcAft>
                              <a:defRPr sz="2300" kern="1200">
                                <a:solidFill>
                                  <a:schemeClr val="tx1"/>
                                </a:solidFill>
                                <a:latin typeface="Arial" charset="0"/>
                                <a:ea typeface="+mn-ea"/>
                                <a:cs typeface="+mn-cs"/>
                              </a:defRPr>
                            </a:lvl1pPr>
                            <a:lvl2pPr marL="457200" algn="l" rtl="0" fontAlgn="base">
                              <a:spcBef>
                                <a:spcPct val="0"/>
                              </a:spcBef>
                              <a:spcAft>
                                <a:spcPct val="0"/>
                              </a:spcAft>
                              <a:defRPr sz="2300" kern="1200">
                                <a:solidFill>
                                  <a:schemeClr val="tx1"/>
                                </a:solidFill>
                                <a:latin typeface="Arial" charset="0"/>
                                <a:ea typeface="+mn-ea"/>
                                <a:cs typeface="+mn-cs"/>
                              </a:defRPr>
                            </a:lvl2pPr>
                            <a:lvl3pPr marL="914400" algn="l" rtl="0" fontAlgn="base">
                              <a:spcBef>
                                <a:spcPct val="0"/>
                              </a:spcBef>
                              <a:spcAft>
                                <a:spcPct val="0"/>
                              </a:spcAft>
                              <a:defRPr sz="2300" kern="1200">
                                <a:solidFill>
                                  <a:schemeClr val="tx1"/>
                                </a:solidFill>
                                <a:latin typeface="Arial" charset="0"/>
                                <a:ea typeface="+mn-ea"/>
                                <a:cs typeface="+mn-cs"/>
                              </a:defRPr>
                            </a:lvl3pPr>
                            <a:lvl4pPr marL="1371600" algn="l" rtl="0" fontAlgn="base">
                              <a:spcBef>
                                <a:spcPct val="0"/>
                              </a:spcBef>
                              <a:spcAft>
                                <a:spcPct val="0"/>
                              </a:spcAft>
                              <a:defRPr sz="2300" kern="1200">
                                <a:solidFill>
                                  <a:schemeClr val="tx1"/>
                                </a:solidFill>
                                <a:latin typeface="Arial" charset="0"/>
                                <a:ea typeface="+mn-ea"/>
                                <a:cs typeface="+mn-cs"/>
                              </a:defRPr>
                            </a:lvl4pPr>
                            <a:lvl5pPr marL="1828800" algn="l" rtl="0" fontAlgn="base">
                              <a:spcBef>
                                <a:spcPct val="0"/>
                              </a:spcBef>
                              <a:spcAft>
                                <a:spcPct val="0"/>
                              </a:spcAft>
                              <a:defRPr sz="2300" kern="1200">
                                <a:solidFill>
                                  <a:schemeClr val="tx1"/>
                                </a:solidFill>
                                <a:latin typeface="Arial" charset="0"/>
                                <a:ea typeface="+mn-ea"/>
                                <a:cs typeface="+mn-cs"/>
                              </a:defRPr>
                            </a:lvl5pPr>
                            <a:lvl6pPr marL="2286000" algn="l" defTabSz="914400" rtl="0" eaLnBrk="1" latinLnBrk="0" hangingPunct="1">
                              <a:defRPr sz="2300" kern="1200">
                                <a:solidFill>
                                  <a:schemeClr val="tx1"/>
                                </a:solidFill>
                                <a:latin typeface="Arial" charset="0"/>
                                <a:ea typeface="+mn-ea"/>
                                <a:cs typeface="+mn-cs"/>
                              </a:defRPr>
                            </a:lvl6pPr>
                            <a:lvl7pPr marL="2743200" algn="l" defTabSz="914400" rtl="0" eaLnBrk="1" latinLnBrk="0" hangingPunct="1">
                              <a:defRPr sz="2300" kern="1200">
                                <a:solidFill>
                                  <a:schemeClr val="tx1"/>
                                </a:solidFill>
                                <a:latin typeface="Arial" charset="0"/>
                                <a:ea typeface="+mn-ea"/>
                                <a:cs typeface="+mn-cs"/>
                              </a:defRPr>
                            </a:lvl7pPr>
                            <a:lvl8pPr marL="3200400" algn="l" defTabSz="914400" rtl="0" eaLnBrk="1" latinLnBrk="0" hangingPunct="1">
                              <a:defRPr sz="2300" kern="1200">
                                <a:solidFill>
                                  <a:schemeClr val="tx1"/>
                                </a:solidFill>
                                <a:latin typeface="Arial" charset="0"/>
                                <a:ea typeface="+mn-ea"/>
                                <a:cs typeface="+mn-cs"/>
                              </a:defRPr>
                            </a:lvl8pPr>
                            <a:lvl9pPr marL="3657600" algn="l" defTabSz="914400" rtl="0" eaLnBrk="1" latinLnBrk="0" hangingPunct="1">
                              <a:defRPr sz="23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i="0" u="none" strike="noStrike" cap="none" normalizeH="0" baseline="0" smtClean="0">
                              <a:ln>
                                <a:noFill/>
                              </a:ln>
                              <a:solidFill>
                                <a:schemeClr val="tx1"/>
                              </a:solidFill>
                              <a:effectLst/>
                              <a:latin typeface="Arial" charset="0"/>
                            </a:endParaRPr>
                          </a:p>
                        </a:txBody>
                        <a:useSpRect/>
                      </a:txSp>
                    </a:sp>
                    <a:sp>
                      <a:nvSpPr>
                        <a:cNvPr id="102" name="Flowchart: Or 101"/>
                        <a:cNvSpPr/>
                      </a:nvSpPr>
                      <a:spPr bwMode="auto">
                        <a:xfrm>
                          <a:off x="7720743" y="5311786"/>
                          <a:ext cx="371649" cy="330431"/>
                        </a:xfrm>
                        <a:prstGeom prst="flowChartOr">
                          <a:avLst/>
                        </a:prstGeom>
                        <a:noFill/>
                        <a:ln w="19050" cap="flat" cmpd="sng" algn="ctr">
                          <a:solidFill>
                            <a:schemeClr val="tx1"/>
                          </a:solidFill>
                          <a:prstDash val="solid"/>
                          <a:round/>
                          <a:headEnd type="none" w="med" len="med"/>
                          <a:tailEnd type="none" w="med" len="med"/>
                        </a:ln>
                        <a:effectLst/>
                      </a:spPr>
                      <a:txSp>
                        <a:txBody>
                          <a:bodyPr vert="horz" wrap="none" lIns="91440" tIns="45720" rIns="91440" bIns="45720" numCol="1" rtlCol="0" anchor="ctr" anchorCtr="0" compatLnSpc="1">
                            <a:prstTxWarp prst="textNoShape">
                              <a:avLst/>
                            </a:prstTxWarp>
                            <a:noAutofit/>
                          </a:bodyPr>
                          <a:lstStyle>
                            <a:defPPr>
                              <a:defRPr lang="en-US"/>
                            </a:defPPr>
                            <a:lvl1pPr algn="l" rtl="0" fontAlgn="base">
                              <a:spcBef>
                                <a:spcPct val="0"/>
                              </a:spcBef>
                              <a:spcAft>
                                <a:spcPct val="0"/>
                              </a:spcAft>
                              <a:defRPr sz="2300" kern="1200">
                                <a:solidFill>
                                  <a:schemeClr val="tx1"/>
                                </a:solidFill>
                                <a:latin typeface="Arial" charset="0"/>
                                <a:ea typeface="+mn-ea"/>
                                <a:cs typeface="+mn-cs"/>
                              </a:defRPr>
                            </a:lvl1pPr>
                            <a:lvl2pPr marL="457200" algn="l" rtl="0" fontAlgn="base">
                              <a:spcBef>
                                <a:spcPct val="0"/>
                              </a:spcBef>
                              <a:spcAft>
                                <a:spcPct val="0"/>
                              </a:spcAft>
                              <a:defRPr sz="2300" kern="1200">
                                <a:solidFill>
                                  <a:schemeClr val="tx1"/>
                                </a:solidFill>
                                <a:latin typeface="Arial" charset="0"/>
                                <a:ea typeface="+mn-ea"/>
                                <a:cs typeface="+mn-cs"/>
                              </a:defRPr>
                            </a:lvl2pPr>
                            <a:lvl3pPr marL="914400" algn="l" rtl="0" fontAlgn="base">
                              <a:spcBef>
                                <a:spcPct val="0"/>
                              </a:spcBef>
                              <a:spcAft>
                                <a:spcPct val="0"/>
                              </a:spcAft>
                              <a:defRPr sz="2300" kern="1200">
                                <a:solidFill>
                                  <a:schemeClr val="tx1"/>
                                </a:solidFill>
                                <a:latin typeface="Arial" charset="0"/>
                                <a:ea typeface="+mn-ea"/>
                                <a:cs typeface="+mn-cs"/>
                              </a:defRPr>
                            </a:lvl3pPr>
                            <a:lvl4pPr marL="1371600" algn="l" rtl="0" fontAlgn="base">
                              <a:spcBef>
                                <a:spcPct val="0"/>
                              </a:spcBef>
                              <a:spcAft>
                                <a:spcPct val="0"/>
                              </a:spcAft>
                              <a:defRPr sz="2300" kern="1200">
                                <a:solidFill>
                                  <a:schemeClr val="tx1"/>
                                </a:solidFill>
                                <a:latin typeface="Arial" charset="0"/>
                                <a:ea typeface="+mn-ea"/>
                                <a:cs typeface="+mn-cs"/>
                              </a:defRPr>
                            </a:lvl4pPr>
                            <a:lvl5pPr marL="1828800" algn="l" rtl="0" fontAlgn="base">
                              <a:spcBef>
                                <a:spcPct val="0"/>
                              </a:spcBef>
                              <a:spcAft>
                                <a:spcPct val="0"/>
                              </a:spcAft>
                              <a:defRPr sz="2300" kern="1200">
                                <a:solidFill>
                                  <a:schemeClr val="tx1"/>
                                </a:solidFill>
                                <a:latin typeface="Arial" charset="0"/>
                                <a:ea typeface="+mn-ea"/>
                                <a:cs typeface="+mn-cs"/>
                              </a:defRPr>
                            </a:lvl5pPr>
                            <a:lvl6pPr marL="2286000" algn="l" defTabSz="914400" rtl="0" eaLnBrk="1" latinLnBrk="0" hangingPunct="1">
                              <a:defRPr sz="2300" kern="1200">
                                <a:solidFill>
                                  <a:schemeClr val="tx1"/>
                                </a:solidFill>
                                <a:latin typeface="Arial" charset="0"/>
                                <a:ea typeface="+mn-ea"/>
                                <a:cs typeface="+mn-cs"/>
                              </a:defRPr>
                            </a:lvl6pPr>
                            <a:lvl7pPr marL="2743200" algn="l" defTabSz="914400" rtl="0" eaLnBrk="1" latinLnBrk="0" hangingPunct="1">
                              <a:defRPr sz="2300" kern="1200">
                                <a:solidFill>
                                  <a:schemeClr val="tx1"/>
                                </a:solidFill>
                                <a:latin typeface="Arial" charset="0"/>
                                <a:ea typeface="+mn-ea"/>
                                <a:cs typeface="+mn-cs"/>
                              </a:defRPr>
                            </a:lvl7pPr>
                            <a:lvl8pPr marL="3200400" algn="l" defTabSz="914400" rtl="0" eaLnBrk="1" latinLnBrk="0" hangingPunct="1">
                              <a:defRPr sz="2300" kern="1200">
                                <a:solidFill>
                                  <a:schemeClr val="tx1"/>
                                </a:solidFill>
                                <a:latin typeface="Arial" charset="0"/>
                                <a:ea typeface="+mn-ea"/>
                                <a:cs typeface="+mn-cs"/>
                              </a:defRPr>
                            </a:lvl8pPr>
                            <a:lvl9pPr marL="3657600" algn="l" defTabSz="914400" rtl="0" eaLnBrk="1" latinLnBrk="0" hangingPunct="1">
                              <a:defRPr sz="23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i="0" u="none" strike="noStrike" cap="none" normalizeH="0" baseline="0" smtClean="0">
                              <a:ln>
                                <a:noFill/>
                              </a:ln>
                              <a:solidFill>
                                <a:schemeClr val="tx1"/>
                              </a:solidFill>
                              <a:effectLst/>
                              <a:latin typeface="Arial" charset="0"/>
                            </a:endParaRPr>
                          </a:p>
                        </a:txBody>
                        <a:useSpRect/>
                      </a:txSp>
                    </a:sp>
                  </a:grpSp>
                  <a:sp>
                    <a:nvSpPr>
                      <a:cNvPr id="103" name="Text Box 99"/>
                      <a:cNvSpPr txBox="1">
                        <a:spLocks noChangeArrowheads="1"/>
                      </a:cNvSpPr>
                    </a:nvSpPr>
                    <a:spPr bwMode="auto">
                      <a:xfrm>
                        <a:off x="2627335" y="3934752"/>
                        <a:ext cx="1421180" cy="307777"/>
                      </a:xfrm>
                      <a:prstGeom prst="rect">
                        <a:avLst/>
                      </a:prstGeom>
                      <a:noFill/>
                      <a:ln w="19050" algn="ctr">
                        <a:noFill/>
                        <a:miter lim="800000"/>
                        <a:headEnd/>
                        <a:tailEnd type="none" w="lg" len="lg"/>
                      </a:ln>
                      <a:effectLst/>
                    </a:spPr>
                    <a:txSp>
                      <a:txBody>
                        <a:bodyPr wrap="square">
                          <a:spAutoFit/>
                        </a:bodyPr>
                        <a:lstStyle>
                          <a:defPPr>
                            <a:defRPr lang="en-US"/>
                          </a:defPPr>
                          <a:lvl1pPr algn="l" rtl="0" fontAlgn="base">
                            <a:spcBef>
                              <a:spcPct val="0"/>
                            </a:spcBef>
                            <a:spcAft>
                              <a:spcPct val="0"/>
                            </a:spcAft>
                            <a:defRPr sz="2300" kern="1200">
                              <a:solidFill>
                                <a:schemeClr val="tx1"/>
                              </a:solidFill>
                              <a:latin typeface="Arial" charset="0"/>
                              <a:ea typeface="+mn-ea"/>
                              <a:cs typeface="+mn-cs"/>
                            </a:defRPr>
                          </a:lvl1pPr>
                          <a:lvl2pPr marL="457200" algn="l" rtl="0" fontAlgn="base">
                            <a:spcBef>
                              <a:spcPct val="0"/>
                            </a:spcBef>
                            <a:spcAft>
                              <a:spcPct val="0"/>
                            </a:spcAft>
                            <a:defRPr sz="2300" kern="1200">
                              <a:solidFill>
                                <a:schemeClr val="tx1"/>
                              </a:solidFill>
                              <a:latin typeface="Arial" charset="0"/>
                              <a:ea typeface="+mn-ea"/>
                              <a:cs typeface="+mn-cs"/>
                            </a:defRPr>
                          </a:lvl2pPr>
                          <a:lvl3pPr marL="914400" algn="l" rtl="0" fontAlgn="base">
                            <a:spcBef>
                              <a:spcPct val="0"/>
                            </a:spcBef>
                            <a:spcAft>
                              <a:spcPct val="0"/>
                            </a:spcAft>
                            <a:defRPr sz="2300" kern="1200">
                              <a:solidFill>
                                <a:schemeClr val="tx1"/>
                              </a:solidFill>
                              <a:latin typeface="Arial" charset="0"/>
                              <a:ea typeface="+mn-ea"/>
                              <a:cs typeface="+mn-cs"/>
                            </a:defRPr>
                          </a:lvl3pPr>
                          <a:lvl4pPr marL="1371600" algn="l" rtl="0" fontAlgn="base">
                            <a:spcBef>
                              <a:spcPct val="0"/>
                            </a:spcBef>
                            <a:spcAft>
                              <a:spcPct val="0"/>
                            </a:spcAft>
                            <a:defRPr sz="2300" kern="1200">
                              <a:solidFill>
                                <a:schemeClr val="tx1"/>
                              </a:solidFill>
                              <a:latin typeface="Arial" charset="0"/>
                              <a:ea typeface="+mn-ea"/>
                              <a:cs typeface="+mn-cs"/>
                            </a:defRPr>
                          </a:lvl4pPr>
                          <a:lvl5pPr marL="1828800" algn="l" rtl="0" fontAlgn="base">
                            <a:spcBef>
                              <a:spcPct val="0"/>
                            </a:spcBef>
                            <a:spcAft>
                              <a:spcPct val="0"/>
                            </a:spcAft>
                            <a:defRPr sz="2300" kern="1200">
                              <a:solidFill>
                                <a:schemeClr val="tx1"/>
                              </a:solidFill>
                              <a:latin typeface="Arial" charset="0"/>
                              <a:ea typeface="+mn-ea"/>
                              <a:cs typeface="+mn-cs"/>
                            </a:defRPr>
                          </a:lvl5pPr>
                          <a:lvl6pPr marL="2286000" algn="l" defTabSz="914400" rtl="0" eaLnBrk="1" latinLnBrk="0" hangingPunct="1">
                            <a:defRPr sz="2300" kern="1200">
                              <a:solidFill>
                                <a:schemeClr val="tx1"/>
                              </a:solidFill>
                              <a:latin typeface="Arial" charset="0"/>
                              <a:ea typeface="+mn-ea"/>
                              <a:cs typeface="+mn-cs"/>
                            </a:defRPr>
                          </a:lvl6pPr>
                          <a:lvl7pPr marL="2743200" algn="l" defTabSz="914400" rtl="0" eaLnBrk="1" latinLnBrk="0" hangingPunct="1">
                            <a:defRPr sz="2300" kern="1200">
                              <a:solidFill>
                                <a:schemeClr val="tx1"/>
                              </a:solidFill>
                              <a:latin typeface="Arial" charset="0"/>
                              <a:ea typeface="+mn-ea"/>
                              <a:cs typeface="+mn-cs"/>
                            </a:defRPr>
                          </a:lvl7pPr>
                          <a:lvl8pPr marL="3200400" algn="l" defTabSz="914400" rtl="0" eaLnBrk="1" latinLnBrk="0" hangingPunct="1">
                            <a:defRPr sz="2300" kern="1200">
                              <a:solidFill>
                                <a:schemeClr val="tx1"/>
                              </a:solidFill>
                              <a:latin typeface="Arial" charset="0"/>
                              <a:ea typeface="+mn-ea"/>
                              <a:cs typeface="+mn-cs"/>
                            </a:defRPr>
                          </a:lvl8pPr>
                          <a:lvl9pPr marL="3657600" algn="l" defTabSz="914400" rtl="0" eaLnBrk="1" latinLnBrk="0" hangingPunct="1">
                            <a:defRPr sz="2300" kern="1200">
                              <a:solidFill>
                                <a:schemeClr val="tx1"/>
                              </a:solidFill>
                              <a:latin typeface="Arial" charset="0"/>
                              <a:ea typeface="+mn-ea"/>
                              <a:cs typeface="+mn-cs"/>
                            </a:defRPr>
                          </a:lvl9pPr>
                        </a:lstStyle>
                        <a:p>
                          <a:pPr algn="ctr"/>
                          <a:r>
                            <a:rPr lang="en-US" sz="1400" i="1" dirty="0" smtClean="0"/>
                            <a:t>Requirements</a:t>
                          </a:r>
                          <a:endParaRPr lang="en-US" sz="1400" i="1" dirty="0"/>
                        </a:p>
                      </a:txBody>
                      <a:useSpRect/>
                    </a:txSp>
                  </a:sp>
                  <a:sp>
                    <a:nvSpPr>
                      <a:cNvPr id="109" name="Text Box 99"/>
                      <a:cNvSpPr txBox="1">
                        <a:spLocks noChangeArrowheads="1"/>
                      </a:cNvSpPr>
                    </a:nvSpPr>
                    <a:spPr bwMode="auto">
                      <a:xfrm>
                        <a:off x="4272003" y="3358322"/>
                        <a:ext cx="1162014" cy="738664"/>
                      </a:xfrm>
                      <a:prstGeom prst="rect">
                        <a:avLst/>
                      </a:prstGeom>
                      <a:noFill/>
                      <a:ln w="19050" algn="ctr">
                        <a:noFill/>
                        <a:miter lim="800000"/>
                        <a:headEnd/>
                        <a:tailEnd type="none" w="lg" len="lg"/>
                      </a:ln>
                      <a:effectLst/>
                    </a:spPr>
                    <a:txSp>
                      <a:txBody>
                        <a:bodyPr wrap="square">
                          <a:spAutoFit/>
                        </a:bodyPr>
                        <a:lstStyle>
                          <a:defPPr>
                            <a:defRPr lang="en-US"/>
                          </a:defPPr>
                          <a:lvl1pPr algn="l" rtl="0" fontAlgn="base">
                            <a:spcBef>
                              <a:spcPct val="0"/>
                            </a:spcBef>
                            <a:spcAft>
                              <a:spcPct val="0"/>
                            </a:spcAft>
                            <a:defRPr sz="2300" kern="1200">
                              <a:solidFill>
                                <a:schemeClr val="tx1"/>
                              </a:solidFill>
                              <a:latin typeface="Arial" charset="0"/>
                              <a:ea typeface="+mn-ea"/>
                              <a:cs typeface="+mn-cs"/>
                            </a:defRPr>
                          </a:lvl1pPr>
                          <a:lvl2pPr marL="457200" algn="l" rtl="0" fontAlgn="base">
                            <a:spcBef>
                              <a:spcPct val="0"/>
                            </a:spcBef>
                            <a:spcAft>
                              <a:spcPct val="0"/>
                            </a:spcAft>
                            <a:defRPr sz="2300" kern="1200">
                              <a:solidFill>
                                <a:schemeClr val="tx1"/>
                              </a:solidFill>
                              <a:latin typeface="Arial" charset="0"/>
                              <a:ea typeface="+mn-ea"/>
                              <a:cs typeface="+mn-cs"/>
                            </a:defRPr>
                          </a:lvl2pPr>
                          <a:lvl3pPr marL="914400" algn="l" rtl="0" fontAlgn="base">
                            <a:spcBef>
                              <a:spcPct val="0"/>
                            </a:spcBef>
                            <a:spcAft>
                              <a:spcPct val="0"/>
                            </a:spcAft>
                            <a:defRPr sz="2300" kern="1200">
                              <a:solidFill>
                                <a:schemeClr val="tx1"/>
                              </a:solidFill>
                              <a:latin typeface="Arial" charset="0"/>
                              <a:ea typeface="+mn-ea"/>
                              <a:cs typeface="+mn-cs"/>
                            </a:defRPr>
                          </a:lvl3pPr>
                          <a:lvl4pPr marL="1371600" algn="l" rtl="0" fontAlgn="base">
                            <a:spcBef>
                              <a:spcPct val="0"/>
                            </a:spcBef>
                            <a:spcAft>
                              <a:spcPct val="0"/>
                            </a:spcAft>
                            <a:defRPr sz="2300" kern="1200">
                              <a:solidFill>
                                <a:schemeClr val="tx1"/>
                              </a:solidFill>
                              <a:latin typeface="Arial" charset="0"/>
                              <a:ea typeface="+mn-ea"/>
                              <a:cs typeface="+mn-cs"/>
                            </a:defRPr>
                          </a:lvl4pPr>
                          <a:lvl5pPr marL="1828800" algn="l" rtl="0" fontAlgn="base">
                            <a:spcBef>
                              <a:spcPct val="0"/>
                            </a:spcBef>
                            <a:spcAft>
                              <a:spcPct val="0"/>
                            </a:spcAft>
                            <a:defRPr sz="2300" kern="1200">
                              <a:solidFill>
                                <a:schemeClr val="tx1"/>
                              </a:solidFill>
                              <a:latin typeface="Arial" charset="0"/>
                              <a:ea typeface="+mn-ea"/>
                              <a:cs typeface="+mn-cs"/>
                            </a:defRPr>
                          </a:lvl5pPr>
                          <a:lvl6pPr marL="2286000" algn="l" defTabSz="914400" rtl="0" eaLnBrk="1" latinLnBrk="0" hangingPunct="1">
                            <a:defRPr sz="2300" kern="1200">
                              <a:solidFill>
                                <a:schemeClr val="tx1"/>
                              </a:solidFill>
                              <a:latin typeface="Arial" charset="0"/>
                              <a:ea typeface="+mn-ea"/>
                              <a:cs typeface="+mn-cs"/>
                            </a:defRPr>
                          </a:lvl6pPr>
                          <a:lvl7pPr marL="2743200" algn="l" defTabSz="914400" rtl="0" eaLnBrk="1" latinLnBrk="0" hangingPunct="1">
                            <a:defRPr sz="2300" kern="1200">
                              <a:solidFill>
                                <a:schemeClr val="tx1"/>
                              </a:solidFill>
                              <a:latin typeface="Arial" charset="0"/>
                              <a:ea typeface="+mn-ea"/>
                              <a:cs typeface="+mn-cs"/>
                            </a:defRPr>
                          </a:lvl7pPr>
                          <a:lvl8pPr marL="3200400" algn="l" defTabSz="914400" rtl="0" eaLnBrk="1" latinLnBrk="0" hangingPunct="1">
                            <a:defRPr sz="2300" kern="1200">
                              <a:solidFill>
                                <a:schemeClr val="tx1"/>
                              </a:solidFill>
                              <a:latin typeface="Arial" charset="0"/>
                              <a:ea typeface="+mn-ea"/>
                              <a:cs typeface="+mn-cs"/>
                            </a:defRPr>
                          </a:lvl8pPr>
                          <a:lvl9pPr marL="3657600" algn="l" defTabSz="914400" rtl="0" eaLnBrk="1" latinLnBrk="0" hangingPunct="1">
                            <a:defRPr sz="2300" kern="1200">
                              <a:solidFill>
                                <a:schemeClr val="tx1"/>
                              </a:solidFill>
                              <a:latin typeface="Arial" charset="0"/>
                              <a:ea typeface="+mn-ea"/>
                              <a:cs typeface="+mn-cs"/>
                            </a:defRPr>
                          </a:lvl9pPr>
                        </a:lstStyle>
                        <a:p>
                          <a:pPr algn="ctr"/>
                          <a:r>
                            <a:rPr lang="en-US" sz="1400" i="1" dirty="0" smtClean="0"/>
                            <a:t>Source Code Versions</a:t>
                          </a:r>
                          <a:endParaRPr lang="en-US" sz="1400" i="1" dirty="0"/>
                        </a:p>
                      </a:txBody>
                      <a:useSpRect/>
                    </a:txSp>
                  </a:sp>
                  <a:sp>
                    <a:nvSpPr>
                      <a:cNvPr id="113" name="Text Box 99"/>
                      <a:cNvSpPr txBox="1">
                        <a:spLocks noChangeArrowheads="1"/>
                      </a:cNvSpPr>
                    </a:nvSpPr>
                    <a:spPr bwMode="auto">
                      <a:xfrm>
                        <a:off x="5600315" y="3280462"/>
                        <a:ext cx="1377849" cy="307777"/>
                      </a:xfrm>
                      <a:prstGeom prst="rect">
                        <a:avLst/>
                      </a:prstGeom>
                      <a:noFill/>
                      <a:ln w="19050" algn="ctr">
                        <a:noFill/>
                        <a:miter lim="800000"/>
                        <a:headEnd/>
                        <a:tailEnd type="none" w="lg" len="lg"/>
                      </a:ln>
                      <a:effectLst/>
                    </a:spPr>
                    <a:txSp>
                      <a:txBody>
                        <a:bodyPr wrap="square">
                          <a:spAutoFit/>
                        </a:bodyPr>
                        <a:lstStyle>
                          <a:defPPr>
                            <a:defRPr lang="en-US"/>
                          </a:defPPr>
                          <a:lvl1pPr algn="l" rtl="0" fontAlgn="base">
                            <a:spcBef>
                              <a:spcPct val="0"/>
                            </a:spcBef>
                            <a:spcAft>
                              <a:spcPct val="0"/>
                            </a:spcAft>
                            <a:defRPr sz="2300" kern="1200">
                              <a:solidFill>
                                <a:schemeClr val="tx1"/>
                              </a:solidFill>
                              <a:latin typeface="Arial" charset="0"/>
                              <a:ea typeface="+mn-ea"/>
                              <a:cs typeface="+mn-cs"/>
                            </a:defRPr>
                          </a:lvl1pPr>
                          <a:lvl2pPr marL="457200" algn="l" rtl="0" fontAlgn="base">
                            <a:spcBef>
                              <a:spcPct val="0"/>
                            </a:spcBef>
                            <a:spcAft>
                              <a:spcPct val="0"/>
                            </a:spcAft>
                            <a:defRPr sz="2300" kern="1200">
                              <a:solidFill>
                                <a:schemeClr val="tx1"/>
                              </a:solidFill>
                              <a:latin typeface="Arial" charset="0"/>
                              <a:ea typeface="+mn-ea"/>
                              <a:cs typeface="+mn-cs"/>
                            </a:defRPr>
                          </a:lvl2pPr>
                          <a:lvl3pPr marL="914400" algn="l" rtl="0" fontAlgn="base">
                            <a:spcBef>
                              <a:spcPct val="0"/>
                            </a:spcBef>
                            <a:spcAft>
                              <a:spcPct val="0"/>
                            </a:spcAft>
                            <a:defRPr sz="2300" kern="1200">
                              <a:solidFill>
                                <a:schemeClr val="tx1"/>
                              </a:solidFill>
                              <a:latin typeface="Arial" charset="0"/>
                              <a:ea typeface="+mn-ea"/>
                              <a:cs typeface="+mn-cs"/>
                            </a:defRPr>
                          </a:lvl3pPr>
                          <a:lvl4pPr marL="1371600" algn="l" rtl="0" fontAlgn="base">
                            <a:spcBef>
                              <a:spcPct val="0"/>
                            </a:spcBef>
                            <a:spcAft>
                              <a:spcPct val="0"/>
                            </a:spcAft>
                            <a:defRPr sz="2300" kern="1200">
                              <a:solidFill>
                                <a:schemeClr val="tx1"/>
                              </a:solidFill>
                              <a:latin typeface="Arial" charset="0"/>
                              <a:ea typeface="+mn-ea"/>
                              <a:cs typeface="+mn-cs"/>
                            </a:defRPr>
                          </a:lvl4pPr>
                          <a:lvl5pPr marL="1828800" algn="l" rtl="0" fontAlgn="base">
                            <a:spcBef>
                              <a:spcPct val="0"/>
                            </a:spcBef>
                            <a:spcAft>
                              <a:spcPct val="0"/>
                            </a:spcAft>
                            <a:defRPr sz="2300" kern="1200">
                              <a:solidFill>
                                <a:schemeClr val="tx1"/>
                              </a:solidFill>
                              <a:latin typeface="Arial" charset="0"/>
                              <a:ea typeface="+mn-ea"/>
                              <a:cs typeface="+mn-cs"/>
                            </a:defRPr>
                          </a:lvl5pPr>
                          <a:lvl6pPr marL="2286000" algn="l" defTabSz="914400" rtl="0" eaLnBrk="1" latinLnBrk="0" hangingPunct="1">
                            <a:defRPr sz="2300" kern="1200">
                              <a:solidFill>
                                <a:schemeClr val="tx1"/>
                              </a:solidFill>
                              <a:latin typeface="Arial" charset="0"/>
                              <a:ea typeface="+mn-ea"/>
                              <a:cs typeface="+mn-cs"/>
                            </a:defRPr>
                          </a:lvl6pPr>
                          <a:lvl7pPr marL="2743200" algn="l" defTabSz="914400" rtl="0" eaLnBrk="1" latinLnBrk="0" hangingPunct="1">
                            <a:defRPr sz="2300" kern="1200">
                              <a:solidFill>
                                <a:schemeClr val="tx1"/>
                              </a:solidFill>
                              <a:latin typeface="Arial" charset="0"/>
                              <a:ea typeface="+mn-ea"/>
                              <a:cs typeface="+mn-cs"/>
                            </a:defRPr>
                          </a:lvl7pPr>
                          <a:lvl8pPr marL="3200400" algn="l" defTabSz="914400" rtl="0" eaLnBrk="1" latinLnBrk="0" hangingPunct="1">
                            <a:defRPr sz="2300" kern="1200">
                              <a:solidFill>
                                <a:schemeClr val="tx1"/>
                              </a:solidFill>
                              <a:latin typeface="Arial" charset="0"/>
                              <a:ea typeface="+mn-ea"/>
                              <a:cs typeface="+mn-cs"/>
                            </a:defRPr>
                          </a:lvl8pPr>
                          <a:lvl9pPr marL="3657600" algn="l" defTabSz="914400" rtl="0" eaLnBrk="1" latinLnBrk="0" hangingPunct="1">
                            <a:defRPr sz="2300" kern="1200">
                              <a:solidFill>
                                <a:schemeClr val="tx1"/>
                              </a:solidFill>
                              <a:latin typeface="Arial" charset="0"/>
                              <a:ea typeface="+mn-ea"/>
                              <a:cs typeface="+mn-cs"/>
                            </a:defRPr>
                          </a:lvl9pPr>
                        </a:lstStyle>
                        <a:p>
                          <a:pPr algn="ctr"/>
                          <a:r>
                            <a:rPr lang="en-US" sz="1400" i="1" dirty="0" smtClean="0"/>
                            <a:t>Test Cases</a:t>
                          </a:r>
                          <a:endParaRPr lang="en-US" sz="1400" i="1" dirty="0"/>
                        </a:p>
                      </a:txBody>
                      <a:useSpRect/>
                    </a:txSp>
                  </a:sp>
                  <a:sp>
                    <a:nvSpPr>
                      <a:cNvPr id="114" name="Text Box 99"/>
                      <a:cNvSpPr txBox="1">
                        <a:spLocks noChangeArrowheads="1"/>
                      </a:cNvSpPr>
                    </a:nvSpPr>
                    <a:spPr bwMode="auto">
                      <a:xfrm>
                        <a:off x="2555473" y="2835102"/>
                        <a:ext cx="1210073" cy="523220"/>
                      </a:xfrm>
                      <a:prstGeom prst="rect">
                        <a:avLst/>
                      </a:prstGeom>
                      <a:noFill/>
                      <a:ln w="19050" algn="ctr">
                        <a:noFill/>
                        <a:miter lim="800000"/>
                        <a:headEnd/>
                        <a:tailEnd type="none" w="lg" len="lg"/>
                      </a:ln>
                      <a:effectLst/>
                    </a:spPr>
                    <a:txSp>
                      <a:txBody>
                        <a:bodyPr wrap="square">
                          <a:spAutoFit/>
                        </a:bodyPr>
                        <a:lstStyle>
                          <a:defPPr>
                            <a:defRPr lang="en-US"/>
                          </a:defPPr>
                          <a:lvl1pPr algn="l" rtl="0" fontAlgn="base">
                            <a:spcBef>
                              <a:spcPct val="0"/>
                            </a:spcBef>
                            <a:spcAft>
                              <a:spcPct val="0"/>
                            </a:spcAft>
                            <a:defRPr sz="2300" kern="1200">
                              <a:solidFill>
                                <a:schemeClr val="tx1"/>
                              </a:solidFill>
                              <a:latin typeface="Arial" charset="0"/>
                              <a:ea typeface="+mn-ea"/>
                              <a:cs typeface="+mn-cs"/>
                            </a:defRPr>
                          </a:lvl1pPr>
                          <a:lvl2pPr marL="457200" algn="l" rtl="0" fontAlgn="base">
                            <a:spcBef>
                              <a:spcPct val="0"/>
                            </a:spcBef>
                            <a:spcAft>
                              <a:spcPct val="0"/>
                            </a:spcAft>
                            <a:defRPr sz="2300" kern="1200">
                              <a:solidFill>
                                <a:schemeClr val="tx1"/>
                              </a:solidFill>
                              <a:latin typeface="Arial" charset="0"/>
                              <a:ea typeface="+mn-ea"/>
                              <a:cs typeface="+mn-cs"/>
                            </a:defRPr>
                          </a:lvl2pPr>
                          <a:lvl3pPr marL="914400" algn="l" rtl="0" fontAlgn="base">
                            <a:spcBef>
                              <a:spcPct val="0"/>
                            </a:spcBef>
                            <a:spcAft>
                              <a:spcPct val="0"/>
                            </a:spcAft>
                            <a:defRPr sz="2300" kern="1200">
                              <a:solidFill>
                                <a:schemeClr val="tx1"/>
                              </a:solidFill>
                              <a:latin typeface="Arial" charset="0"/>
                              <a:ea typeface="+mn-ea"/>
                              <a:cs typeface="+mn-cs"/>
                            </a:defRPr>
                          </a:lvl3pPr>
                          <a:lvl4pPr marL="1371600" algn="l" rtl="0" fontAlgn="base">
                            <a:spcBef>
                              <a:spcPct val="0"/>
                            </a:spcBef>
                            <a:spcAft>
                              <a:spcPct val="0"/>
                            </a:spcAft>
                            <a:defRPr sz="2300" kern="1200">
                              <a:solidFill>
                                <a:schemeClr val="tx1"/>
                              </a:solidFill>
                              <a:latin typeface="Arial" charset="0"/>
                              <a:ea typeface="+mn-ea"/>
                              <a:cs typeface="+mn-cs"/>
                            </a:defRPr>
                          </a:lvl4pPr>
                          <a:lvl5pPr marL="1828800" algn="l" rtl="0" fontAlgn="base">
                            <a:spcBef>
                              <a:spcPct val="0"/>
                            </a:spcBef>
                            <a:spcAft>
                              <a:spcPct val="0"/>
                            </a:spcAft>
                            <a:defRPr sz="2300" kern="1200">
                              <a:solidFill>
                                <a:schemeClr val="tx1"/>
                              </a:solidFill>
                              <a:latin typeface="Arial" charset="0"/>
                              <a:ea typeface="+mn-ea"/>
                              <a:cs typeface="+mn-cs"/>
                            </a:defRPr>
                          </a:lvl5pPr>
                          <a:lvl6pPr marL="2286000" algn="l" defTabSz="914400" rtl="0" eaLnBrk="1" latinLnBrk="0" hangingPunct="1">
                            <a:defRPr sz="2300" kern="1200">
                              <a:solidFill>
                                <a:schemeClr val="tx1"/>
                              </a:solidFill>
                              <a:latin typeface="Arial" charset="0"/>
                              <a:ea typeface="+mn-ea"/>
                              <a:cs typeface="+mn-cs"/>
                            </a:defRPr>
                          </a:lvl6pPr>
                          <a:lvl7pPr marL="2743200" algn="l" defTabSz="914400" rtl="0" eaLnBrk="1" latinLnBrk="0" hangingPunct="1">
                            <a:defRPr sz="2300" kern="1200">
                              <a:solidFill>
                                <a:schemeClr val="tx1"/>
                              </a:solidFill>
                              <a:latin typeface="Arial" charset="0"/>
                              <a:ea typeface="+mn-ea"/>
                              <a:cs typeface="+mn-cs"/>
                            </a:defRPr>
                          </a:lvl7pPr>
                          <a:lvl8pPr marL="3200400" algn="l" defTabSz="914400" rtl="0" eaLnBrk="1" latinLnBrk="0" hangingPunct="1">
                            <a:defRPr sz="2300" kern="1200">
                              <a:solidFill>
                                <a:schemeClr val="tx1"/>
                              </a:solidFill>
                              <a:latin typeface="Arial" charset="0"/>
                              <a:ea typeface="+mn-ea"/>
                              <a:cs typeface="+mn-cs"/>
                            </a:defRPr>
                          </a:lvl8pPr>
                          <a:lvl9pPr marL="3657600" algn="l" defTabSz="914400" rtl="0" eaLnBrk="1" latinLnBrk="0" hangingPunct="1">
                            <a:defRPr sz="2300" kern="1200">
                              <a:solidFill>
                                <a:schemeClr val="tx1"/>
                              </a:solidFill>
                              <a:latin typeface="Arial" charset="0"/>
                              <a:ea typeface="+mn-ea"/>
                              <a:cs typeface="+mn-cs"/>
                            </a:defRPr>
                          </a:lvl9pPr>
                        </a:lstStyle>
                        <a:p>
                          <a:pPr algn="ctr"/>
                          <a:r>
                            <a:rPr lang="en-US" sz="1400" i="1" dirty="0" smtClean="0"/>
                            <a:t>Design Documents</a:t>
                          </a:r>
                          <a:endParaRPr lang="en-US" sz="1400" i="1" dirty="0"/>
                        </a:p>
                      </a:txBody>
                      <a:useSpRect/>
                    </a:txSp>
                  </a:sp>
                  <a:sp>
                    <a:nvSpPr>
                      <a:cNvPr id="115" name="Flowchart: Internal Storage 114"/>
                      <a:cNvSpPr/>
                    </a:nvSpPr>
                    <a:spPr bwMode="auto">
                      <a:xfrm>
                        <a:off x="2422206" y="3798838"/>
                        <a:ext cx="1632441" cy="560457"/>
                      </a:xfrm>
                      <a:prstGeom prst="flowChartInternalStorage">
                        <a:avLst/>
                      </a:prstGeom>
                      <a:noFill/>
                      <a:ln w="19050" cap="flat" cmpd="sng" algn="ctr">
                        <a:solidFill>
                          <a:schemeClr val="tx1"/>
                        </a:solidFill>
                        <a:prstDash val="solid"/>
                        <a:round/>
                        <a:headEnd type="none" w="med" len="med"/>
                        <a:tailEnd type="none" w="med" len="med"/>
                      </a:ln>
                      <a:effectLst/>
                    </a:spPr>
                    <a:txSp>
                      <a:txBody>
                        <a:bodyPr vert="horz" wrap="none" lIns="91440" tIns="45720" rIns="91440" bIns="45720" numCol="1" rtlCol="0" anchor="ctr" anchorCtr="0" compatLnSpc="1">
                          <a:prstTxWarp prst="textNoShape">
                            <a:avLst/>
                          </a:prstTxWarp>
                          <a:noAutofit/>
                        </a:bodyPr>
                        <a:lstStyle>
                          <a:defPPr>
                            <a:defRPr lang="en-US"/>
                          </a:defPPr>
                          <a:lvl1pPr algn="l" rtl="0" fontAlgn="base">
                            <a:spcBef>
                              <a:spcPct val="0"/>
                            </a:spcBef>
                            <a:spcAft>
                              <a:spcPct val="0"/>
                            </a:spcAft>
                            <a:defRPr sz="2300" kern="1200">
                              <a:solidFill>
                                <a:schemeClr val="tx1"/>
                              </a:solidFill>
                              <a:latin typeface="Arial" charset="0"/>
                              <a:ea typeface="+mn-ea"/>
                              <a:cs typeface="+mn-cs"/>
                            </a:defRPr>
                          </a:lvl1pPr>
                          <a:lvl2pPr marL="457200" algn="l" rtl="0" fontAlgn="base">
                            <a:spcBef>
                              <a:spcPct val="0"/>
                            </a:spcBef>
                            <a:spcAft>
                              <a:spcPct val="0"/>
                            </a:spcAft>
                            <a:defRPr sz="2300" kern="1200">
                              <a:solidFill>
                                <a:schemeClr val="tx1"/>
                              </a:solidFill>
                              <a:latin typeface="Arial" charset="0"/>
                              <a:ea typeface="+mn-ea"/>
                              <a:cs typeface="+mn-cs"/>
                            </a:defRPr>
                          </a:lvl2pPr>
                          <a:lvl3pPr marL="914400" algn="l" rtl="0" fontAlgn="base">
                            <a:spcBef>
                              <a:spcPct val="0"/>
                            </a:spcBef>
                            <a:spcAft>
                              <a:spcPct val="0"/>
                            </a:spcAft>
                            <a:defRPr sz="2300" kern="1200">
                              <a:solidFill>
                                <a:schemeClr val="tx1"/>
                              </a:solidFill>
                              <a:latin typeface="Arial" charset="0"/>
                              <a:ea typeface="+mn-ea"/>
                              <a:cs typeface="+mn-cs"/>
                            </a:defRPr>
                          </a:lvl3pPr>
                          <a:lvl4pPr marL="1371600" algn="l" rtl="0" fontAlgn="base">
                            <a:spcBef>
                              <a:spcPct val="0"/>
                            </a:spcBef>
                            <a:spcAft>
                              <a:spcPct val="0"/>
                            </a:spcAft>
                            <a:defRPr sz="2300" kern="1200">
                              <a:solidFill>
                                <a:schemeClr val="tx1"/>
                              </a:solidFill>
                              <a:latin typeface="Arial" charset="0"/>
                              <a:ea typeface="+mn-ea"/>
                              <a:cs typeface="+mn-cs"/>
                            </a:defRPr>
                          </a:lvl4pPr>
                          <a:lvl5pPr marL="1828800" algn="l" rtl="0" fontAlgn="base">
                            <a:spcBef>
                              <a:spcPct val="0"/>
                            </a:spcBef>
                            <a:spcAft>
                              <a:spcPct val="0"/>
                            </a:spcAft>
                            <a:defRPr sz="2300" kern="1200">
                              <a:solidFill>
                                <a:schemeClr val="tx1"/>
                              </a:solidFill>
                              <a:latin typeface="Arial" charset="0"/>
                              <a:ea typeface="+mn-ea"/>
                              <a:cs typeface="+mn-cs"/>
                            </a:defRPr>
                          </a:lvl5pPr>
                          <a:lvl6pPr marL="2286000" algn="l" defTabSz="914400" rtl="0" eaLnBrk="1" latinLnBrk="0" hangingPunct="1">
                            <a:defRPr sz="2300" kern="1200">
                              <a:solidFill>
                                <a:schemeClr val="tx1"/>
                              </a:solidFill>
                              <a:latin typeface="Arial" charset="0"/>
                              <a:ea typeface="+mn-ea"/>
                              <a:cs typeface="+mn-cs"/>
                            </a:defRPr>
                          </a:lvl6pPr>
                          <a:lvl7pPr marL="2743200" algn="l" defTabSz="914400" rtl="0" eaLnBrk="1" latinLnBrk="0" hangingPunct="1">
                            <a:defRPr sz="2300" kern="1200">
                              <a:solidFill>
                                <a:schemeClr val="tx1"/>
                              </a:solidFill>
                              <a:latin typeface="Arial" charset="0"/>
                              <a:ea typeface="+mn-ea"/>
                              <a:cs typeface="+mn-cs"/>
                            </a:defRPr>
                          </a:lvl7pPr>
                          <a:lvl8pPr marL="3200400" algn="l" defTabSz="914400" rtl="0" eaLnBrk="1" latinLnBrk="0" hangingPunct="1">
                            <a:defRPr sz="2300" kern="1200">
                              <a:solidFill>
                                <a:schemeClr val="tx1"/>
                              </a:solidFill>
                              <a:latin typeface="Arial" charset="0"/>
                              <a:ea typeface="+mn-ea"/>
                              <a:cs typeface="+mn-cs"/>
                            </a:defRPr>
                          </a:lvl8pPr>
                          <a:lvl9pPr marL="3657600" algn="l" defTabSz="914400" rtl="0" eaLnBrk="1" latinLnBrk="0" hangingPunct="1">
                            <a:defRPr sz="2300" kern="1200">
                              <a:solidFill>
                                <a:schemeClr val="tx1"/>
                              </a:solidFill>
                              <a:latin typeface="Arial" charset="0"/>
                              <a:ea typeface="+mn-ea"/>
                              <a:cs typeface="+mn-cs"/>
                            </a:defRPr>
                          </a:lvl9pPr>
                        </a:lstStyle>
                        <a:p>
                          <a:pPr marL="0" marR="0" indent="0" algn="ctr" defTabSz="914400" rtl="0" eaLnBrk="1" fontAlgn="base" latinLnBrk="0" hangingPunct="1">
                            <a:lnSpc>
                              <a:spcPct val="100000"/>
                            </a:lnSpc>
                            <a:spcBef>
                              <a:spcPct val="0"/>
                            </a:spcBef>
                            <a:spcAft>
                              <a:spcPct val="0"/>
                            </a:spcAft>
                            <a:buClrTx/>
                            <a:buSzTx/>
                            <a:buFontTx/>
                            <a:buNone/>
                            <a:tabLst/>
                          </a:pPr>
                          <a:endParaRPr kumimoji="0" lang="en-US" sz="2400" i="0" u="none" strike="noStrike" cap="none" normalizeH="0" baseline="0" smtClean="0">
                            <a:ln>
                              <a:noFill/>
                            </a:ln>
                            <a:solidFill>
                              <a:schemeClr val="tx1"/>
                            </a:solidFill>
                            <a:effectLst/>
                            <a:latin typeface="Arial" charset="0"/>
                          </a:endParaRPr>
                        </a:p>
                      </a:txBody>
                      <a:useSpRect/>
                    </a:txSp>
                  </a:sp>
                  <a:sp>
                    <a:nvSpPr>
                      <a:cNvPr id="118" name="Text Box 99"/>
                      <a:cNvSpPr txBox="1">
                        <a:spLocks noChangeArrowheads="1"/>
                      </a:cNvSpPr>
                    </a:nvSpPr>
                    <a:spPr bwMode="auto">
                      <a:xfrm>
                        <a:off x="5801215" y="3982479"/>
                        <a:ext cx="1058660" cy="523220"/>
                      </a:xfrm>
                      <a:prstGeom prst="rect">
                        <a:avLst/>
                      </a:prstGeom>
                      <a:noFill/>
                      <a:ln w="19050" algn="ctr">
                        <a:noFill/>
                        <a:miter lim="800000"/>
                        <a:headEnd/>
                        <a:tailEnd type="none" w="lg" len="lg"/>
                      </a:ln>
                      <a:effectLst/>
                    </a:spPr>
                    <a:txSp>
                      <a:txBody>
                        <a:bodyPr wrap="square">
                          <a:spAutoFit/>
                        </a:bodyPr>
                        <a:lstStyle>
                          <a:defPPr>
                            <a:defRPr lang="en-US"/>
                          </a:defPPr>
                          <a:lvl1pPr algn="l" rtl="0" fontAlgn="base">
                            <a:spcBef>
                              <a:spcPct val="0"/>
                            </a:spcBef>
                            <a:spcAft>
                              <a:spcPct val="0"/>
                            </a:spcAft>
                            <a:defRPr sz="2300" kern="1200">
                              <a:solidFill>
                                <a:schemeClr val="tx1"/>
                              </a:solidFill>
                              <a:latin typeface="Arial" charset="0"/>
                              <a:ea typeface="+mn-ea"/>
                              <a:cs typeface="+mn-cs"/>
                            </a:defRPr>
                          </a:lvl1pPr>
                          <a:lvl2pPr marL="457200" algn="l" rtl="0" fontAlgn="base">
                            <a:spcBef>
                              <a:spcPct val="0"/>
                            </a:spcBef>
                            <a:spcAft>
                              <a:spcPct val="0"/>
                            </a:spcAft>
                            <a:defRPr sz="2300" kern="1200">
                              <a:solidFill>
                                <a:schemeClr val="tx1"/>
                              </a:solidFill>
                              <a:latin typeface="Arial" charset="0"/>
                              <a:ea typeface="+mn-ea"/>
                              <a:cs typeface="+mn-cs"/>
                            </a:defRPr>
                          </a:lvl2pPr>
                          <a:lvl3pPr marL="914400" algn="l" rtl="0" fontAlgn="base">
                            <a:spcBef>
                              <a:spcPct val="0"/>
                            </a:spcBef>
                            <a:spcAft>
                              <a:spcPct val="0"/>
                            </a:spcAft>
                            <a:defRPr sz="2300" kern="1200">
                              <a:solidFill>
                                <a:schemeClr val="tx1"/>
                              </a:solidFill>
                              <a:latin typeface="Arial" charset="0"/>
                              <a:ea typeface="+mn-ea"/>
                              <a:cs typeface="+mn-cs"/>
                            </a:defRPr>
                          </a:lvl3pPr>
                          <a:lvl4pPr marL="1371600" algn="l" rtl="0" fontAlgn="base">
                            <a:spcBef>
                              <a:spcPct val="0"/>
                            </a:spcBef>
                            <a:spcAft>
                              <a:spcPct val="0"/>
                            </a:spcAft>
                            <a:defRPr sz="2300" kern="1200">
                              <a:solidFill>
                                <a:schemeClr val="tx1"/>
                              </a:solidFill>
                              <a:latin typeface="Arial" charset="0"/>
                              <a:ea typeface="+mn-ea"/>
                              <a:cs typeface="+mn-cs"/>
                            </a:defRPr>
                          </a:lvl4pPr>
                          <a:lvl5pPr marL="1828800" algn="l" rtl="0" fontAlgn="base">
                            <a:spcBef>
                              <a:spcPct val="0"/>
                            </a:spcBef>
                            <a:spcAft>
                              <a:spcPct val="0"/>
                            </a:spcAft>
                            <a:defRPr sz="2300" kern="1200">
                              <a:solidFill>
                                <a:schemeClr val="tx1"/>
                              </a:solidFill>
                              <a:latin typeface="Arial" charset="0"/>
                              <a:ea typeface="+mn-ea"/>
                              <a:cs typeface="+mn-cs"/>
                            </a:defRPr>
                          </a:lvl5pPr>
                          <a:lvl6pPr marL="2286000" algn="l" defTabSz="914400" rtl="0" eaLnBrk="1" latinLnBrk="0" hangingPunct="1">
                            <a:defRPr sz="2300" kern="1200">
                              <a:solidFill>
                                <a:schemeClr val="tx1"/>
                              </a:solidFill>
                              <a:latin typeface="Arial" charset="0"/>
                              <a:ea typeface="+mn-ea"/>
                              <a:cs typeface="+mn-cs"/>
                            </a:defRPr>
                          </a:lvl6pPr>
                          <a:lvl7pPr marL="2743200" algn="l" defTabSz="914400" rtl="0" eaLnBrk="1" latinLnBrk="0" hangingPunct="1">
                            <a:defRPr sz="2300" kern="1200">
                              <a:solidFill>
                                <a:schemeClr val="tx1"/>
                              </a:solidFill>
                              <a:latin typeface="Arial" charset="0"/>
                              <a:ea typeface="+mn-ea"/>
                              <a:cs typeface="+mn-cs"/>
                            </a:defRPr>
                          </a:lvl7pPr>
                          <a:lvl8pPr marL="3200400" algn="l" defTabSz="914400" rtl="0" eaLnBrk="1" latinLnBrk="0" hangingPunct="1">
                            <a:defRPr sz="2300" kern="1200">
                              <a:solidFill>
                                <a:schemeClr val="tx1"/>
                              </a:solidFill>
                              <a:latin typeface="Arial" charset="0"/>
                              <a:ea typeface="+mn-ea"/>
                              <a:cs typeface="+mn-cs"/>
                            </a:defRPr>
                          </a:lvl8pPr>
                          <a:lvl9pPr marL="3657600" algn="l" defTabSz="914400" rtl="0" eaLnBrk="1" latinLnBrk="0" hangingPunct="1">
                            <a:defRPr sz="2300" kern="1200">
                              <a:solidFill>
                                <a:schemeClr val="tx1"/>
                              </a:solidFill>
                              <a:latin typeface="Arial" charset="0"/>
                              <a:ea typeface="+mn-ea"/>
                              <a:cs typeface="+mn-cs"/>
                            </a:defRPr>
                          </a:lvl9pPr>
                        </a:lstStyle>
                        <a:p>
                          <a:pPr algn="ctr"/>
                          <a:r>
                            <a:rPr lang="en-US" sz="1400" i="1" dirty="0" smtClean="0"/>
                            <a:t>Project Statistics</a:t>
                          </a:r>
                          <a:endParaRPr lang="en-US" sz="1400" i="1" dirty="0"/>
                        </a:p>
                      </a:txBody>
                      <a:useSpRect/>
                    </a:txSp>
                  </a:sp>
                  <a:grpSp>
                    <a:nvGrpSpPr>
                      <a:cNvPr id="129" name="Group 15"/>
                      <a:cNvGrpSpPr>
                        <a:grpSpLocks/>
                      </a:cNvGrpSpPr>
                    </a:nvGrpSpPr>
                    <a:grpSpPr bwMode="auto">
                      <a:xfrm>
                        <a:off x="7975780" y="5466485"/>
                        <a:ext cx="234774" cy="610412"/>
                        <a:chOff x="2976" y="768"/>
                        <a:chExt cx="912" cy="2135"/>
                      </a:xfrm>
                    </a:grpSpPr>
                    <a:sp>
                      <a:nvSpPr>
                        <a:cNvPr id="130" name="Oval 16" descr="Dark vertical"/>
                        <a:cNvSpPr>
                          <a:spLocks noChangeArrowheads="1"/>
                        </a:cNvSpPr>
                      </a:nvSpPr>
                      <a:spPr bwMode="auto">
                        <a:xfrm>
                          <a:off x="3141" y="768"/>
                          <a:ext cx="611" cy="614"/>
                        </a:xfrm>
                        <a:prstGeom prst="ellipse">
                          <a:avLst/>
                        </a:prstGeom>
                        <a:pattFill prst="dkVert">
                          <a:fgClr>
                            <a:srgbClr val="B2B2B2"/>
                          </a:fgClr>
                          <a:bgClr>
                            <a:schemeClr val="tx2"/>
                          </a:bgClr>
                        </a:pattFill>
                        <a:ln w="38100" algn="ctr">
                          <a:noFill/>
                          <a:round/>
                          <a:headEnd/>
                          <a:tailEnd type="none" w="lg" len="lg"/>
                        </a:ln>
                      </a:spPr>
                      <a:txSp>
                        <a:txBody>
                          <a:bodyPr anchor="ctr">
                            <a:spAutoFit/>
                          </a:bodyPr>
                          <a:lstStyle>
                            <a:defPPr>
                              <a:defRPr lang="en-US"/>
                            </a:defPPr>
                            <a:lvl1pPr algn="l" rtl="0" fontAlgn="base">
                              <a:spcBef>
                                <a:spcPct val="0"/>
                              </a:spcBef>
                              <a:spcAft>
                                <a:spcPct val="0"/>
                              </a:spcAft>
                              <a:defRPr sz="2300" kern="1200">
                                <a:solidFill>
                                  <a:schemeClr val="tx1"/>
                                </a:solidFill>
                                <a:latin typeface="Arial" charset="0"/>
                                <a:ea typeface="+mn-ea"/>
                                <a:cs typeface="+mn-cs"/>
                              </a:defRPr>
                            </a:lvl1pPr>
                            <a:lvl2pPr marL="457200" algn="l" rtl="0" fontAlgn="base">
                              <a:spcBef>
                                <a:spcPct val="0"/>
                              </a:spcBef>
                              <a:spcAft>
                                <a:spcPct val="0"/>
                              </a:spcAft>
                              <a:defRPr sz="2300" kern="1200">
                                <a:solidFill>
                                  <a:schemeClr val="tx1"/>
                                </a:solidFill>
                                <a:latin typeface="Arial" charset="0"/>
                                <a:ea typeface="+mn-ea"/>
                                <a:cs typeface="+mn-cs"/>
                              </a:defRPr>
                            </a:lvl2pPr>
                            <a:lvl3pPr marL="914400" algn="l" rtl="0" fontAlgn="base">
                              <a:spcBef>
                                <a:spcPct val="0"/>
                              </a:spcBef>
                              <a:spcAft>
                                <a:spcPct val="0"/>
                              </a:spcAft>
                              <a:defRPr sz="2300" kern="1200">
                                <a:solidFill>
                                  <a:schemeClr val="tx1"/>
                                </a:solidFill>
                                <a:latin typeface="Arial" charset="0"/>
                                <a:ea typeface="+mn-ea"/>
                                <a:cs typeface="+mn-cs"/>
                              </a:defRPr>
                            </a:lvl3pPr>
                            <a:lvl4pPr marL="1371600" algn="l" rtl="0" fontAlgn="base">
                              <a:spcBef>
                                <a:spcPct val="0"/>
                              </a:spcBef>
                              <a:spcAft>
                                <a:spcPct val="0"/>
                              </a:spcAft>
                              <a:defRPr sz="2300" kern="1200">
                                <a:solidFill>
                                  <a:schemeClr val="tx1"/>
                                </a:solidFill>
                                <a:latin typeface="Arial" charset="0"/>
                                <a:ea typeface="+mn-ea"/>
                                <a:cs typeface="+mn-cs"/>
                              </a:defRPr>
                            </a:lvl4pPr>
                            <a:lvl5pPr marL="1828800" algn="l" rtl="0" fontAlgn="base">
                              <a:spcBef>
                                <a:spcPct val="0"/>
                              </a:spcBef>
                              <a:spcAft>
                                <a:spcPct val="0"/>
                              </a:spcAft>
                              <a:defRPr sz="2300" kern="1200">
                                <a:solidFill>
                                  <a:schemeClr val="tx1"/>
                                </a:solidFill>
                                <a:latin typeface="Arial" charset="0"/>
                                <a:ea typeface="+mn-ea"/>
                                <a:cs typeface="+mn-cs"/>
                              </a:defRPr>
                            </a:lvl5pPr>
                            <a:lvl6pPr marL="2286000" algn="l" defTabSz="914400" rtl="0" eaLnBrk="1" latinLnBrk="0" hangingPunct="1">
                              <a:defRPr sz="2300" kern="1200">
                                <a:solidFill>
                                  <a:schemeClr val="tx1"/>
                                </a:solidFill>
                                <a:latin typeface="Arial" charset="0"/>
                                <a:ea typeface="+mn-ea"/>
                                <a:cs typeface="+mn-cs"/>
                              </a:defRPr>
                            </a:lvl6pPr>
                            <a:lvl7pPr marL="2743200" algn="l" defTabSz="914400" rtl="0" eaLnBrk="1" latinLnBrk="0" hangingPunct="1">
                              <a:defRPr sz="2300" kern="1200">
                                <a:solidFill>
                                  <a:schemeClr val="tx1"/>
                                </a:solidFill>
                                <a:latin typeface="Arial" charset="0"/>
                                <a:ea typeface="+mn-ea"/>
                                <a:cs typeface="+mn-cs"/>
                              </a:defRPr>
                            </a:lvl7pPr>
                            <a:lvl8pPr marL="3200400" algn="l" defTabSz="914400" rtl="0" eaLnBrk="1" latinLnBrk="0" hangingPunct="1">
                              <a:defRPr sz="2300" kern="1200">
                                <a:solidFill>
                                  <a:schemeClr val="tx1"/>
                                </a:solidFill>
                                <a:latin typeface="Arial" charset="0"/>
                                <a:ea typeface="+mn-ea"/>
                                <a:cs typeface="+mn-cs"/>
                              </a:defRPr>
                            </a:lvl8pPr>
                            <a:lvl9pPr marL="3657600" algn="l" defTabSz="914400" rtl="0" eaLnBrk="1" latinLnBrk="0" hangingPunct="1">
                              <a:defRPr sz="2300" kern="1200">
                                <a:solidFill>
                                  <a:schemeClr val="tx1"/>
                                </a:solidFill>
                                <a:latin typeface="Arial" charset="0"/>
                                <a:ea typeface="+mn-ea"/>
                                <a:cs typeface="+mn-cs"/>
                              </a:defRPr>
                            </a:lvl9pPr>
                          </a:lstStyle>
                          <a:p>
                            <a:endParaRPr lang="en-US"/>
                          </a:p>
                        </a:txBody>
                        <a:useSpRect/>
                      </a:txSp>
                    </a:sp>
                    <a:grpSp>
                      <a:nvGrpSpPr>
                        <a:cNvPr id="29" name="Group 17"/>
                        <a:cNvGrpSpPr>
                          <a:grpSpLocks/>
                        </a:cNvGrpSpPr>
                      </a:nvGrpSpPr>
                      <a:grpSpPr bwMode="auto">
                        <a:xfrm>
                          <a:off x="2976" y="1433"/>
                          <a:ext cx="912" cy="1470"/>
                          <a:chOff x="2976" y="1433"/>
                          <a:chExt cx="912" cy="1495"/>
                        </a:xfrm>
                      </a:grpSpPr>
                      <a:sp>
                        <a:nvSpPr>
                          <a:cNvPr id="132" name="AutoShape 18" descr="Dark vertical"/>
                          <a:cNvSpPr>
                            <a:spLocks noChangeArrowheads="1"/>
                          </a:cNvSpPr>
                        </a:nvSpPr>
                        <a:spPr bwMode="auto">
                          <a:xfrm rot="10800000">
                            <a:off x="2976" y="1433"/>
                            <a:ext cx="912" cy="834"/>
                          </a:xfrm>
                          <a:prstGeom prst="triangle">
                            <a:avLst>
                              <a:gd name="adj" fmla="val 50000"/>
                            </a:avLst>
                          </a:prstGeom>
                          <a:pattFill prst="dkVert">
                            <a:fgClr>
                              <a:srgbClr val="B2B2B2"/>
                            </a:fgClr>
                            <a:bgClr>
                              <a:schemeClr val="tx2"/>
                            </a:bgClr>
                          </a:pattFill>
                          <a:ln w="38100" algn="ctr">
                            <a:noFill/>
                            <a:miter lim="800000"/>
                            <a:headEnd/>
                            <a:tailEnd type="none" w="lg" len="lg"/>
                          </a:ln>
                        </a:spPr>
                        <a:txSp>
                          <a:txBody>
                            <a:bodyPr anchor="ctr">
                              <a:spAutoFit/>
                            </a:bodyPr>
                            <a:lstStyle>
                              <a:defPPr>
                                <a:defRPr lang="en-US"/>
                              </a:defPPr>
                              <a:lvl1pPr algn="l" rtl="0" fontAlgn="base">
                                <a:spcBef>
                                  <a:spcPct val="0"/>
                                </a:spcBef>
                                <a:spcAft>
                                  <a:spcPct val="0"/>
                                </a:spcAft>
                                <a:defRPr sz="2300" kern="1200">
                                  <a:solidFill>
                                    <a:schemeClr val="tx1"/>
                                  </a:solidFill>
                                  <a:latin typeface="Arial" charset="0"/>
                                  <a:ea typeface="+mn-ea"/>
                                  <a:cs typeface="+mn-cs"/>
                                </a:defRPr>
                              </a:lvl1pPr>
                              <a:lvl2pPr marL="457200" algn="l" rtl="0" fontAlgn="base">
                                <a:spcBef>
                                  <a:spcPct val="0"/>
                                </a:spcBef>
                                <a:spcAft>
                                  <a:spcPct val="0"/>
                                </a:spcAft>
                                <a:defRPr sz="2300" kern="1200">
                                  <a:solidFill>
                                    <a:schemeClr val="tx1"/>
                                  </a:solidFill>
                                  <a:latin typeface="Arial" charset="0"/>
                                  <a:ea typeface="+mn-ea"/>
                                  <a:cs typeface="+mn-cs"/>
                                </a:defRPr>
                              </a:lvl2pPr>
                              <a:lvl3pPr marL="914400" algn="l" rtl="0" fontAlgn="base">
                                <a:spcBef>
                                  <a:spcPct val="0"/>
                                </a:spcBef>
                                <a:spcAft>
                                  <a:spcPct val="0"/>
                                </a:spcAft>
                                <a:defRPr sz="2300" kern="1200">
                                  <a:solidFill>
                                    <a:schemeClr val="tx1"/>
                                  </a:solidFill>
                                  <a:latin typeface="Arial" charset="0"/>
                                  <a:ea typeface="+mn-ea"/>
                                  <a:cs typeface="+mn-cs"/>
                                </a:defRPr>
                              </a:lvl3pPr>
                              <a:lvl4pPr marL="1371600" algn="l" rtl="0" fontAlgn="base">
                                <a:spcBef>
                                  <a:spcPct val="0"/>
                                </a:spcBef>
                                <a:spcAft>
                                  <a:spcPct val="0"/>
                                </a:spcAft>
                                <a:defRPr sz="2300" kern="1200">
                                  <a:solidFill>
                                    <a:schemeClr val="tx1"/>
                                  </a:solidFill>
                                  <a:latin typeface="Arial" charset="0"/>
                                  <a:ea typeface="+mn-ea"/>
                                  <a:cs typeface="+mn-cs"/>
                                </a:defRPr>
                              </a:lvl4pPr>
                              <a:lvl5pPr marL="1828800" algn="l" rtl="0" fontAlgn="base">
                                <a:spcBef>
                                  <a:spcPct val="0"/>
                                </a:spcBef>
                                <a:spcAft>
                                  <a:spcPct val="0"/>
                                </a:spcAft>
                                <a:defRPr sz="2300" kern="1200">
                                  <a:solidFill>
                                    <a:schemeClr val="tx1"/>
                                  </a:solidFill>
                                  <a:latin typeface="Arial" charset="0"/>
                                  <a:ea typeface="+mn-ea"/>
                                  <a:cs typeface="+mn-cs"/>
                                </a:defRPr>
                              </a:lvl5pPr>
                              <a:lvl6pPr marL="2286000" algn="l" defTabSz="914400" rtl="0" eaLnBrk="1" latinLnBrk="0" hangingPunct="1">
                                <a:defRPr sz="2300" kern="1200">
                                  <a:solidFill>
                                    <a:schemeClr val="tx1"/>
                                  </a:solidFill>
                                  <a:latin typeface="Arial" charset="0"/>
                                  <a:ea typeface="+mn-ea"/>
                                  <a:cs typeface="+mn-cs"/>
                                </a:defRPr>
                              </a:lvl6pPr>
                              <a:lvl7pPr marL="2743200" algn="l" defTabSz="914400" rtl="0" eaLnBrk="1" latinLnBrk="0" hangingPunct="1">
                                <a:defRPr sz="2300" kern="1200">
                                  <a:solidFill>
                                    <a:schemeClr val="tx1"/>
                                  </a:solidFill>
                                  <a:latin typeface="Arial" charset="0"/>
                                  <a:ea typeface="+mn-ea"/>
                                  <a:cs typeface="+mn-cs"/>
                                </a:defRPr>
                              </a:lvl7pPr>
                              <a:lvl8pPr marL="3200400" algn="l" defTabSz="914400" rtl="0" eaLnBrk="1" latinLnBrk="0" hangingPunct="1">
                                <a:defRPr sz="2300" kern="1200">
                                  <a:solidFill>
                                    <a:schemeClr val="tx1"/>
                                  </a:solidFill>
                                  <a:latin typeface="Arial" charset="0"/>
                                  <a:ea typeface="+mn-ea"/>
                                  <a:cs typeface="+mn-cs"/>
                                </a:defRPr>
                              </a:lvl8pPr>
                              <a:lvl9pPr marL="3657600" algn="l" defTabSz="914400" rtl="0" eaLnBrk="1" latinLnBrk="0" hangingPunct="1">
                                <a:defRPr sz="2300" kern="1200">
                                  <a:solidFill>
                                    <a:schemeClr val="tx1"/>
                                  </a:solidFill>
                                  <a:latin typeface="Arial" charset="0"/>
                                  <a:ea typeface="+mn-ea"/>
                                  <a:cs typeface="+mn-cs"/>
                                </a:defRPr>
                              </a:lvl9pPr>
                            </a:lstStyle>
                            <a:p>
                              <a:endParaRPr lang="en-US"/>
                            </a:p>
                          </a:txBody>
                          <a:useSpRect/>
                        </a:txSp>
                      </a:sp>
                      <a:sp>
                        <a:nvSpPr>
                          <a:cNvPr id="133" name="AutoShape 19" descr="Dark vertical"/>
                          <a:cNvSpPr>
                            <a:spLocks noChangeArrowheads="1"/>
                          </a:cNvSpPr>
                        </a:nvSpPr>
                        <a:spPr bwMode="auto">
                          <a:xfrm rot="17803396" flipH="1">
                            <a:off x="2644" y="2160"/>
                            <a:ext cx="1275" cy="262"/>
                          </a:xfrm>
                          <a:prstGeom prst="parallelogram">
                            <a:avLst>
                              <a:gd name="adj" fmla="val 33502"/>
                            </a:avLst>
                          </a:prstGeom>
                          <a:pattFill prst="dkVert">
                            <a:fgClr>
                              <a:srgbClr val="B2B2B2"/>
                            </a:fgClr>
                            <a:bgClr>
                              <a:schemeClr val="tx2"/>
                            </a:bgClr>
                          </a:pattFill>
                          <a:ln w="38100" algn="ctr">
                            <a:noFill/>
                            <a:miter lim="800000"/>
                            <a:headEnd/>
                            <a:tailEnd type="none" w="lg" len="lg"/>
                          </a:ln>
                        </a:spPr>
                        <a:txSp>
                          <a:txBody>
                            <a:bodyPr anchor="ctr">
                              <a:spAutoFit/>
                            </a:bodyPr>
                            <a:lstStyle>
                              <a:defPPr>
                                <a:defRPr lang="en-US"/>
                              </a:defPPr>
                              <a:lvl1pPr algn="l" rtl="0" fontAlgn="base">
                                <a:spcBef>
                                  <a:spcPct val="0"/>
                                </a:spcBef>
                                <a:spcAft>
                                  <a:spcPct val="0"/>
                                </a:spcAft>
                                <a:defRPr sz="2300" kern="1200">
                                  <a:solidFill>
                                    <a:schemeClr val="tx1"/>
                                  </a:solidFill>
                                  <a:latin typeface="Arial" charset="0"/>
                                  <a:ea typeface="+mn-ea"/>
                                  <a:cs typeface="+mn-cs"/>
                                </a:defRPr>
                              </a:lvl1pPr>
                              <a:lvl2pPr marL="457200" algn="l" rtl="0" fontAlgn="base">
                                <a:spcBef>
                                  <a:spcPct val="0"/>
                                </a:spcBef>
                                <a:spcAft>
                                  <a:spcPct val="0"/>
                                </a:spcAft>
                                <a:defRPr sz="2300" kern="1200">
                                  <a:solidFill>
                                    <a:schemeClr val="tx1"/>
                                  </a:solidFill>
                                  <a:latin typeface="Arial" charset="0"/>
                                  <a:ea typeface="+mn-ea"/>
                                  <a:cs typeface="+mn-cs"/>
                                </a:defRPr>
                              </a:lvl2pPr>
                              <a:lvl3pPr marL="914400" algn="l" rtl="0" fontAlgn="base">
                                <a:spcBef>
                                  <a:spcPct val="0"/>
                                </a:spcBef>
                                <a:spcAft>
                                  <a:spcPct val="0"/>
                                </a:spcAft>
                                <a:defRPr sz="2300" kern="1200">
                                  <a:solidFill>
                                    <a:schemeClr val="tx1"/>
                                  </a:solidFill>
                                  <a:latin typeface="Arial" charset="0"/>
                                  <a:ea typeface="+mn-ea"/>
                                  <a:cs typeface="+mn-cs"/>
                                </a:defRPr>
                              </a:lvl3pPr>
                              <a:lvl4pPr marL="1371600" algn="l" rtl="0" fontAlgn="base">
                                <a:spcBef>
                                  <a:spcPct val="0"/>
                                </a:spcBef>
                                <a:spcAft>
                                  <a:spcPct val="0"/>
                                </a:spcAft>
                                <a:defRPr sz="2300" kern="1200">
                                  <a:solidFill>
                                    <a:schemeClr val="tx1"/>
                                  </a:solidFill>
                                  <a:latin typeface="Arial" charset="0"/>
                                  <a:ea typeface="+mn-ea"/>
                                  <a:cs typeface="+mn-cs"/>
                                </a:defRPr>
                              </a:lvl4pPr>
                              <a:lvl5pPr marL="1828800" algn="l" rtl="0" fontAlgn="base">
                                <a:spcBef>
                                  <a:spcPct val="0"/>
                                </a:spcBef>
                                <a:spcAft>
                                  <a:spcPct val="0"/>
                                </a:spcAft>
                                <a:defRPr sz="2300" kern="1200">
                                  <a:solidFill>
                                    <a:schemeClr val="tx1"/>
                                  </a:solidFill>
                                  <a:latin typeface="Arial" charset="0"/>
                                  <a:ea typeface="+mn-ea"/>
                                  <a:cs typeface="+mn-cs"/>
                                </a:defRPr>
                              </a:lvl5pPr>
                              <a:lvl6pPr marL="2286000" algn="l" defTabSz="914400" rtl="0" eaLnBrk="1" latinLnBrk="0" hangingPunct="1">
                                <a:defRPr sz="2300" kern="1200">
                                  <a:solidFill>
                                    <a:schemeClr val="tx1"/>
                                  </a:solidFill>
                                  <a:latin typeface="Arial" charset="0"/>
                                  <a:ea typeface="+mn-ea"/>
                                  <a:cs typeface="+mn-cs"/>
                                </a:defRPr>
                              </a:lvl6pPr>
                              <a:lvl7pPr marL="2743200" algn="l" defTabSz="914400" rtl="0" eaLnBrk="1" latinLnBrk="0" hangingPunct="1">
                                <a:defRPr sz="2300" kern="1200">
                                  <a:solidFill>
                                    <a:schemeClr val="tx1"/>
                                  </a:solidFill>
                                  <a:latin typeface="Arial" charset="0"/>
                                  <a:ea typeface="+mn-ea"/>
                                  <a:cs typeface="+mn-cs"/>
                                </a:defRPr>
                              </a:lvl7pPr>
                              <a:lvl8pPr marL="3200400" algn="l" defTabSz="914400" rtl="0" eaLnBrk="1" latinLnBrk="0" hangingPunct="1">
                                <a:defRPr sz="2300" kern="1200">
                                  <a:solidFill>
                                    <a:schemeClr val="tx1"/>
                                  </a:solidFill>
                                  <a:latin typeface="Arial" charset="0"/>
                                  <a:ea typeface="+mn-ea"/>
                                  <a:cs typeface="+mn-cs"/>
                                </a:defRPr>
                              </a:lvl8pPr>
                              <a:lvl9pPr marL="3657600" algn="l" defTabSz="914400" rtl="0" eaLnBrk="1" latinLnBrk="0" hangingPunct="1">
                                <a:defRPr sz="2300" kern="1200">
                                  <a:solidFill>
                                    <a:schemeClr val="tx1"/>
                                  </a:solidFill>
                                  <a:latin typeface="Arial" charset="0"/>
                                  <a:ea typeface="+mn-ea"/>
                                  <a:cs typeface="+mn-cs"/>
                                </a:defRPr>
                              </a:lvl9pPr>
                            </a:lstStyle>
                            <a:p>
                              <a:endParaRPr lang="en-US"/>
                            </a:p>
                          </a:txBody>
                          <a:useSpRect/>
                        </a:txSp>
                      </a:sp>
                      <a:sp>
                        <a:nvSpPr>
                          <a:cNvPr id="134" name="AutoShape 20" descr="Dark vertical"/>
                          <a:cNvSpPr>
                            <a:spLocks noChangeArrowheads="1"/>
                          </a:cNvSpPr>
                        </a:nvSpPr>
                        <a:spPr bwMode="auto">
                          <a:xfrm rot="3796604">
                            <a:off x="2950" y="2160"/>
                            <a:ext cx="1275" cy="262"/>
                          </a:xfrm>
                          <a:prstGeom prst="parallelogram">
                            <a:avLst>
                              <a:gd name="adj" fmla="val 33502"/>
                            </a:avLst>
                          </a:prstGeom>
                          <a:pattFill prst="dkVert">
                            <a:fgClr>
                              <a:srgbClr val="B2B2B2"/>
                            </a:fgClr>
                            <a:bgClr>
                              <a:schemeClr val="tx2"/>
                            </a:bgClr>
                          </a:pattFill>
                          <a:ln w="38100" algn="ctr">
                            <a:noFill/>
                            <a:miter lim="800000"/>
                            <a:headEnd/>
                            <a:tailEnd type="none" w="lg" len="lg"/>
                          </a:ln>
                        </a:spPr>
                        <a:txSp>
                          <a:txBody>
                            <a:bodyPr anchor="ctr">
                              <a:spAutoFit/>
                            </a:bodyPr>
                            <a:lstStyle>
                              <a:defPPr>
                                <a:defRPr lang="en-US"/>
                              </a:defPPr>
                              <a:lvl1pPr algn="l" rtl="0" fontAlgn="base">
                                <a:spcBef>
                                  <a:spcPct val="0"/>
                                </a:spcBef>
                                <a:spcAft>
                                  <a:spcPct val="0"/>
                                </a:spcAft>
                                <a:defRPr sz="2300" kern="1200">
                                  <a:solidFill>
                                    <a:schemeClr val="tx1"/>
                                  </a:solidFill>
                                  <a:latin typeface="Arial" charset="0"/>
                                  <a:ea typeface="+mn-ea"/>
                                  <a:cs typeface="+mn-cs"/>
                                </a:defRPr>
                              </a:lvl1pPr>
                              <a:lvl2pPr marL="457200" algn="l" rtl="0" fontAlgn="base">
                                <a:spcBef>
                                  <a:spcPct val="0"/>
                                </a:spcBef>
                                <a:spcAft>
                                  <a:spcPct val="0"/>
                                </a:spcAft>
                                <a:defRPr sz="2300" kern="1200">
                                  <a:solidFill>
                                    <a:schemeClr val="tx1"/>
                                  </a:solidFill>
                                  <a:latin typeface="Arial" charset="0"/>
                                  <a:ea typeface="+mn-ea"/>
                                  <a:cs typeface="+mn-cs"/>
                                </a:defRPr>
                              </a:lvl2pPr>
                              <a:lvl3pPr marL="914400" algn="l" rtl="0" fontAlgn="base">
                                <a:spcBef>
                                  <a:spcPct val="0"/>
                                </a:spcBef>
                                <a:spcAft>
                                  <a:spcPct val="0"/>
                                </a:spcAft>
                                <a:defRPr sz="2300" kern="1200">
                                  <a:solidFill>
                                    <a:schemeClr val="tx1"/>
                                  </a:solidFill>
                                  <a:latin typeface="Arial" charset="0"/>
                                  <a:ea typeface="+mn-ea"/>
                                  <a:cs typeface="+mn-cs"/>
                                </a:defRPr>
                              </a:lvl3pPr>
                              <a:lvl4pPr marL="1371600" algn="l" rtl="0" fontAlgn="base">
                                <a:spcBef>
                                  <a:spcPct val="0"/>
                                </a:spcBef>
                                <a:spcAft>
                                  <a:spcPct val="0"/>
                                </a:spcAft>
                                <a:defRPr sz="2300" kern="1200">
                                  <a:solidFill>
                                    <a:schemeClr val="tx1"/>
                                  </a:solidFill>
                                  <a:latin typeface="Arial" charset="0"/>
                                  <a:ea typeface="+mn-ea"/>
                                  <a:cs typeface="+mn-cs"/>
                                </a:defRPr>
                              </a:lvl4pPr>
                              <a:lvl5pPr marL="1828800" algn="l" rtl="0" fontAlgn="base">
                                <a:spcBef>
                                  <a:spcPct val="0"/>
                                </a:spcBef>
                                <a:spcAft>
                                  <a:spcPct val="0"/>
                                </a:spcAft>
                                <a:defRPr sz="2300" kern="1200">
                                  <a:solidFill>
                                    <a:schemeClr val="tx1"/>
                                  </a:solidFill>
                                  <a:latin typeface="Arial" charset="0"/>
                                  <a:ea typeface="+mn-ea"/>
                                  <a:cs typeface="+mn-cs"/>
                                </a:defRPr>
                              </a:lvl5pPr>
                              <a:lvl6pPr marL="2286000" algn="l" defTabSz="914400" rtl="0" eaLnBrk="1" latinLnBrk="0" hangingPunct="1">
                                <a:defRPr sz="2300" kern="1200">
                                  <a:solidFill>
                                    <a:schemeClr val="tx1"/>
                                  </a:solidFill>
                                  <a:latin typeface="Arial" charset="0"/>
                                  <a:ea typeface="+mn-ea"/>
                                  <a:cs typeface="+mn-cs"/>
                                </a:defRPr>
                              </a:lvl6pPr>
                              <a:lvl7pPr marL="2743200" algn="l" defTabSz="914400" rtl="0" eaLnBrk="1" latinLnBrk="0" hangingPunct="1">
                                <a:defRPr sz="2300" kern="1200">
                                  <a:solidFill>
                                    <a:schemeClr val="tx1"/>
                                  </a:solidFill>
                                  <a:latin typeface="Arial" charset="0"/>
                                  <a:ea typeface="+mn-ea"/>
                                  <a:cs typeface="+mn-cs"/>
                                </a:defRPr>
                              </a:lvl7pPr>
                              <a:lvl8pPr marL="3200400" algn="l" defTabSz="914400" rtl="0" eaLnBrk="1" latinLnBrk="0" hangingPunct="1">
                                <a:defRPr sz="2300" kern="1200">
                                  <a:solidFill>
                                    <a:schemeClr val="tx1"/>
                                  </a:solidFill>
                                  <a:latin typeface="Arial" charset="0"/>
                                  <a:ea typeface="+mn-ea"/>
                                  <a:cs typeface="+mn-cs"/>
                                </a:defRPr>
                              </a:lvl8pPr>
                              <a:lvl9pPr marL="3657600" algn="l" defTabSz="914400" rtl="0" eaLnBrk="1" latinLnBrk="0" hangingPunct="1">
                                <a:defRPr sz="2300" kern="1200">
                                  <a:solidFill>
                                    <a:schemeClr val="tx1"/>
                                  </a:solidFill>
                                  <a:latin typeface="Arial" charset="0"/>
                                  <a:ea typeface="+mn-ea"/>
                                  <a:cs typeface="+mn-cs"/>
                                </a:defRPr>
                              </a:lvl9pPr>
                            </a:lstStyle>
                            <a:p>
                              <a:endParaRPr lang="en-US"/>
                            </a:p>
                          </a:txBody>
                          <a:useSpRect/>
                        </a:txSp>
                      </a:sp>
                    </a:grpSp>
                  </a:grpSp>
                  <a:cxnSp>
                    <a:nvCxnSpPr>
                      <a:cNvPr id="137" name="Straight Connector 136"/>
                      <a:cNvCxnSpPr/>
                    </a:nvCxnSpPr>
                    <a:spPr bwMode="auto">
                      <a:xfrm rot="10800000">
                        <a:off x="2153678" y="4737063"/>
                        <a:ext cx="2518392" cy="1220814"/>
                      </a:xfrm>
                      <a:prstGeom prst="line">
                        <a:avLst/>
                      </a:prstGeom>
                      <a:noFill/>
                      <a:ln w="6350" cap="flat" cmpd="sng" algn="ctr">
                        <a:solidFill>
                          <a:schemeClr val="tx1"/>
                        </a:solidFill>
                        <a:prstDash val="sysDash"/>
                        <a:round/>
                        <a:headEnd type="none" w="med" len="med"/>
                        <a:tailEnd type="none" w="med" len="med"/>
                      </a:ln>
                      <a:effectLst/>
                    </a:spPr>
                  </a:cxnSp>
                  <a:cxnSp>
                    <a:nvCxnSpPr>
                      <a:cNvPr id="139" name="Straight Connector 138"/>
                      <a:cNvCxnSpPr/>
                    </a:nvCxnSpPr>
                    <a:spPr bwMode="auto">
                      <a:xfrm flipV="1">
                        <a:off x="4672070" y="4737063"/>
                        <a:ext cx="2455840" cy="1220813"/>
                      </a:xfrm>
                      <a:prstGeom prst="line">
                        <a:avLst/>
                      </a:prstGeom>
                      <a:noFill/>
                      <a:ln w="6350" cap="flat" cmpd="sng" algn="ctr">
                        <a:solidFill>
                          <a:schemeClr val="tx1"/>
                        </a:solidFill>
                        <a:prstDash val="sysDash"/>
                        <a:round/>
                        <a:headEnd type="none" w="med" len="med"/>
                        <a:tailEnd type="none" w="med" len="med"/>
                      </a:ln>
                      <a:effectLst/>
                    </a:spPr>
                  </a:cxnSp>
                  <a:sp>
                    <a:nvSpPr>
                      <a:cNvPr id="147" name="Freeform 146"/>
                      <a:cNvSpPr/>
                    </a:nvSpPr>
                    <a:spPr bwMode="auto">
                      <a:xfrm>
                        <a:off x="1203274" y="2606516"/>
                        <a:ext cx="1352200" cy="673678"/>
                      </a:xfrm>
                      <a:custGeom>
                        <a:avLst/>
                        <a:gdLst>
                          <a:gd name="connsiteX0" fmla="*/ 96157 w 1718129"/>
                          <a:gd name="connsiteY0" fmla="*/ 0 h 502557"/>
                          <a:gd name="connsiteX1" fmla="*/ 270329 w 1718129"/>
                          <a:gd name="connsiteY1" fmla="*/ 446314 h 502557"/>
                          <a:gd name="connsiteX2" fmla="*/ 1718129 w 1718129"/>
                          <a:gd name="connsiteY2" fmla="*/ 337457 h 502557"/>
                        </a:gdLst>
                        <a:ahLst/>
                        <a:cxnLst>
                          <a:cxn ang="0">
                            <a:pos x="connsiteX0" y="connsiteY0"/>
                          </a:cxn>
                          <a:cxn ang="0">
                            <a:pos x="connsiteX1" y="connsiteY1"/>
                          </a:cxn>
                          <a:cxn ang="0">
                            <a:pos x="connsiteX2" y="connsiteY2"/>
                          </a:cxn>
                        </a:cxnLst>
                        <a:rect l="l" t="t" r="r" b="b"/>
                        <a:pathLst>
                          <a:path w="1718129" h="502557">
                            <a:moveTo>
                              <a:pt x="96157" y="0"/>
                            </a:moveTo>
                            <a:cubicBezTo>
                              <a:pt x="48078" y="195035"/>
                              <a:pt x="0" y="390071"/>
                              <a:pt x="270329" y="446314"/>
                            </a:cubicBezTo>
                            <a:cubicBezTo>
                              <a:pt x="540658" y="502557"/>
                              <a:pt x="1129393" y="420007"/>
                              <a:pt x="1718129" y="337457"/>
                            </a:cubicBezTo>
                          </a:path>
                        </a:pathLst>
                      </a:custGeom>
                      <a:noFill/>
                      <a:ln w="38100">
                        <a:solidFill>
                          <a:schemeClr val="tx2"/>
                        </a:solidFill>
                        <a:round/>
                        <a:headEnd/>
                        <a:tailEnd type="stealth" w="lg" len="lg"/>
                      </a:ln>
                      <a:effectLst/>
                    </a:spPr>
                    <a:txSp>
                      <a:txBody>
                        <a:bodyPr wrap="square" anchor="ctr">
                          <a:noAutofit/>
                        </a:bodyPr>
                        <a:lstStyle>
                          <a:defPPr>
                            <a:defRPr lang="en-US"/>
                          </a:defPPr>
                          <a:lvl1pPr algn="l" rtl="0" fontAlgn="base">
                            <a:spcBef>
                              <a:spcPct val="0"/>
                            </a:spcBef>
                            <a:spcAft>
                              <a:spcPct val="0"/>
                            </a:spcAft>
                            <a:defRPr sz="2300" kern="1200">
                              <a:solidFill>
                                <a:schemeClr val="tx1"/>
                              </a:solidFill>
                              <a:latin typeface="Arial" charset="0"/>
                              <a:ea typeface="+mn-ea"/>
                              <a:cs typeface="+mn-cs"/>
                            </a:defRPr>
                          </a:lvl1pPr>
                          <a:lvl2pPr marL="457200" algn="l" rtl="0" fontAlgn="base">
                            <a:spcBef>
                              <a:spcPct val="0"/>
                            </a:spcBef>
                            <a:spcAft>
                              <a:spcPct val="0"/>
                            </a:spcAft>
                            <a:defRPr sz="2300" kern="1200">
                              <a:solidFill>
                                <a:schemeClr val="tx1"/>
                              </a:solidFill>
                              <a:latin typeface="Arial" charset="0"/>
                              <a:ea typeface="+mn-ea"/>
                              <a:cs typeface="+mn-cs"/>
                            </a:defRPr>
                          </a:lvl2pPr>
                          <a:lvl3pPr marL="914400" algn="l" rtl="0" fontAlgn="base">
                            <a:spcBef>
                              <a:spcPct val="0"/>
                            </a:spcBef>
                            <a:spcAft>
                              <a:spcPct val="0"/>
                            </a:spcAft>
                            <a:defRPr sz="2300" kern="1200">
                              <a:solidFill>
                                <a:schemeClr val="tx1"/>
                              </a:solidFill>
                              <a:latin typeface="Arial" charset="0"/>
                              <a:ea typeface="+mn-ea"/>
                              <a:cs typeface="+mn-cs"/>
                            </a:defRPr>
                          </a:lvl3pPr>
                          <a:lvl4pPr marL="1371600" algn="l" rtl="0" fontAlgn="base">
                            <a:spcBef>
                              <a:spcPct val="0"/>
                            </a:spcBef>
                            <a:spcAft>
                              <a:spcPct val="0"/>
                            </a:spcAft>
                            <a:defRPr sz="2300" kern="1200">
                              <a:solidFill>
                                <a:schemeClr val="tx1"/>
                              </a:solidFill>
                              <a:latin typeface="Arial" charset="0"/>
                              <a:ea typeface="+mn-ea"/>
                              <a:cs typeface="+mn-cs"/>
                            </a:defRPr>
                          </a:lvl4pPr>
                          <a:lvl5pPr marL="1828800" algn="l" rtl="0" fontAlgn="base">
                            <a:spcBef>
                              <a:spcPct val="0"/>
                            </a:spcBef>
                            <a:spcAft>
                              <a:spcPct val="0"/>
                            </a:spcAft>
                            <a:defRPr sz="2300" kern="1200">
                              <a:solidFill>
                                <a:schemeClr val="tx1"/>
                              </a:solidFill>
                              <a:latin typeface="Arial" charset="0"/>
                              <a:ea typeface="+mn-ea"/>
                              <a:cs typeface="+mn-cs"/>
                            </a:defRPr>
                          </a:lvl5pPr>
                          <a:lvl6pPr marL="2286000" algn="l" defTabSz="914400" rtl="0" eaLnBrk="1" latinLnBrk="0" hangingPunct="1">
                            <a:defRPr sz="2300" kern="1200">
                              <a:solidFill>
                                <a:schemeClr val="tx1"/>
                              </a:solidFill>
                              <a:latin typeface="Arial" charset="0"/>
                              <a:ea typeface="+mn-ea"/>
                              <a:cs typeface="+mn-cs"/>
                            </a:defRPr>
                          </a:lvl6pPr>
                          <a:lvl7pPr marL="2743200" algn="l" defTabSz="914400" rtl="0" eaLnBrk="1" latinLnBrk="0" hangingPunct="1">
                            <a:defRPr sz="2300" kern="1200">
                              <a:solidFill>
                                <a:schemeClr val="tx1"/>
                              </a:solidFill>
                              <a:latin typeface="Arial" charset="0"/>
                              <a:ea typeface="+mn-ea"/>
                              <a:cs typeface="+mn-cs"/>
                            </a:defRPr>
                          </a:lvl7pPr>
                          <a:lvl8pPr marL="3200400" algn="l" defTabSz="914400" rtl="0" eaLnBrk="1" latinLnBrk="0" hangingPunct="1">
                            <a:defRPr sz="2300" kern="1200">
                              <a:solidFill>
                                <a:schemeClr val="tx1"/>
                              </a:solidFill>
                              <a:latin typeface="Arial" charset="0"/>
                              <a:ea typeface="+mn-ea"/>
                              <a:cs typeface="+mn-cs"/>
                            </a:defRPr>
                          </a:lvl8pPr>
                          <a:lvl9pPr marL="3657600" algn="l" defTabSz="914400" rtl="0" eaLnBrk="1" latinLnBrk="0" hangingPunct="1">
                            <a:defRPr sz="23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pPr>
                          <a:endParaRPr lang="en-US" smtClean="0"/>
                        </a:p>
                      </a:txBody>
                      <a:useSpRect/>
                    </a:txSp>
                  </a:sp>
                  <a:sp>
                    <a:nvSpPr>
                      <a:cNvPr id="148" name="Freeform 147"/>
                      <a:cNvSpPr/>
                    </a:nvSpPr>
                    <a:spPr bwMode="auto">
                      <a:xfrm>
                        <a:off x="3231243" y="2000161"/>
                        <a:ext cx="1040760" cy="810131"/>
                      </a:xfrm>
                      <a:custGeom>
                        <a:avLst/>
                        <a:gdLst>
                          <a:gd name="connsiteX0" fmla="*/ 927100 w 927100"/>
                          <a:gd name="connsiteY0" fmla="*/ 0 h 751114"/>
                          <a:gd name="connsiteX1" fmla="*/ 154214 w 927100"/>
                          <a:gd name="connsiteY1" fmla="*/ 359228 h 751114"/>
                          <a:gd name="connsiteX2" fmla="*/ 1814 w 927100"/>
                          <a:gd name="connsiteY2" fmla="*/ 751114 h 751114"/>
                        </a:gdLst>
                        <a:ahLst/>
                        <a:cxnLst>
                          <a:cxn ang="0">
                            <a:pos x="connsiteX0" y="connsiteY0"/>
                          </a:cxn>
                          <a:cxn ang="0">
                            <a:pos x="connsiteX1" y="connsiteY1"/>
                          </a:cxn>
                          <a:cxn ang="0">
                            <a:pos x="connsiteX2" y="connsiteY2"/>
                          </a:cxn>
                        </a:cxnLst>
                        <a:rect l="l" t="t" r="r" b="b"/>
                        <a:pathLst>
                          <a:path w="927100" h="751114">
                            <a:moveTo>
                              <a:pt x="927100" y="0"/>
                            </a:moveTo>
                            <a:cubicBezTo>
                              <a:pt x="617764" y="117021"/>
                              <a:pt x="308428" y="234042"/>
                              <a:pt x="154214" y="359228"/>
                            </a:cubicBezTo>
                            <a:cubicBezTo>
                              <a:pt x="0" y="484414"/>
                              <a:pt x="907" y="617764"/>
                              <a:pt x="1814" y="751114"/>
                            </a:cubicBezTo>
                          </a:path>
                        </a:pathLst>
                      </a:custGeom>
                      <a:noFill/>
                      <a:ln w="38100">
                        <a:solidFill>
                          <a:schemeClr val="tx2"/>
                        </a:solidFill>
                        <a:round/>
                        <a:headEnd/>
                        <a:tailEnd type="stealth" w="lg" len="lg"/>
                      </a:ln>
                      <a:effectLst/>
                    </a:spPr>
                    <a:txSp>
                      <a:txBody>
                        <a:bodyPr wrap="square" anchor="ctr">
                          <a:noAutofit/>
                        </a:bodyPr>
                        <a:lstStyle>
                          <a:defPPr>
                            <a:defRPr lang="en-US"/>
                          </a:defPPr>
                          <a:lvl1pPr algn="l" rtl="0" fontAlgn="base">
                            <a:spcBef>
                              <a:spcPct val="0"/>
                            </a:spcBef>
                            <a:spcAft>
                              <a:spcPct val="0"/>
                            </a:spcAft>
                            <a:defRPr sz="2300" kern="1200">
                              <a:solidFill>
                                <a:schemeClr val="tx1"/>
                              </a:solidFill>
                              <a:latin typeface="Arial" charset="0"/>
                              <a:ea typeface="+mn-ea"/>
                              <a:cs typeface="+mn-cs"/>
                            </a:defRPr>
                          </a:lvl1pPr>
                          <a:lvl2pPr marL="457200" algn="l" rtl="0" fontAlgn="base">
                            <a:spcBef>
                              <a:spcPct val="0"/>
                            </a:spcBef>
                            <a:spcAft>
                              <a:spcPct val="0"/>
                            </a:spcAft>
                            <a:defRPr sz="2300" kern="1200">
                              <a:solidFill>
                                <a:schemeClr val="tx1"/>
                              </a:solidFill>
                              <a:latin typeface="Arial" charset="0"/>
                              <a:ea typeface="+mn-ea"/>
                              <a:cs typeface="+mn-cs"/>
                            </a:defRPr>
                          </a:lvl2pPr>
                          <a:lvl3pPr marL="914400" algn="l" rtl="0" fontAlgn="base">
                            <a:spcBef>
                              <a:spcPct val="0"/>
                            </a:spcBef>
                            <a:spcAft>
                              <a:spcPct val="0"/>
                            </a:spcAft>
                            <a:defRPr sz="2300" kern="1200">
                              <a:solidFill>
                                <a:schemeClr val="tx1"/>
                              </a:solidFill>
                              <a:latin typeface="Arial" charset="0"/>
                              <a:ea typeface="+mn-ea"/>
                              <a:cs typeface="+mn-cs"/>
                            </a:defRPr>
                          </a:lvl3pPr>
                          <a:lvl4pPr marL="1371600" algn="l" rtl="0" fontAlgn="base">
                            <a:spcBef>
                              <a:spcPct val="0"/>
                            </a:spcBef>
                            <a:spcAft>
                              <a:spcPct val="0"/>
                            </a:spcAft>
                            <a:defRPr sz="2300" kern="1200">
                              <a:solidFill>
                                <a:schemeClr val="tx1"/>
                              </a:solidFill>
                              <a:latin typeface="Arial" charset="0"/>
                              <a:ea typeface="+mn-ea"/>
                              <a:cs typeface="+mn-cs"/>
                            </a:defRPr>
                          </a:lvl4pPr>
                          <a:lvl5pPr marL="1828800" algn="l" rtl="0" fontAlgn="base">
                            <a:spcBef>
                              <a:spcPct val="0"/>
                            </a:spcBef>
                            <a:spcAft>
                              <a:spcPct val="0"/>
                            </a:spcAft>
                            <a:defRPr sz="2300" kern="1200">
                              <a:solidFill>
                                <a:schemeClr val="tx1"/>
                              </a:solidFill>
                              <a:latin typeface="Arial" charset="0"/>
                              <a:ea typeface="+mn-ea"/>
                              <a:cs typeface="+mn-cs"/>
                            </a:defRPr>
                          </a:lvl5pPr>
                          <a:lvl6pPr marL="2286000" algn="l" defTabSz="914400" rtl="0" eaLnBrk="1" latinLnBrk="0" hangingPunct="1">
                            <a:defRPr sz="2300" kern="1200">
                              <a:solidFill>
                                <a:schemeClr val="tx1"/>
                              </a:solidFill>
                              <a:latin typeface="Arial" charset="0"/>
                              <a:ea typeface="+mn-ea"/>
                              <a:cs typeface="+mn-cs"/>
                            </a:defRPr>
                          </a:lvl6pPr>
                          <a:lvl7pPr marL="2743200" algn="l" defTabSz="914400" rtl="0" eaLnBrk="1" latinLnBrk="0" hangingPunct="1">
                            <a:defRPr sz="2300" kern="1200">
                              <a:solidFill>
                                <a:schemeClr val="tx1"/>
                              </a:solidFill>
                              <a:latin typeface="Arial" charset="0"/>
                              <a:ea typeface="+mn-ea"/>
                              <a:cs typeface="+mn-cs"/>
                            </a:defRPr>
                          </a:lvl7pPr>
                          <a:lvl8pPr marL="3200400" algn="l" defTabSz="914400" rtl="0" eaLnBrk="1" latinLnBrk="0" hangingPunct="1">
                            <a:defRPr sz="2300" kern="1200">
                              <a:solidFill>
                                <a:schemeClr val="tx1"/>
                              </a:solidFill>
                              <a:latin typeface="Arial" charset="0"/>
                              <a:ea typeface="+mn-ea"/>
                              <a:cs typeface="+mn-cs"/>
                            </a:defRPr>
                          </a:lvl8pPr>
                          <a:lvl9pPr marL="3657600" algn="l" defTabSz="914400" rtl="0" eaLnBrk="1" latinLnBrk="0" hangingPunct="1">
                            <a:defRPr sz="23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pPr>
                          <a:endParaRPr lang="en-US" smtClean="0"/>
                        </a:p>
                      </a:txBody>
                      <a:useSpRect/>
                    </a:txSp>
                  </a:sp>
                  <a:sp>
                    <a:nvSpPr>
                      <a:cNvPr id="149" name="Freeform 148"/>
                      <a:cNvSpPr/>
                    </a:nvSpPr>
                    <a:spPr bwMode="auto">
                      <a:xfrm>
                        <a:off x="4724400" y="2015336"/>
                        <a:ext cx="310242" cy="1098752"/>
                      </a:xfrm>
                      <a:custGeom>
                        <a:avLst/>
                        <a:gdLst>
                          <a:gd name="connsiteX0" fmla="*/ 0 w 310242"/>
                          <a:gd name="connsiteY0" fmla="*/ 0 h 936171"/>
                          <a:gd name="connsiteX1" fmla="*/ 293914 w 310242"/>
                          <a:gd name="connsiteY1" fmla="*/ 293914 h 936171"/>
                          <a:gd name="connsiteX2" fmla="*/ 97971 w 310242"/>
                          <a:gd name="connsiteY2" fmla="*/ 936171 h 936171"/>
                        </a:gdLst>
                        <a:ahLst/>
                        <a:cxnLst>
                          <a:cxn ang="0">
                            <a:pos x="connsiteX0" y="connsiteY0"/>
                          </a:cxn>
                          <a:cxn ang="0">
                            <a:pos x="connsiteX1" y="connsiteY1"/>
                          </a:cxn>
                          <a:cxn ang="0">
                            <a:pos x="connsiteX2" y="connsiteY2"/>
                          </a:cxn>
                        </a:cxnLst>
                        <a:rect l="l" t="t" r="r" b="b"/>
                        <a:pathLst>
                          <a:path w="310242" h="936171">
                            <a:moveTo>
                              <a:pt x="0" y="0"/>
                            </a:moveTo>
                            <a:cubicBezTo>
                              <a:pt x="138793" y="68943"/>
                              <a:pt x="277586" y="137886"/>
                              <a:pt x="293914" y="293914"/>
                            </a:cubicBezTo>
                            <a:cubicBezTo>
                              <a:pt x="310242" y="449942"/>
                              <a:pt x="204106" y="693056"/>
                              <a:pt x="97971" y="936171"/>
                            </a:cubicBezTo>
                          </a:path>
                        </a:pathLst>
                      </a:custGeom>
                      <a:noFill/>
                      <a:ln w="38100">
                        <a:solidFill>
                          <a:schemeClr val="tx2"/>
                        </a:solidFill>
                        <a:round/>
                        <a:headEnd/>
                        <a:tailEnd type="stealth" w="lg" len="lg"/>
                      </a:ln>
                      <a:effectLst/>
                    </a:spPr>
                    <a:txSp>
                      <a:txBody>
                        <a:bodyPr wrap="square" anchor="ctr">
                          <a:noAutofit/>
                        </a:bodyPr>
                        <a:lstStyle>
                          <a:defPPr>
                            <a:defRPr lang="en-US"/>
                          </a:defPPr>
                          <a:lvl1pPr algn="l" rtl="0" fontAlgn="base">
                            <a:spcBef>
                              <a:spcPct val="0"/>
                            </a:spcBef>
                            <a:spcAft>
                              <a:spcPct val="0"/>
                            </a:spcAft>
                            <a:defRPr sz="2300" kern="1200">
                              <a:solidFill>
                                <a:schemeClr val="tx1"/>
                              </a:solidFill>
                              <a:latin typeface="Arial" charset="0"/>
                              <a:ea typeface="+mn-ea"/>
                              <a:cs typeface="+mn-cs"/>
                            </a:defRPr>
                          </a:lvl1pPr>
                          <a:lvl2pPr marL="457200" algn="l" rtl="0" fontAlgn="base">
                            <a:spcBef>
                              <a:spcPct val="0"/>
                            </a:spcBef>
                            <a:spcAft>
                              <a:spcPct val="0"/>
                            </a:spcAft>
                            <a:defRPr sz="2300" kern="1200">
                              <a:solidFill>
                                <a:schemeClr val="tx1"/>
                              </a:solidFill>
                              <a:latin typeface="Arial" charset="0"/>
                              <a:ea typeface="+mn-ea"/>
                              <a:cs typeface="+mn-cs"/>
                            </a:defRPr>
                          </a:lvl2pPr>
                          <a:lvl3pPr marL="914400" algn="l" rtl="0" fontAlgn="base">
                            <a:spcBef>
                              <a:spcPct val="0"/>
                            </a:spcBef>
                            <a:spcAft>
                              <a:spcPct val="0"/>
                            </a:spcAft>
                            <a:defRPr sz="2300" kern="1200">
                              <a:solidFill>
                                <a:schemeClr val="tx1"/>
                              </a:solidFill>
                              <a:latin typeface="Arial" charset="0"/>
                              <a:ea typeface="+mn-ea"/>
                              <a:cs typeface="+mn-cs"/>
                            </a:defRPr>
                          </a:lvl3pPr>
                          <a:lvl4pPr marL="1371600" algn="l" rtl="0" fontAlgn="base">
                            <a:spcBef>
                              <a:spcPct val="0"/>
                            </a:spcBef>
                            <a:spcAft>
                              <a:spcPct val="0"/>
                            </a:spcAft>
                            <a:defRPr sz="2300" kern="1200">
                              <a:solidFill>
                                <a:schemeClr val="tx1"/>
                              </a:solidFill>
                              <a:latin typeface="Arial" charset="0"/>
                              <a:ea typeface="+mn-ea"/>
                              <a:cs typeface="+mn-cs"/>
                            </a:defRPr>
                          </a:lvl4pPr>
                          <a:lvl5pPr marL="1828800" algn="l" rtl="0" fontAlgn="base">
                            <a:spcBef>
                              <a:spcPct val="0"/>
                            </a:spcBef>
                            <a:spcAft>
                              <a:spcPct val="0"/>
                            </a:spcAft>
                            <a:defRPr sz="2300" kern="1200">
                              <a:solidFill>
                                <a:schemeClr val="tx1"/>
                              </a:solidFill>
                              <a:latin typeface="Arial" charset="0"/>
                              <a:ea typeface="+mn-ea"/>
                              <a:cs typeface="+mn-cs"/>
                            </a:defRPr>
                          </a:lvl5pPr>
                          <a:lvl6pPr marL="2286000" algn="l" defTabSz="914400" rtl="0" eaLnBrk="1" latinLnBrk="0" hangingPunct="1">
                            <a:defRPr sz="2300" kern="1200">
                              <a:solidFill>
                                <a:schemeClr val="tx1"/>
                              </a:solidFill>
                              <a:latin typeface="Arial" charset="0"/>
                              <a:ea typeface="+mn-ea"/>
                              <a:cs typeface="+mn-cs"/>
                            </a:defRPr>
                          </a:lvl6pPr>
                          <a:lvl7pPr marL="2743200" algn="l" defTabSz="914400" rtl="0" eaLnBrk="1" latinLnBrk="0" hangingPunct="1">
                            <a:defRPr sz="2300" kern="1200">
                              <a:solidFill>
                                <a:schemeClr val="tx1"/>
                              </a:solidFill>
                              <a:latin typeface="Arial" charset="0"/>
                              <a:ea typeface="+mn-ea"/>
                              <a:cs typeface="+mn-cs"/>
                            </a:defRPr>
                          </a:lvl7pPr>
                          <a:lvl8pPr marL="3200400" algn="l" defTabSz="914400" rtl="0" eaLnBrk="1" latinLnBrk="0" hangingPunct="1">
                            <a:defRPr sz="2300" kern="1200">
                              <a:solidFill>
                                <a:schemeClr val="tx1"/>
                              </a:solidFill>
                              <a:latin typeface="Arial" charset="0"/>
                              <a:ea typeface="+mn-ea"/>
                              <a:cs typeface="+mn-cs"/>
                            </a:defRPr>
                          </a:lvl8pPr>
                          <a:lvl9pPr marL="3657600" algn="l" defTabSz="914400" rtl="0" eaLnBrk="1" latinLnBrk="0" hangingPunct="1">
                            <a:defRPr sz="23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pPr>
                          <a:endParaRPr lang="en-US" smtClean="0"/>
                        </a:p>
                      </a:txBody>
                      <a:useSpRect/>
                    </a:txSp>
                  </a:sp>
                  <a:sp>
                    <a:nvSpPr>
                      <a:cNvPr id="150" name="Freeform 149"/>
                      <a:cNvSpPr/>
                    </a:nvSpPr>
                    <a:spPr bwMode="auto">
                      <a:xfrm>
                        <a:off x="5114059" y="2191621"/>
                        <a:ext cx="2641994" cy="1088572"/>
                      </a:xfrm>
                      <a:custGeom>
                        <a:avLst/>
                        <a:gdLst>
                          <a:gd name="connsiteX0" fmla="*/ 2623457 w 2623457"/>
                          <a:gd name="connsiteY0" fmla="*/ 194128 h 836385"/>
                          <a:gd name="connsiteX1" fmla="*/ 805542 w 2623457"/>
                          <a:gd name="connsiteY1" fmla="*/ 107043 h 836385"/>
                          <a:gd name="connsiteX2" fmla="*/ 0 w 2623457"/>
                          <a:gd name="connsiteY2" fmla="*/ 836385 h 836385"/>
                        </a:gdLst>
                        <a:ahLst/>
                        <a:cxnLst>
                          <a:cxn ang="0">
                            <a:pos x="connsiteX0" y="connsiteY0"/>
                          </a:cxn>
                          <a:cxn ang="0">
                            <a:pos x="connsiteX1" y="connsiteY1"/>
                          </a:cxn>
                          <a:cxn ang="0">
                            <a:pos x="connsiteX2" y="connsiteY2"/>
                          </a:cxn>
                        </a:cxnLst>
                        <a:rect l="l" t="t" r="r" b="b"/>
                        <a:pathLst>
                          <a:path w="2623457" h="836385">
                            <a:moveTo>
                              <a:pt x="2623457" y="194128"/>
                            </a:moveTo>
                            <a:cubicBezTo>
                              <a:pt x="1933121" y="97064"/>
                              <a:pt x="1242785" y="0"/>
                              <a:pt x="805542" y="107043"/>
                            </a:cubicBezTo>
                            <a:cubicBezTo>
                              <a:pt x="368299" y="214086"/>
                              <a:pt x="184149" y="525235"/>
                              <a:pt x="0" y="836385"/>
                            </a:cubicBezTo>
                          </a:path>
                        </a:pathLst>
                      </a:custGeom>
                      <a:noFill/>
                      <a:ln w="38100">
                        <a:solidFill>
                          <a:schemeClr val="tx2"/>
                        </a:solidFill>
                        <a:round/>
                        <a:headEnd/>
                        <a:tailEnd type="stealth" w="lg" len="lg"/>
                      </a:ln>
                      <a:effectLst/>
                    </a:spPr>
                    <a:txSp>
                      <a:txBody>
                        <a:bodyPr wrap="square" anchor="ctr">
                          <a:noAutofit/>
                        </a:bodyPr>
                        <a:lstStyle>
                          <a:defPPr>
                            <a:defRPr lang="en-US"/>
                          </a:defPPr>
                          <a:lvl1pPr algn="l" rtl="0" fontAlgn="base">
                            <a:spcBef>
                              <a:spcPct val="0"/>
                            </a:spcBef>
                            <a:spcAft>
                              <a:spcPct val="0"/>
                            </a:spcAft>
                            <a:defRPr sz="2300" kern="1200">
                              <a:solidFill>
                                <a:schemeClr val="tx1"/>
                              </a:solidFill>
                              <a:latin typeface="Arial" charset="0"/>
                              <a:ea typeface="+mn-ea"/>
                              <a:cs typeface="+mn-cs"/>
                            </a:defRPr>
                          </a:lvl1pPr>
                          <a:lvl2pPr marL="457200" algn="l" rtl="0" fontAlgn="base">
                            <a:spcBef>
                              <a:spcPct val="0"/>
                            </a:spcBef>
                            <a:spcAft>
                              <a:spcPct val="0"/>
                            </a:spcAft>
                            <a:defRPr sz="2300" kern="1200">
                              <a:solidFill>
                                <a:schemeClr val="tx1"/>
                              </a:solidFill>
                              <a:latin typeface="Arial" charset="0"/>
                              <a:ea typeface="+mn-ea"/>
                              <a:cs typeface="+mn-cs"/>
                            </a:defRPr>
                          </a:lvl2pPr>
                          <a:lvl3pPr marL="914400" algn="l" rtl="0" fontAlgn="base">
                            <a:spcBef>
                              <a:spcPct val="0"/>
                            </a:spcBef>
                            <a:spcAft>
                              <a:spcPct val="0"/>
                            </a:spcAft>
                            <a:defRPr sz="2300" kern="1200">
                              <a:solidFill>
                                <a:schemeClr val="tx1"/>
                              </a:solidFill>
                              <a:latin typeface="Arial" charset="0"/>
                              <a:ea typeface="+mn-ea"/>
                              <a:cs typeface="+mn-cs"/>
                            </a:defRPr>
                          </a:lvl3pPr>
                          <a:lvl4pPr marL="1371600" algn="l" rtl="0" fontAlgn="base">
                            <a:spcBef>
                              <a:spcPct val="0"/>
                            </a:spcBef>
                            <a:spcAft>
                              <a:spcPct val="0"/>
                            </a:spcAft>
                            <a:defRPr sz="2300" kern="1200">
                              <a:solidFill>
                                <a:schemeClr val="tx1"/>
                              </a:solidFill>
                              <a:latin typeface="Arial" charset="0"/>
                              <a:ea typeface="+mn-ea"/>
                              <a:cs typeface="+mn-cs"/>
                            </a:defRPr>
                          </a:lvl4pPr>
                          <a:lvl5pPr marL="1828800" algn="l" rtl="0" fontAlgn="base">
                            <a:spcBef>
                              <a:spcPct val="0"/>
                            </a:spcBef>
                            <a:spcAft>
                              <a:spcPct val="0"/>
                            </a:spcAft>
                            <a:defRPr sz="2300" kern="1200">
                              <a:solidFill>
                                <a:schemeClr val="tx1"/>
                              </a:solidFill>
                              <a:latin typeface="Arial" charset="0"/>
                              <a:ea typeface="+mn-ea"/>
                              <a:cs typeface="+mn-cs"/>
                            </a:defRPr>
                          </a:lvl5pPr>
                          <a:lvl6pPr marL="2286000" algn="l" defTabSz="914400" rtl="0" eaLnBrk="1" latinLnBrk="0" hangingPunct="1">
                            <a:defRPr sz="2300" kern="1200">
                              <a:solidFill>
                                <a:schemeClr val="tx1"/>
                              </a:solidFill>
                              <a:latin typeface="Arial" charset="0"/>
                              <a:ea typeface="+mn-ea"/>
                              <a:cs typeface="+mn-cs"/>
                            </a:defRPr>
                          </a:lvl6pPr>
                          <a:lvl7pPr marL="2743200" algn="l" defTabSz="914400" rtl="0" eaLnBrk="1" latinLnBrk="0" hangingPunct="1">
                            <a:defRPr sz="2300" kern="1200">
                              <a:solidFill>
                                <a:schemeClr val="tx1"/>
                              </a:solidFill>
                              <a:latin typeface="Arial" charset="0"/>
                              <a:ea typeface="+mn-ea"/>
                              <a:cs typeface="+mn-cs"/>
                            </a:defRPr>
                          </a:lvl7pPr>
                          <a:lvl8pPr marL="3200400" algn="l" defTabSz="914400" rtl="0" eaLnBrk="1" latinLnBrk="0" hangingPunct="1">
                            <a:defRPr sz="2300" kern="1200">
                              <a:solidFill>
                                <a:schemeClr val="tx1"/>
                              </a:solidFill>
                              <a:latin typeface="Arial" charset="0"/>
                              <a:ea typeface="+mn-ea"/>
                              <a:cs typeface="+mn-cs"/>
                            </a:defRPr>
                          </a:lvl8pPr>
                          <a:lvl9pPr marL="3657600" algn="l" defTabSz="914400" rtl="0" eaLnBrk="1" latinLnBrk="0" hangingPunct="1">
                            <a:defRPr sz="23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pPr>
                          <a:endParaRPr lang="en-US" smtClean="0"/>
                        </a:p>
                      </a:txBody>
                      <a:useSpRect/>
                    </a:txSp>
                  </a:sp>
                  <a:sp>
                    <a:nvSpPr>
                      <a:cNvPr id="153" name="Freeform 152"/>
                      <a:cNvSpPr/>
                    </a:nvSpPr>
                    <a:spPr bwMode="auto">
                      <a:xfrm>
                        <a:off x="6794560" y="3798838"/>
                        <a:ext cx="1190112" cy="720511"/>
                      </a:xfrm>
                      <a:custGeom>
                        <a:avLst/>
                        <a:gdLst>
                          <a:gd name="connsiteX0" fmla="*/ 1404257 w 1464129"/>
                          <a:gd name="connsiteY0" fmla="*/ 560614 h 560614"/>
                          <a:gd name="connsiteX1" fmla="*/ 1230086 w 1464129"/>
                          <a:gd name="connsiteY1" fmla="*/ 27214 h 560614"/>
                          <a:gd name="connsiteX2" fmla="*/ 0 w 1464129"/>
                          <a:gd name="connsiteY2" fmla="*/ 397329 h 560614"/>
                        </a:gdLst>
                        <a:ahLst/>
                        <a:cxnLst>
                          <a:cxn ang="0">
                            <a:pos x="connsiteX0" y="connsiteY0"/>
                          </a:cxn>
                          <a:cxn ang="0">
                            <a:pos x="connsiteX1" y="connsiteY1"/>
                          </a:cxn>
                          <a:cxn ang="0">
                            <a:pos x="connsiteX2" y="connsiteY2"/>
                          </a:cxn>
                        </a:cxnLst>
                        <a:rect l="l" t="t" r="r" b="b"/>
                        <a:pathLst>
                          <a:path w="1464129" h="560614">
                            <a:moveTo>
                              <a:pt x="1404257" y="560614"/>
                            </a:moveTo>
                            <a:cubicBezTo>
                              <a:pt x="1434193" y="307521"/>
                              <a:pt x="1464129" y="54428"/>
                              <a:pt x="1230086" y="27214"/>
                            </a:cubicBezTo>
                            <a:cubicBezTo>
                              <a:pt x="996043" y="0"/>
                              <a:pt x="498021" y="198664"/>
                              <a:pt x="0" y="397329"/>
                            </a:cubicBezTo>
                          </a:path>
                        </a:pathLst>
                      </a:custGeom>
                      <a:noFill/>
                      <a:ln w="38100">
                        <a:solidFill>
                          <a:schemeClr val="tx2"/>
                        </a:solidFill>
                        <a:round/>
                        <a:headEnd/>
                        <a:tailEnd type="stealth" w="lg" len="lg"/>
                      </a:ln>
                      <a:effectLst/>
                    </a:spPr>
                    <a:txSp>
                      <a:txBody>
                        <a:bodyPr wrap="square" anchor="ctr">
                          <a:noAutofit/>
                        </a:bodyPr>
                        <a:lstStyle>
                          <a:defPPr>
                            <a:defRPr lang="en-US"/>
                          </a:defPPr>
                          <a:lvl1pPr algn="l" rtl="0" fontAlgn="base">
                            <a:spcBef>
                              <a:spcPct val="0"/>
                            </a:spcBef>
                            <a:spcAft>
                              <a:spcPct val="0"/>
                            </a:spcAft>
                            <a:defRPr sz="2300" kern="1200">
                              <a:solidFill>
                                <a:schemeClr val="tx1"/>
                              </a:solidFill>
                              <a:latin typeface="Arial" charset="0"/>
                              <a:ea typeface="+mn-ea"/>
                              <a:cs typeface="+mn-cs"/>
                            </a:defRPr>
                          </a:lvl1pPr>
                          <a:lvl2pPr marL="457200" algn="l" rtl="0" fontAlgn="base">
                            <a:spcBef>
                              <a:spcPct val="0"/>
                            </a:spcBef>
                            <a:spcAft>
                              <a:spcPct val="0"/>
                            </a:spcAft>
                            <a:defRPr sz="2300" kern="1200">
                              <a:solidFill>
                                <a:schemeClr val="tx1"/>
                              </a:solidFill>
                              <a:latin typeface="Arial" charset="0"/>
                              <a:ea typeface="+mn-ea"/>
                              <a:cs typeface="+mn-cs"/>
                            </a:defRPr>
                          </a:lvl2pPr>
                          <a:lvl3pPr marL="914400" algn="l" rtl="0" fontAlgn="base">
                            <a:spcBef>
                              <a:spcPct val="0"/>
                            </a:spcBef>
                            <a:spcAft>
                              <a:spcPct val="0"/>
                            </a:spcAft>
                            <a:defRPr sz="2300" kern="1200">
                              <a:solidFill>
                                <a:schemeClr val="tx1"/>
                              </a:solidFill>
                              <a:latin typeface="Arial" charset="0"/>
                              <a:ea typeface="+mn-ea"/>
                              <a:cs typeface="+mn-cs"/>
                            </a:defRPr>
                          </a:lvl3pPr>
                          <a:lvl4pPr marL="1371600" algn="l" rtl="0" fontAlgn="base">
                            <a:spcBef>
                              <a:spcPct val="0"/>
                            </a:spcBef>
                            <a:spcAft>
                              <a:spcPct val="0"/>
                            </a:spcAft>
                            <a:defRPr sz="2300" kern="1200">
                              <a:solidFill>
                                <a:schemeClr val="tx1"/>
                              </a:solidFill>
                              <a:latin typeface="Arial" charset="0"/>
                              <a:ea typeface="+mn-ea"/>
                              <a:cs typeface="+mn-cs"/>
                            </a:defRPr>
                          </a:lvl4pPr>
                          <a:lvl5pPr marL="1828800" algn="l" rtl="0" fontAlgn="base">
                            <a:spcBef>
                              <a:spcPct val="0"/>
                            </a:spcBef>
                            <a:spcAft>
                              <a:spcPct val="0"/>
                            </a:spcAft>
                            <a:defRPr sz="2300" kern="1200">
                              <a:solidFill>
                                <a:schemeClr val="tx1"/>
                              </a:solidFill>
                              <a:latin typeface="Arial" charset="0"/>
                              <a:ea typeface="+mn-ea"/>
                              <a:cs typeface="+mn-cs"/>
                            </a:defRPr>
                          </a:lvl5pPr>
                          <a:lvl6pPr marL="2286000" algn="l" defTabSz="914400" rtl="0" eaLnBrk="1" latinLnBrk="0" hangingPunct="1">
                            <a:defRPr sz="2300" kern="1200">
                              <a:solidFill>
                                <a:schemeClr val="tx1"/>
                              </a:solidFill>
                              <a:latin typeface="Arial" charset="0"/>
                              <a:ea typeface="+mn-ea"/>
                              <a:cs typeface="+mn-cs"/>
                            </a:defRPr>
                          </a:lvl6pPr>
                          <a:lvl7pPr marL="2743200" algn="l" defTabSz="914400" rtl="0" eaLnBrk="1" latinLnBrk="0" hangingPunct="1">
                            <a:defRPr sz="2300" kern="1200">
                              <a:solidFill>
                                <a:schemeClr val="tx1"/>
                              </a:solidFill>
                              <a:latin typeface="Arial" charset="0"/>
                              <a:ea typeface="+mn-ea"/>
                              <a:cs typeface="+mn-cs"/>
                            </a:defRPr>
                          </a:lvl7pPr>
                          <a:lvl8pPr marL="3200400" algn="l" defTabSz="914400" rtl="0" eaLnBrk="1" latinLnBrk="0" hangingPunct="1">
                            <a:defRPr sz="2300" kern="1200">
                              <a:solidFill>
                                <a:schemeClr val="tx1"/>
                              </a:solidFill>
                              <a:latin typeface="Arial" charset="0"/>
                              <a:ea typeface="+mn-ea"/>
                              <a:cs typeface="+mn-cs"/>
                            </a:defRPr>
                          </a:lvl8pPr>
                          <a:lvl9pPr marL="3657600" algn="l" defTabSz="914400" rtl="0" eaLnBrk="1" latinLnBrk="0" hangingPunct="1">
                            <a:defRPr sz="23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pPr>
                          <a:endParaRPr lang="en-US" smtClean="0"/>
                        </a:p>
                      </a:txBody>
                      <a:useSpRect/>
                    </a:txSp>
                  </a:sp>
                  <a:sp>
                    <a:nvSpPr>
                      <a:cNvPr id="154" name="Freeform 153"/>
                      <a:cNvSpPr/>
                    </a:nvSpPr>
                    <a:spPr bwMode="auto">
                      <a:xfrm>
                        <a:off x="767442" y="4096986"/>
                        <a:ext cx="1638301" cy="640078"/>
                      </a:xfrm>
                      <a:custGeom>
                        <a:avLst/>
                        <a:gdLst>
                          <a:gd name="connsiteX0" fmla="*/ 168729 w 1638301"/>
                          <a:gd name="connsiteY0" fmla="*/ 736601 h 736601"/>
                          <a:gd name="connsiteX1" fmla="*/ 244929 w 1638301"/>
                          <a:gd name="connsiteY1" fmla="*/ 105229 h 736601"/>
                          <a:gd name="connsiteX2" fmla="*/ 1638301 w 1638301"/>
                          <a:gd name="connsiteY2" fmla="*/ 105229 h 736601"/>
                        </a:gdLst>
                        <a:ahLst/>
                        <a:cxnLst>
                          <a:cxn ang="0">
                            <a:pos x="connsiteX0" y="connsiteY0"/>
                          </a:cxn>
                          <a:cxn ang="0">
                            <a:pos x="connsiteX1" y="connsiteY1"/>
                          </a:cxn>
                          <a:cxn ang="0">
                            <a:pos x="connsiteX2" y="connsiteY2"/>
                          </a:cxn>
                        </a:cxnLst>
                        <a:rect l="l" t="t" r="r" b="b"/>
                        <a:pathLst>
                          <a:path w="1638301" h="736601">
                            <a:moveTo>
                              <a:pt x="168729" y="736601"/>
                            </a:moveTo>
                            <a:cubicBezTo>
                              <a:pt x="84364" y="473529"/>
                              <a:pt x="0" y="210458"/>
                              <a:pt x="244929" y="105229"/>
                            </a:cubicBezTo>
                            <a:cubicBezTo>
                              <a:pt x="489858" y="0"/>
                              <a:pt x="1064079" y="52614"/>
                              <a:pt x="1638301" y="105229"/>
                            </a:cubicBezTo>
                          </a:path>
                        </a:pathLst>
                      </a:custGeom>
                      <a:noFill/>
                      <a:ln w="38100">
                        <a:solidFill>
                          <a:schemeClr val="tx2"/>
                        </a:solidFill>
                        <a:round/>
                        <a:headEnd/>
                        <a:tailEnd type="stealth" w="lg" len="lg"/>
                      </a:ln>
                      <a:effectLst/>
                    </a:spPr>
                    <a:txSp>
                      <a:txBody>
                        <a:bodyPr wrap="square" anchor="ctr">
                          <a:noAutofit/>
                        </a:bodyPr>
                        <a:lstStyle>
                          <a:defPPr>
                            <a:defRPr lang="en-US"/>
                          </a:defPPr>
                          <a:lvl1pPr algn="l" rtl="0" fontAlgn="base">
                            <a:spcBef>
                              <a:spcPct val="0"/>
                            </a:spcBef>
                            <a:spcAft>
                              <a:spcPct val="0"/>
                            </a:spcAft>
                            <a:defRPr sz="2300" kern="1200">
                              <a:solidFill>
                                <a:schemeClr val="tx1"/>
                              </a:solidFill>
                              <a:latin typeface="Arial" charset="0"/>
                              <a:ea typeface="+mn-ea"/>
                              <a:cs typeface="+mn-cs"/>
                            </a:defRPr>
                          </a:lvl1pPr>
                          <a:lvl2pPr marL="457200" algn="l" rtl="0" fontAlgn="base">
                            <a:spcBef>
                              <a:spcPct val="0"/>
                            </a:spcBef>
                            <a:spcAft>
                              <a:spcPct val="0"/>
                            </a:spcAft>
                            <a:defRPr sz="2300" kern="1200">
                              <a:solidFill>
                                <a:schemeClr val="tx1"/>
                              </a:solidFill>
                              <a:latin typeface="Arial" charset="0"/>
                              <a:ea typeface="+mn-ea"/>
                              <a:cs typeface="+mn-cs"/>
                            </a:defRPr>
                          </a:lvl2pPr>
                          <a:lvl3pPr marL="914400" algn="l" rtl="0" fontAlgn="base">
                            <a:spcBef>
                              <a:spcPct val="0"/>
                            </a:spcBef>
                            <a:spcAft>
                              <a:spcPct val="0"/>
                            </a:spcAft>
                            <a:defRPr sz="2300" kern="1200">
                              <a:solidFill>
                                <a:schemeClr val="tx1"/>
                              </a:solidFill>
                              <a:latin typeface="Arial" charset="0"/>
                              <a:ea typeface="+mn-ea"/>
                              <a:cs typeface="+mn-cs"/>
                            </a:defRPr>
                          </a:lvl3pPr>
                          <a:lvl4pPr marL="1371600" algn="l" rtl="0" fontAlgn="base">
                            <a:spcBef>
                              <a:spcPct val="0"/>
                            </a:spcBef>
                            <a:spcAft>
                              <a:spcPct val="0"/>
                            </a:spcAft>
                            <a:defRPr sz="2300" kern="1200">
                              <a:solidFill>
                                <a:schemeClr val="tx1"/>
                              </a:solidFill>
                              <a:latin typeface="Arial" charset="0"/>
                              <a:ea typeface="+mn-ea"/>
                              <a:cs typeface="+mn-cs"/>
                            </a:defRPr>
                          </a:lvl4pPr>
                          <a:lvl5pPr marL="1828800" algn="l" rtl="0" fontAlgn="base">
                            <a:spcBef>
                              <a:spcPct val="0"/>
                            </a:spcBef>
                            <a:spcAft>
                              <a:spcPct val="0"/>
                            </a:spcAft>
                            <a:defRPr sz="2300" kern="1200">
                              <a:solidFill>
                                <a:schemeClr val="tx1"/>
                              </a:solidFill>
                              <a:latin typeface="Arial" charset="0"/>
                              <a:ea typeface="+mn-ea"/>
                              <a:cs typeface="+mn-cs"/>
                            </a:defRPr>
                          </a:lvl5pPr>
                          <a:lvl6pPr marL="2286000" algn="l" defTabSz="914400" rtl="0" eaLnBrk="1" latinLnBrk="0" hangingPunct="1">
                            <a:defRPr sz="2300" kern="1200">
                              <a:solidFill>
                                <a:schemeClr val="tx1"/>
                              </a:solidFill>
                              <a:latin typeface="Arial" charset="0"/>
                              <a:ea typeface="+mn-ea"/>
                              <a:cs typeface="+mn-cs"/>
                            </a:defRPr>
                          </a:lvl6pPr>
                          <a:lvl7pPr marL="2743200" algn="l" defTabSz="914400" rtl="0" eaLnBrk="1" latinLnBrk="0" hangingPunct="1">
                            <a:defRPr sz="2300" kern="1200">
                              <a:solidFill>
                                <a:schemeClr val="tx1"/>
                              </a:solidFill>
                              <a:latin typeface="Arial" charset="0"/>
                              <a:ea typeface="+mn-ea"/>
                              <a:cs typeface="+mn-cs"/>
                            </a:defRPr>
                          </a:lvl7pPr>
                          <a:lvl8pPr marL="3200400" algn="l" defTabSz="914400" rtl="0" eaLnBrk="1" latinLnBrk="0" hangingPunct="1">
                            <a:defRPr sz="2300" kern="1200">
                              <a:solidFill>
                                <a:schemeClr val="tx1"/>
                              </a:solidFill>
                              <a:latin typeface="Arial" charset="0"/>
                              <a:ea typeface="+mn-ea"/>
                              <a:cs typeface="+mn-cs"/>
                            </a:defRPr>
                          </a:lvl8pPr>
                          <a:lvl9pPr marL="3657600" algn="l" defTabSz="914400" rtl="0" eaLnBrk="1" latinLnBrk="0" hangingPunct="1">
                            <a:defRPr sz="2300" kern="1200">
                              <a:solidFill>
                                <a:schemeClr val="tx1"/>
                              </a:solidFill>
                              <a:latin typeface="Arial" charset="0"/>
                              <a:ea typeface="+mn-ea"/>
                              <a:cs typeface="+mn-cs"/>
                            </a:defRPr>
                          </a:lvl9pPr>
                        </a:lstStyle>
                        <a:p>
                          <a:pPr marL="0" marR="0" indent="0" defTabSz="914400" eaLnBrk="1" latinLnBrk="0" hangingPunct="1">
                            <a:lnSpc>
                              <a:spcPct val="100000"/>
                            </a:lnSpc>
                            <a:buClrTx/>
                            <a:buSzTx/>
                            <a:buFontTx/>
                            <a:buNone/>
                            <a:tabLst/>
                          </a:pPr>
                          <a:endParaRPr lang="en-US" smtClean="0"/>
                        </a:p>
                      </a:txBody>
                      <a:useSpRect/>
                    </a:txSp>
                  </a:sp>
                  <a:sp>
                    <a:nvSpPr>
                      <a:cNvPr id="93" name="Text Box 26"/>
                      <a:cNvSpPr txBox="1">
                        <a:spLocks noChangeArrowheads="1"/>
                      </a:cNvSpPr>
                    </a:nvSpPr>
                    <a:spPr bwMode="auto">
                      <a:xfrm>
                        <a:off x="3804033" y="1478882"/>
                        <a:ext cx="1413679" cy="584775"/>
                      </a:xfrm>
                      <a:prstGeom prst="rect">
                        <a:avLst/>
                      </a:prstGeom>
                      <a:solidFill>
                        <a:schemeClr val="bg2">
                          <a:lumMod val="40000"/>
                          <a:lumOff val="60000"/>
                        </a:schemeClr>
                      </a:solidFill>
                      <a:ln>
                        <a:solidFill>
                          <a:schemeClr val="tx1"/>
                        </a:solidFill>
                        <a:headEnd type="none" w="med" len="med"/>
                        <a:tailEnd type="stealth" w="lg" len="lg"/>
                      </a:ln>
                      <a:effectLst/>
                      <a:scene3d>
                        <a:camera prst="orthographicFront">
                          <a:rot lat="0" lon="0" rev="0"/>
                        </a:camera>
                        <a:lightRig rig="threePt" dir="t">
                          <a:rot lat="0" lon="0" rev="1200000"/>
                        </a:lightRig>
                      </a:scene3d>
                      <a:sp3d/>
                    </a:spPr>
                    <a:txSp>
                      <a:txBody>
                        <a:bodyPr vert="horz" wrap="square" lIns="91440" tIns="45720" rIns="91440" bIns="45720" numCol="1" rtlCol="0" anchor="t" anchorCtr="0" compatLnSpc="1">
                          <a:prstTxWarp prst="textNoShape">
                            <a:avLst/>
                          </a:prstTxWarp>
                          <a:noAutofit/>
                        </a:bodyPr>
                        <a:lstStyle>
                          <a:defPPr>
                            <a:defRPr lang="en-US"/>
                          </a:defPPr>
                          <a:lvl1pPr algn="l" rtl="0" fontAlgn="base">
                            <a:spcBef>
                              <a:spcPct val="0"/>
                            </a:spcBef>
                            <a:spcAft>
                              <a:spcPct val="0"/>
                            </a:spcAft>
                            <a:defRPr sz="2300" kern="1200">
                              <a:solidFill>
                                <a:schemeClr val="lt1"/>
                              </a:solidFill>
                              <a:latin typeface="+mn-lt"/>
                              <a:ea typeface="+mn-ea"/>
                              <a:cs typeface="+mn-cs"/>
                            </a:defRPr>
                          </a:lvl1pPr>
                          <a:lvl2pPr marL="457200" algn="l" rtl="0" fontAlgn="base">
                            <a:spcBef>
                              <a:spcPct val="0"/>
                            </a:spcBef>
                            <a:spcAft>
                              <a:spcPct val="0"/>
                            </a:spcAft>
                            <a:defRPr sz="2300" kern="1200">
                              <a:solidFill>
                                <a:schemeClr val="lt1"/>
                              </a:solidFill>
                              <a:latin typeface="+mn-lt"/>
                              <a:ea typeface="+mn-ea"/>
                              <a:cs typeface="+mn-cs"/>
                            </a:defRPr>
                          </a:lvl2pPr>
                          <a:lvl3pPr marL="914400" algn="l" rtl="0" fontAlgn="base">
                            <a:spcBef>
                              <a:spcPct val="0"/>
                            </a:spcBef>
                            <a:spcAft>
                              <a:spcPct val="0"/>
                            </a:spcAft>
                            <a:defRPr sz="2300" kern="1200">
                              <a:solidFill>
                                <a:schemeClr val="lt1"/>
                              </a:solidFill>
                              <a:latin typeface="+mn-lt"/>
                              <a:ea typeface="+mn-ea"/>
                              <a:cs typeface="+mn-cs"/>
                            </a:defRPr>
                          </a:lvl3pPr>
                          <a:lvl4pPr marL="1371600" algn="l" rtl="0" fontAlgn="base">
                            <a:spcBef>
                              <a:spcPct val="0"/>
                            </a:spcBef>
                            <a:spcAft>
                              <a:spcPct val="0"/>
                            </a:spcAft>
                            <a:defRPr sz="2300" kern="1200">
                              <a:solidFill>
                                <a:schemeClr val="lt1"/>
                              </a:solidFill>
                              <a:latin typeface="+mn-lt"/>
                              <a:ea typeface="+mn-ea"/>
                              <a:cs typeface="+mn-cs"/>
                            </a:defRPr>
                          </a:lvl4pPr>
                          <a:lvl5pPr marL="1828800" algn="l" rtl="0" fontAlgn="base">
                            <a:spcBef>
                              <a:spcPct val="0"/>
                            </a:spcBef>
                            <a:spcAft>
                              <a:spcPct val="0"/>
                            </a:spcAft>
                            <a:defRPr sz="2300" kern="1200">
                              <a:solidFill>
                                <a:schemeClr val="lt1"/>
                              </a:solidFill>
                              <a:latin typeface="+mn-lt"/>
                              <a:ea typeface="+mn-ea"/>
                              <a:cs typeface="+mn-cs"/>
                            </a:defRPr>
                          </a:lvl5pPr>
                          <a:lvl6pPr marL="2286000" algn="l" defTabSz="914400" rtl="0" eaLnBrk="1" latinLnBrk="0" hangingPunct="1">
                            <a:defRPr sz="2300" kern="1200">
                              <a:solidFill>
                                <a:schemeClr val="lt1"/>
                              </a:solidFill>
                              <a:latin typeface="+mn-lt"/>
                              <a:ea typeface="+mn-ea"/>
                              <a:cs typeface="+mn-cs"/>
                            </a:defRPr>
                          </a:lvl6pPr>
                          <a:lvl7pPr marL="2743200" algn="l" defTabSz="914400" rtl="0" eaLnBrk="1" latinLnBrk="0" hangingPunct="1">
                            <a:defRPr sz="2300" kern="1200">
                              <a:solidFill>
                                <a:schemeClr val="lt1"/>
                              </a:solidFill>
                              <a:latin typeface="+mn-lt"/>
                              <a:ea typeface="+mn-ea"/>
                              <a:cs typeface="+mn-cs"/>
                            </a:defRPr>
                          </a:lvl7pPr>
                          <a:lvl8pPr marL="3200400" algn="l" defTabSz="914400" rtl="0" eaLnBrk="1" latinLnBrk="0" hangingPunct="1">
                            <a:defRPr sz="2300" kern="1200">
                              <a:solidFill>
                                <a:schemeClr val="lt1"/>
                              </a:solidFill>
                              <a:latin typeface="+mn-lt"/>
                              <a:ea typeface="+mn-ea"/>
                              <a:cs typeface="+mn-cs"/>
                            </a:defRPr>
                          </a:lvl8pPr>
                          <a:lvl9pPr marL="3657600" algn="l" defTabSz="914400" rtl="0" eaLnBrk="1" latinLnBrk="0" hangingPunct="1">
                            <a:defRPr sz="2300" kern="1200">
                              <a:solidFill>
                                <a:schemeClr val="lt1"/>
                              </a:solidFill>
                              <a:latin typeface="+mn-lt"/>
                              <a:ea typeface="+mn-ea"/>
                              <a:cs typeface="+mn-cs"/>
                            </a:defRPr>
                          </a:lvl9pPr>
                        </a:lstStyle>
                        <a:p>
                          <a:pPr algn="ctr">
                            <a:defRPr/>
                          </a:pPr>
                          <a:r>
                            <a:rPr lang="en-US" sz="1600" b="1" dirty="0" smtClean="0">
                              <a:solidFill>
                                <a:schemeClr val="tx1"/>
                              </a:solidFill>
                              <a:latin typeface="Calibri" pitchFamily="34" charset="0"/>
                            </a:rPr>
                            <a:t>Development Tool</a:t>
                          </a:r>
                        </a:p>
                      </a:txBody>
                      <a:useSpRect/>
                    </a:txSp>
                    <a:style>
                      <a:lnRef idx="0">
                        <a:schemeClr val="accent3"/>
                      </a:lnRef>
                      <a:fillRef idx="3">
                        <a:schemeClr val="accent3"/>
                      </a:fillRef>
                      <a:effectRef idx="3">
                        <a:schemeClr val="accent3"/>
                      </a:effectRef>
                      <a:fontRef idx="minor">
                        <a:schemeClr val="lt1"/>
                      </a:fontRef>
                    </a:style>
                  </a:sp>
                  <a:grpSp>
                    <a:nvGrpSpPr>
                      <a:cNvPr id="119" name="Group 15"/>
                      <a:cNvGrpSpPr>
                        <a:grpSpLocks/>
                      </a:cNvGrpSpPr>
                    </a:nvGrpSpPr>
                    <a:grpSpPr bwMode="auto">
                      <a:xfrm>
                        <a:off x="4433371" y="743056"/>
                        <a:ext cx="234774" cy="610412"/>
                        <a:chOff x="2976" y="768"/>
                        <a:chExt cx="912" cy="2135"/>
                      </a:xfrm>
                    </a:grpSpPr>
                    <a:sp>
                      <a:nvSpPr>
                        <a:cNvPr id="120" name="Oval 16" descr="Dark vertical"/>
                        <a:cNvSpPr>
                          <a:spLocks noChangeArrowheads="1"/>
                        </a:cNvSpPr>
                      </a:nvSpPr>
                      <a:spPr bwMode="auto">
                        <a:xfrm>
                          <a:off x="3141" y="768"/>
                          <a:ext cx="611" cy="614"/>
                        </a:xfrm>
                        <a:prstGeom prst="ellipse">
                          <a:avLst/>
                        </a:prstGeom>
                        <a:pattFill prst="dkVert">
                          <a:fgClr>
                            <a:srgbClr val="B2B2B2"/>
                          </a:fgClr>
                          <a:bgClr>
                            <a:schemeClr val="tx2"/>
                          </a:bgClr>
                        </a:pattFill>
                        <a:ln w="38100" algn="ctr">
                          <a:noFill/>
                          <a:round/>
                          <a:headEnd/>
                          <a:tailEnd type="none" w="lg" len="lg"/>
                        </a:ln>
                      </a:spPr>
                      <a:txSp>
                        <a:txBody>
                          <a:bodyPr anchor="ctr">
                            <a:spAutoFit/>
                          </a:bodyPr>
                          <a:lstStyle>
                            <a:defPPr>
                              <a:defRPr lang="en-US"/>
                            </a:defPPr>
                            <a:lvl1pPr algn="l" rtl="0" fontAlgn="base">
                              <a:spcBef>
                                <a:spcPct val="0"/>
                              </a:spcBef>
                              <a:spcAft>
                                <a:spcPct val="0"/>
                              </a:spcAft>
                              <a:defRPr sz="2300" kern="1200">
                                <a:solidFill>
                                  <a:schemeClr val="tx1"/>
                                </a:solidFill>
                                <a:latin typeface="Arial" charset="0"/>
                                <a:ea typeface="+mn-ea"/>
                                <a:cs typeface="+mn-cs"/>
                              </a:defRPr>
                            </a:lvl1pPr>
                            <a:lvl2pPr marL="457200" algn="l" rtl="0" fontAlgn="base">
                              <a:spcBef>
                                <a:spcPct val="0"/>
                              </a:spcBef>
                              <a:spcAft>
                                <a:spcPct val="0"/>
                              </a:spcAft>
                              <a:defRPr sz="2300" kern="1200">
                                <a:solidFill>
                                  <a:schemeClr val="tx1"/>
                                </a:solidFill>
                                <a:latin typeface="Arial" charset="0"/>
                                <a:ea typeface="+mn-ea"/>
                                <a:cs typeface="+mn-cs"/>
                              </a:defRPr>
                            </a:lvl2pPr>
                            <a:lvl3pPr marL="914400" algn="l" rtl="0" fontAlgn="base">
                              <a:spcBef>
                                <a:spcPct val="0"/>
                              </a:spcBef>
                              <a:spcAft>
                                <a:spcPct val="0"/>
                              </a:spcAft>
                              <a:defRPr sz="2300" kern="1200">
                                <a:solidFill>
                                  <a:schemeClr val="tx1"/>
                                </a:solidFill>
                                <a:latin typeface="Arial" charset="0"/>
                                <a:ea typeface="+mn-ea"/>
                                <a:cs typeface="+mn-cs"/>
                              </a:defRPr>
                            </a:lvl3pPr>
                            <a:lvl4pPr marL="1371600" algn="l" rtl="0" fontAlgn="base">
                              <a:spcBef>
                                <a:spcPct val="0"/>
                              </a:spcBef>
                              <a:spcAft>
                                <a:spcPct val="0"/>
                              </a:spcAft>
                              <a:defRPr sz="2300" kern="1200">
                                <a:solidFill>
                                  <a:schemeClr val="tx1"/>
                                </a:solidFill>
                                <a:latin typeface="Arial" charset="0"/>
                                <a:ea typeface="+mn-ea"/>
                                <a:cs typeface="+mn-cs"/>
                              </a:defRPr>
                            </a:lvl4pPr>
                            <a:lvl5pPr marL="1828800" algn="l" rtl="0" fontAlgn="base">
                              <a:spcBef>
                                <a:spcPct val="0"/>
                              </a:spcBef>
                              <a:spcAft>
                                <a:spcPct val="0"/>
                              </a:spcAft>
                              <a:defRPr sz="2300" kern="1200">
                                <a:solidFill>
                                  <a:schemeClr val="tx1"/>
                                </a:solidFill>
                                <a:latin typeface="Arial" charset="0"/>
                                <a:ea typeface="+mn-ea"/>
                                <a:cs typeface="+mn-cs"/>
                              </a:defRPr>
                            </a:lvl5pPr>
                            <a:lvl6pPr marL="2286000" algn="l" defTabSz="914400" rtl="0" eaLnBrk="1" latinLnBrk="0" hangingPunct="1">
                              <a:defRPr sz="2300" kern="1200">
                                <a:solidFill>
                                  <a:schemeClr val="tx1"/>
                                </a:solidFill>
                                <a:latin typeface="Arial" charset="0"/>
                                <a:ea typeface="+mn-ea"/>
                                <a:cs typeface="+mn-cs"/>
                              </a:defRPr>
                            </a:lvl6pPr>
                            <a:lvl7pPr marL="2743200" algn="l" defTabSz="914400" rtl="0" eaLnBrk="1" latinLnBrk="0" hangingPunct="1">
                              <a:defRPr sz="2300" kern="1200">
                                <a:solidFill>
                                  <a:schemeClr val="tx1"/>
                                </a:solidFill>
                                <a:latin typeface="Arial" charset="0"/>
                                <a:ea typeface="+mn-ea"/>
                                <a:cs typeface="+mn-cs"/>
                              </a:defRPr>
                            </a:lvl7pPr>
                            <a:lvl8pPr marL="3200400" algn="l" defTabSz="914400" rtl="0" eaLnBrk="1" latinLnBrk="0" hangingPunct="1">
                              <a:defRPr sz="2300" kern="1200">
                                <a:solidFill>
                                  <a:schemeClr val="tx1"/>
                                </a:solidFill>
                                <a:latin typeface="Arial" charset="0"/>
                                <a:ea typeface="+mn-ea"/>
                                <a:cs typeface="+mn-cs"/>
                              </a:defRPr>
                            </a:lvl8pPr>
                            <a:lvl9pPr marL="3657600" algn="l" defTabSz="914400" rtl="0" eaLnBrk="1" latinLnBrk="0" hangingPunct="1">
                              <a:defRPr sz="2300" kern="1200">
                                <a:solidFill>
                                  <a:schemeClr val="tx1"/>
                                </a:solidFill>
                                <a:latin typeface="Arial" charset="0"/>
                                <a:ea typeface="+mn-ea"/>
                                <a:cs typeface="+mn-cs"/>
                              </a:defRPr>
                            </a:lvl9pPr>
                          </a:lstStyle>
                          <a:p>
                            <a:endParaRPr lang="en-US"/>
                          </a:p>
                        </a:txBody>
                        <a:useSpRect/>
                      </a:txSp>
                    </a:sp>
                    <a:grpSp>
                      <a:nvGrpSpPr>
                        <a:cNvPr id="44" name="Group 17"/>
                        <a:cNvGrpSpPr>
                          <a:grpSpLocks/>
                        </a:cNvGrpSpPr>
                      </a:nvGrpSpPr>
                      <a:grpSpPr bwMode="auto">
                        <a:xfrm>
                          <a:off x="2976" y="1433"/>
                          <a:ext cx="912" cy="1470"/>
                          <a:chOff x="2976" y="1433"/>
                          <a:chExt cx="912" cy="1495"/>
                        </a:xfrm>
                      </a:grpSpPr>
                      <a:sp>
                        <a:nvSpPr>
                          <a:cNvPr id="122" name="AutoShape 18" descr="Dark vertical"/>
                          <a:cNvSpPr>
                            <a:spLocks noChangeArrowheads="1"/>
                          </a:cNvSpPr>
                        </a:nvSpPr>
                        <a:spPr bwMode="auto">
                          <a:xfrm rot="10800000">
                            <a:off x="2976" y="1433"/>
                            <a:ext cx="912" cy="834"/>
                          </a:xfrm>
                          <a:prstGeom prst="triangle">
                            <a:avLst>
                              <a:gd name="adj" fmla="val 50000"/>
                            </a:avLst>
                          </a:prstGeom>
                          <a:pattFill prst="dkVert">
                            <a:fgClr>
                              <a:srgbClr val="B2B2B2"/>
                            </a:fgClr>
                            <a:bgClr>
                              <a:schemeClr val="tx2"/>
                            </a:bgClr>
                          </a:pattFill>
                          <a:ln w="38100" algn="ctr">
                            <a:noFill/>
                            <a:miter lim="800000"/>
                            <a:headEnd/>
                            <a:tailEnd type="none" w="lg" len="lg"/>
                          </a:ln>
                        </a:spPr>
                        <a:txSp>
                          <a:txBody>
                            <a:bodyPr anchor="ctr">
                              <a:spAutoFit/>
                            </a:bodyPr>
                            <a:lstStyle>
                              <a:defPPr>
                                <a:defRPr lang="en-US"/>
                              </a:defPPr>
                              <a:lvl1pPr algn="l" rtl="0" fontAlgn="base">
                                <a:spcBef>
                                  <a:spcPct val="0"/>
                                </a:spcBef>
                                <a:spcAft>
                                  <a:spcPct val="0"/>
                                </a:spcAft>
                                <a:defRPr sz="2300" kern="1200">
                                  <a:solidFill>
                                    <a:schemeClr val="tx1"/>
                                  </a:solidFill>
                                  <a:latin typeface="Arial" charset="0"/>
                                  <a:ea typeface="+mn-ea"/>
                                  <a:cs typeface="+mn-cs"/>
                                </a:defRPr>
                              </a:lvl1pPr>
                              <a:lvl2pPr marL="457200" algn="l" rtl="0" fontAlgn="base">
                                <a:spcBef>
                                  <a:spcPct val="0"/>
                                </a:spcBef>
                                <a:spcAft>
                                  <a:spcPct val="0"/>
                                </a:spcAft>
                                <a:defRPr sz="2300" kern="1200">
                                  <a:solidFill>
                                    <a:schemeClr val="tx1"/>
                                  </a:solidFill>
                                  <a:latin typeface="Arial" charset="0"/>
                                  <a:ea typeface="+mn-ea"/>
                                  <a:cs typeface="+mn-cs"/>
                                </a:defRPr>
                              </a:lvl2pPr>
                              <a:lvl3pPr marL="914400" algn="l" rtl="0" fontAlgn="base">
                                <a:spcBef>
                                  <a:spcPct val="0"/>
                                </a:spcBef>
                                <a:spcAft>
                                  <a:spcPct val="0"/>
                                </a:spcAft>
                                <a:defRPr sz="2300" kern="1200">
                                  <a:solidFill>
                                    <a:schemeClr val="tx1"/>
                                  </a:solidFill>
                                  <a:latin typeface="Arial" charset="0"/>
                                  <a:ea typeface="+mn-ea"/>
                                  <a:cs typeface="+mn-cs"/>
                                </a:defRPr>
                              </a:lvl3pPr>
                              <a:lvl4pPr marL="1371600" algn="l" rtl="0" fontAlgn="base">
                                <a:spcBef>
                                  <a:spcPct val="0"/>
                                </a:spcBef>
                                <a:spcAft>
                                  <a:spcPct val="0"/>
                                </a:spcAft>
                                <a:defRPr sz="2300" kern="1200">
                                  <a:solidFill>
                                    <a:schemeClr val="tx1"/>
                                  </a:solidFill>
                                  <a:latin typeface="Arial" charset="0"/>
                                  <a:ea typeface="+mn-ea"/>
                                  <a:cs typeface="+mn-cs"/>
                                </a:defRPr>
                              </a:lvl4pPr>
                              <a:lvl5pPr marL="1828800" algn="l" rtl="0" fontAlgn="base">
                                <a:spcBef>
                                  <a:spcPct val="0"/>
                                </a:spcBef>
                                <a:spcAft>
                                  <a:spcPct val="0"/>
                                </a:spcAft>
                                <a:defRPr sz="2300" kern="1200">
                                  <a:solidFill>
                                    <a:schemeClr val="tx1"/>
                                  </a:solidFill>
                                  <a:latin typeface="Arial" charset="0"/>
                                  <a:ea typeface="+mn-ea"/>
                                  <a:cs typeface="+mn-cs"/>
                                </a:defRPr>
                              </a:lvl5pPr>
                              <a:lvl6pPr marL="2286000" algn="l" defTabSz="914400" rtl="0" eaLnBrk="1" latinLnBrk="0" hangingPunct="1">
                                <a:defRPr sz="2300" kern="1200">
                                  <a:solidFill>
                                    <a:schemeClr val="tx1"/>
                                  </a:solidFill>
                                  <a:latin typeface="Arial" charset="0"/>
                                  <a:ea typeface="+mn-ea"/>
                                  <a:cs typeface="+mn-cs"/>
                                </a:defRPr>
                              </a:lvl6pPr>
                              <a:lvl7pPr marL="2743200" algn="l" defTabSz="914400" rtl="0" eaLnBrk="1" latinLnBrk="0" hangingPunct="1">
                                <a:defRPr sz="2300" kern="1200">
                                  <a:solidFill>
                                    <a:schemeClr val="tx1"/>
                                  </a:solidFill>
                                  <a:latin typeface="Arial" charset="0"/>
                                  <a:ea typeface="+mn-ea"/>
                                  <a:cs typeface="+mn-cs"/>
                                </a:defRPr>
                              </a:lvl7pPr>
                              <a:lvl8pPr marL="3200400" algn="l" defTabSz="914400" rtl="0" eaLnBrk="1" latinLnBrk="0" hangingPunct="1">
                                <a:defRPr sz="2300" kern="1200">
                                  <a:solidFill>
                                    <a:schemeClr val="tx1"/>
                                  </a:solidFill>
                                  <a:latin typeface="Arial" charset="0"/>
                                  <a:ea typeface="+mn-ea"/>
                                  <a:cs typeface="+mn-cs"/>
                                </a:defRPr>
                              </a:lvl8pPr>
                              <a:lvl9pPr marL="3657600" algn="l" defTabSz="914400" rtl="0" eaLnBrk="1" latinLnBrk="0" hangingPunct="1">
                                <a:defRPr sz="2300" kern="1200">
                                  <a:solidFill>
                                    <a:schemeClr val="tx1"/>
                                  </a:solidFill>
                                  <a:latin typeface="Arial" charset="0"/>
                                  <a:ea typeface="+mn-ea"/>
                                  <a:cs typeface="+mn-cs"/>
                                </a:defRPr>
                              </a:lvl9pPr>
                            </a:lstStyle>
                            <a:p>
                              <a:endParaRPr lang="en-US"/>
                            </a:p>
                          </a:txBody>
                          <a:useSpRect/>
                        </a:txSp>
                      </a:sp>
                      <a:sp>
                        <a:nvSpPr>
                          <a:cNvPr id="123" name="AutoShape 19" descr="Dark vertical"/>
                          <a:cNvSpPr>
                            <a:spLocks noChangeArrowheads="1"/>
                          </a:cNvSpPr>
                        </a:nvSpPr>
                        <a:spPr bwMode="auto">
                          <a:xfrm rot="17803396" flipH="1">
                            <a:off x="2644" y="2160"/>
                            <a:ext cx="1275" cy="262"/>
                          </a:xfrm>
                          <a:prstGeom prst="parallelogram">
                            <a:avLst>
                              <a:gd name="adj" fmla="val 33502"/>
                            </a:avLst>
                          </a:prstGeom>
                          <a:pattFill prst="dkVert">
                            <a:fgClr>
                              <a:srgbClr val="B2B2B2"/>
                            </a:fgClr>
                            <a:bgClr>
                              <a:schemeClr val="tx2"/>
                            </a:bgClr>
                          </a:pattFill>
                          <a:ln w="38100" algn="ctr">
                            <a:noFill/>
                            <a:miter lim="800000"/>
                            <a:headEnd/>
                            <a:tailEnd type="none" w="lg" len="lg"/>
                          </a:ln>
                        </a:spPr>
                        <a:txSp>
                          <a:txBody>
                            <a:bodyPr anchor="ctr">
                              <a:spAutoFit/>
                            </a:bodyPr>
                            <a:lstStyle>
                              <a:defPPr>
                                <a:defRPr lang="en-US"/>
                              </a:defPPr>
                              <a:lvl1pPr algn="l" rtl="0" fontAlgn="base">
                                <a:spcBef>
                                  <a:spcPct val="0"/>
                                </a:spcBef>
                                <a:spcAft>
                                  <a:spcPct val="0"/>
                                </a:spcAft>
                                <a:defRPr sz="2300" kern="1200">
                                  <a:solidFill>
                                    <a:schemeClr val="tx1"/>
                                  </a:solidFill>
                                  <a:latin typeface="Arial" charset="0"/>
                                  <a:ea typeface="+mn-ea"/>
                                  <a:cs typeface="+mn-cs"/>
                                </a:defRPr>
                              </a:lvl1pPr>
                              <a:lvl2pPr marL="457200" algn="l" rtl="0" fontAlgn="base">
                                <a:spcBef>
                                  <a:spcPct val="0"/>
                                </a:spcBef>
                                <a:spcAft>
                                  <a:spcPct val="0"/>
                                </a:spcAft>
                                <a:defRPr sz="2300" kern="1200">
                                  <a:solidFill>
                                    <a:schemeClr val="tx1"/>
                                  </a:solidFill>
                                  <a:latin typeface="Arial" charset="0"/>
                                  <a:ea typeface="+mn-ea"/>
                                  <a:cs typeface="+mn-cs"/>
                                </a:defRPr>
                              </a:lvl2pPr>
                              <a:lvl3pPr marL="914400" algn="l" rtl="0" fontAlgn="base">
                                <a:spcBef>
                                  <a:spcPct val="0"/>
                                </a:spcBef>
                                <a:spcAft>
                                  <a:spcPct val="0"/>
                                </a:spcAft>
                                <a:defRPr sz="2300" kern="1200">
                                  <a:solidFill>
                                    <a:schemeClr val="tx1"/>
                                  </a:solidFill>
                                  <a:latin typeface="Arial" charset="0"/>
                                  <a:ea typeface="+mn-ea"/>
                                  <a:cs typeface="+mn-cs"/>
                                </a:defRPr>
                              </a:lvl3pPr>
                              <a:lvl4pPr marL="1371600" algn="l" rtl="0" fontAlgn="base">
                                <a:spcBef>
                                  <a:spcPct val="0"/>
                                </a:spcBef>
                                <a:spcAft>
                                  <a:spcPct val="0"/>
                                </a:spcAft>
                                <a:defRPr sz="2300" kern="1200">
                                  <a:solidFill>
                                    <a:schemeClr val="tx1"/>
                                  </a:solidFill>
                                  <a:latin typeface="Arial" charset="0"/>
                                  <a:ea typeface="+mn-ea"/>
                                  <a:cs typeface="+mn-cs"/>
                                </a:defRPr>
                              </a:lvl4pPr>
                              <a:lvl5pPr marL="1828800" algn="l" rtl="0" fontAlgn="base">
                                <a:spcBef>
                                  <a:spcPct val="0"/>
                                </a:spcBef>
                                <a:spcAft>
                                  <a:spcPct val="0"/>
                                </a:spcAft>
                                <a:defRPr sz="2300" kern="1200">
                                  <a:solidFill>
                                    <a:schemeClr val="tx1"/>
                                  </a:solidFill>
                                  <a:latin typeface="Arial" charset="0"/>
                                  <a:ea typeface="+mn-ea"/>
                                  <a:cs typeface="+mn-cs"/>
                                </a:defRPr>
                              </a:lvl5pPr>
                              <a:lvl6pPr marL="2286000" algn="l" defTabSz="914400" rtl="0" eaLnBrk="1" latinLnBrk="0" hangingPunct="1">
                                <a:defRPr sz="2300" kern="1200">
                                  <a:solidFill>
                                    <a:schemeClr val="tx1"/>
                                  </a:solidFill>
                                  <a:latin typeface="Arial" charset="0"/>
                                  <a:ea typeface="+mn-ea"/>
                                  <a:cs typeface="+mn-cs"/>
                                </a:defRPr>
                              </a:lvl6pPr>
                              <a:lvl7pPr marL="2743200" algn="l" defTabSz="914400" rtl="0" eaLnBrk="1" latinLnBrk="0" hangingPunct="1">
                                <a:defRPr sz="2300" kern="1200">
                                  <a:solidFill>
                                    <a:schemeClr val="tx1"/>
                                  </a:solidFill>
                                  <a:latin typeface="Arial" charset="0"/>
                                  <a:ea typeface="+mn-ea"/>
                                  <a:cs typeface="+mn-cs"/>
                                </a:defRPr>
                              </a:lvl7pPr>
                              <a:lvl8pPr marL="3200400" algn="l" defTabSz="914400" rtl="0" eaLnBrk="1" latinLnBrk="0" hangingPunct="1">
                                <a:defRPr sz="2300" kern="1200">
                                  <a:solidFill>
                                    <a:schemeClr val="tx1"/>
                                  </a:solidFill>
                                  <a:latin typeface="Arial" charset="0"/>
                                  <a:ea typeface="+mn-ea"/>
                                  <a:cs typeface="+mn-cs"/>
                                </a:defRPr>
                              </a:lvl8pPr>
                              <a:lvl9pPr marL="3657600" algn="l" defTabSz="914400" rtl="0" eaLnBrk="1" latinLnBrk="0" hangingPunct="1">
                                <a:defRPr sz="2300" kern="1200">
                                  <a:solidFill>
                                    <a:schemeClr val="tx1"/>
                                  </a:solidFill>
                                  <a:latin typeface="Arial" charset="0"/>
                                  <a:ea typeface="+mn-ea"/>
                                  <a:cs typeface="+mn-cs"/>
                                </a:defRPr>
                              </a:lvl9pPr>
                            </a:lstStyle>
                            <a:p>
                              <a:endParaRPr lang="en-US"/>
                            </a:p>
                          </a:txBody>
                          <a:useSpRect/>
                        </a:txSp>
                      </a:sp>
                      <a:sp>
                        <a:nvSpPr>
                          <a:cNvPr id="124" name="AutoShape 20" descr="Dark vertical"/>
                          <a:cNvSpPr>
                            <a:spLocks noChangeArrowheads="1"/>
                          </a:cNvSpPr>
                        </a:nvSpPr>
                        <a:spPr bwMode="auto">
                          <a:xfrm rot="3796604">
                            <a:off x="2950" y="2160"/>
                            <a:ext cx="1275" cy="262"/>
                          </a:xfrm>
                          <a:prstGeom prst="parallelogram">
                            <a:avLst>
                              <a:gd name="adj" fmla="val 33502"/>
                            </a:avLst>
                          </a:prstGeom>
                          <a:pattFill prst="dkVert">
                            <a:fgClr>
                              <a:srgbClr val="B2B2B2"/>
                            </a:fgClr>
                            <a:bgClr>
                              <a:schemeClr val="tx2"/>
                            </a:bgClr>
                          </a:pattFill>
                          <a:ln w="38100" algn="ctr">
                            <a:noFill/>
                            <a:miter lim="800000"/>
                            <a:headEnd/>
                            <a:tailEnd type="none" w="lg" len="lg"/>
                          </a:ln>
                        </a:spPr>
                        <a:txSp>
                          <a:txBody>
                            <a:bodyPr anchor="ctr">
                              <a:spAutoFit/>
                            </a:bodyPr>
                            <a:lstStyle>
                              <a:defPPr>
                                <a:defRPr lang="en-US"/>
                              </a:defPPr>
                              <a:lvl1pPr algn="l" rtl="0" fontAlgn="base">
                                <a:spcBef>
                                  <a:spcPct val="0"/>
                                </a:spcBef>
                                <a:spcAft>
                                  <a:spcPct val="0"/>
                                </a:spcAft>
                                <a:defRPr sz="2300" kern="1200">
                                  <a:solidFill>
                                    <a:schemeClr val="tx1"/>
                                  </a:solidFill>
                                  <a:latin typeface="Arial" charset="0"/>
                                  <a:ea typeface="+mn-ea"/>
                                  <a:cs typeface="+mn-cs"/>
                                </a:defRPr>
                              </a:lvl1pPr>
                              <a:lvl2pPr marL="457200" algn="l" rtl="0" fontAlgn="base">
                                <a:spcBef>
                                  <a:spcPct val="0"/>
                                </a:spcBef>
                                <a:spcAft>
                                  <a:spcPct val="0"/>
                                </a:spcAft>
                                <a:defRPr sz="2300" kern="1200">
                                  <a:solidFill>
                                    <a:schemeClr val="tx1"/>
                                  </a:solidFill>
                                  <a:latin typeface="Arial" charset="0"/>
                                  <a:ea typeface="+mn-ea"/>
                                  <a:cs typeface="+mn-cs"/>
                                </a:defRPr>
                              </a:lvl2pPr>
                              <a:lvl3pPr marL="914400" algn="l" rtl="0" fontAlgn="base">
                                <a:spcBef>
                                  <a:spcPct val="0"/>
                                </a:spcBef>
                                <a:spcAft>
                                  <a:spcPct val="0"/>
                                </a:spcAft>
                                <a:defRPr sz="2300" kern="1200">
                                  <a:solidFill>
                                    <a:schemeClr val="tx1"/>
                                  </a:solidFill>
                                  <a:latin typeface="Arial" charset="0"/>
                                  <a:ea typeface="+mn-ea"/>
                                  <a:cs typeface="+mn-cs"/>
                                </a:defRPr>
                              </a:lvl3pPr>
                              <a:lvl4pPr marL="1371600" algn="l" rtl="0" fontAlgn="base">
                                <a:spcBef>
                                  <a:spcPct val="0"/>
                                </a:spcBef>
                                <a:spcAft>
                                  <a:spcPct val="0"/>
                                </a:spcAft>
                                <a:defRPr sz="2300" kern="1200">
                                  <a:solidFill>
                                    <a:schemeClr val="tx1"/>
                                  </a:solidFill>
                                  <a:latin typeface="Arial" charset="0"/>
                                  <a:ea typeface="+mn-ea"/>
                                  <a:cs typeface="+mn-cs"/>
                                </a:defRPr>
                              </a:lvl4pPr>
                              <a:lvl5pPr marL="1828800" algn="l" rtl="0" fontAlgn="base">
                                <a:spcBef>
                                  <a:spcPct val="0"/>
                                </a:spcBef>
                                <a:spcAft>
                                  <a:spcPct val="0"/>
                                </a:spcAft>
                                <a:defRPr sz="2300" kern="1200">
                                  <a:solidFill>
                                    <a:schemeClr val="tx1"/>
                                  </a:solidFill>
                                  <a:latin typeface="Arial" charset="0"/>
                                  <a:ea typeface="+mn-ea"/>
                                  <a:cs typeface="+mn-cs"/>
                                </a:defRPr>
                              </a:lvl5pPr>
                              <a:lvl6pPr marL="2286000" algn="l" defTabSz="914400" rtl="0" eaLnBrk="1" latinLnBrk="0" hangingPunct="1">
                                <a:defRPr sz="2300" kern="1200">
                                  <a:solidFill>
                                    <a:schemeClr val="tx1"/>
                                  </a:solidFill>
                                  <a:latin typeface="Arial" charset="0"/>
                                  <a:ea typeface="+mn-ea"/>
                                  <a:cs typeface="+mn-cs"/>
                                </a:defRPr>
                              </a:lvl6pPr>
                              <a:lvl7pPr marL="2743200" algn="l" defTabSz="914400" rtl="0" eaLnBrk="1" latinLnBrk="0" hangingPunct="1">
                                <a:defRPr sz="2300" kern="1200">
                                  <a:solidFill>
                                    <a:schemeClr val="tx1"/>
                                  </a:solidFill>
                                  <a:latin typeface="Arial" charset="0"/>
                                  <a:ea typeface="+mn-ea"/>
                                  <a:cs typeface="+mn-cs"/>
                                </a:defRPr>
                              </a:lvl7pPr>
                              <a:lvl8pPr marL="3200400" algn="l" defTabSz="914400" rtl="0" eaLnBrk="1" latinLnBrk="0" hangingPunct="1">
                                <a:defRPr sz="2300" kern="1200">
                                  <a:solidFill>
                                    <a:schemeClr val="tx1"/>
                                  </a:solidFill>
                                  <a:latin typeface="Arial" charset="0"/>
                                  <a:ea typeface="+mn-ea"/>
                                  <a:cs typeface="+mn-cs"/>
                                </a:defRPr>
                              </a:lvl8pPr>
                              <a:lvl9pPr marL="3657600" algn="l" defTabSz="914400" rtl="0" eaLnBrk="1" latinLnBrk="0" hangingPunct="1">
                                <a:defRPr sz="2300" kern="1200">
                                  <a:solidFill>
                                    <a:schemeClr val="tx1"/>
                                  </a:solidFill>
                                  <a:latin typeface="Arial" charset="0"/>
                                  <a:ea typeface="+mn-ea"/>
                                  <a:cs typeface="+mn-cs"/>
                                </a:defRPr>
                              </a:lvl9pPr>
                            </a:lstStyle>
                            <a:p>
                              <a:endParaRPr lang="en-US"/>
                            </a:p>
                          </a:txBody>
                          <a:useSpRect/>
                        </a:txSp>
                      </a:sp>
                    </a:grpSp>
                  </a:grpSp>
                  <a:grpSp>
                    <a:nvGrpSpPr>
                      <a:cNvPr id="3" name="Group 7"/>
                      <a:cNvGrpSpPr>
                        <a:grpSpLocks/>
                      </a:cNvGrpSpPr>
                    </a:nvGrpSpPr>
                    <a:grpSpPr bwMode="auto">
                      <a:xfrm>
                        <a:off x="7927275" y="1404924"/>
                        <a:ext cx="281728" cy="610412"/>
                        <a:chOff x="2028" y="720"/>
                        <a:chExt cx="864" cy="1780"/>
                      </a:xfrm>
                    </a:grpSpPr>
                    <a:sp>
                      <a:nvSpPr>
                        <a:cNvPr id="55" name="AutoShape 8" descr="Dark vertical"/>
                        <a:cNvSpPr>
                          <a:spLocks noChangeArrowheads="1"/>
                        </a:cNvSpPr>
                      </a:nvSpPr>
                      <a:spPr bwMode="auto">
                        <a:xfrm rot="10800000">
                          <a:off x="2028" y="1296"/>
                          <a:ext cx="864" cy="864"/>
                        </a:xfrm>
                        <a:prstGeom prst="triangle">
                          <a:avLst>
                            <a:gd name="adj" fmla="val 50000"/>
                          </a:avLst>
                        </a:prstGeom>
                        <a:pattFill prst="dkVert">
                          <a:fgClr>
                            <a:schemeClr val="folHlink"/>
                          </a:fgClr>
                          <a:bgClr>
                            <a:schemeClr val="tx1"/>
                          </a:bgClr>
                        </a:pattFill>
                        <a:ln w="38100" algn="ctr">
                          <a:noFill/>
                          <a:miter lim="800000"/>
                          <a:headEnd/>
                          <a:tailEnd type="none" w="lg" len="lg"/>
                        </a:ln>
                      </a:spPr>
                      <a:txSp>
                        <a:txBody>
                          <a:bodyPr anchor="ctr">
                            <a:spAutoFit/>
                          </a:bodyPr>
                          <a:lstStyle>
                            <a:defPPr>
                              <a:defRPr lang="en-US"/>
                            </a:defPPr>
                            <a:lvl1pPr algn="l" rtl="0" fontAlgn="base">
                              <a:spcBef>
                                <a:spcPct val="0"/>
                              </a:spcBef>
                              <a:spcAft>
                                <a:spcPct val="0"/>
                              </a:spcAft>
                              <a:defRPr sz="2300" kern="1200">
                                <a:solidFill>
                                  <a:schemeClr val="tx1"/>
                                </a:solidFill>
                                <a:latin typeface="Arial" charset="0"/>
                                <a:ea typeface="+mn-ea"/>
                                <a:cs typeface="+mn-cs"/>
                              </a:defRPr>
                            </a:lvl1pPr>
                            <a:lvl2pPr marL="457200" algn="l" rtl="0" fontAlgn="base">
                              <a:spcBef>
                                <a:spcPct val="0"/>
                              </a:spcBef>
                              <a:spcAft>
                                <a:spcPct val="0"/>
                              </a:spcAft>
                              <a:defRPr sz="2300" kern="1200">
                                <a:solidFill>
                                  <a:schemeClr val="tx1"/>
                                </a:solidFill>
                                <a:latin typeface="Arial" charset="0"/>
                                <a:ea typeface="+mn-ea"/>
                                <a:cs typeface="+mn-cs"/>
                              </a:defRPr>
                            </a:lvl2pPr>
                            <a:lvl3pPr marL="914400" algn="l" rtl="0" fontAlgn="base">
                              <a:spcBef>
                                <a:spcPct val="0"/>
                              </a:spcBef>
                              <a:spcAft>
                                <a:spcPct val="0"/>
                              </a:spcAft>
                              <a:defRPr sz="2300" kern="1200">
                                <a:solidFill>
                                  <a:schemeClr val="tx1"/>
                                </a:solidFill>
                                <a:latin typeface="Arial" charset="0"/>
                                <a:ea typeface="+mn-ea"/>
                                <a:cs typeface="+mn-cs"/>
                              </a:defRPr>
                            </a:lvl3pPr>
                            <a:lvl4pPr marL="1371600" algn="l" rtl="0" fontAlgn="base">
                              <a:spcBef>
                                <a:spcPct val="0"/>
                              </a:spcBef>
                              <a:spcAft>
                                <a:spcPct val="0"/>
                              </a:spcAft>
                              <a:defRPr sz="2300" kern="1200">
                                <a:solidFill>
                                  <a:schemeClr val="tx1"/>
                                </a:solidFill>
                                <a:latin typeface="Arial" charset="0"/>
                                <a:ea typeface="+mn-ea"/>
                                <a:cs typeface="+mn-cs"/>
                              </a:defRPr>
                            </a:lvl4pPr>
                            <a:lvl5pPr marL="1828800" algn="l" rtl="0" fontAlgn="base">
                              <a:spcBef>
                                <a:spcPct val="0"/>
                              </a:spcBef>
                              <a:spcAft>
                                <a:spcPct val="0"/>
                              </a:spcAft>
                              <a:defRPr sz="2300" kern="1200">
                                <a:solidFill>
                                  <a:schemeClr val="tx1"/>
                                </a:solidFill>
                                <a:latin typeface="Arial" charset="0"/>
                                <a:ea typeface="+mn-ea"/>
                                <a:cs typeface="+mn-cs"/>
                              </a:defRPr>
                            </a:lvl5pPr>
                            <a:lvl6pPr marL="2286000" algn="l" defTabSz="914400" rtl="0" eaLnBrk="1" latinLnBrk="0" hangingPunct="1">
                              <a:defRPr sz="2300" kern="1200">
                                <a:solidFill>
                                  <a:schemeClr val="tx1"/>
                                </a:solidFill>
                                <a:latin typeface="Arial" charset="0"/>
                                <a:ea typeface="+mn-ea"/>
                                <a:cs typeface="+mn-cs"/>
                              </a:defRPr>
                            </a:lvl6pPr>
                            <a:lvl7pPr marL="2743200" algn="l" defTabSz="914400" rtl="0" eaLnBrk="1" latinLnBrk="0" hangingPunct="1">
                              <a:defRPr sz="2300" kern="1200">
                                <a:solidFill>
                                  <a:schemeClr val="tx1"/>
                                </a:solidFill>
                                <a:latin typeface="Arial" charset="0"/>
                                <a:ea typeface="+mn-ea"/>
                                <a:cs typeface="+mn-cs"/>
                              </a:defRPr>
                            </a:lvl7pPr>
                            <a:lvl8pPr marL="3200400" algn="l" defTabSz="914400" rtl="0" eaLnBrk="1" latinLnBrk="0" hangingPunct="1">
                              <a:defRPr sz="2300" kern="1200">
                                <a:solidFill>
                                  <a:schemeClr val="tx1"/>
                                </a:solidFill>
                                <a:latin typeface="Arial" charset="0"/>
                                <a:ea typeface="+mn-ea"/>
                                <a:cs typeface="+mn-cs"/>
                              </a:defRPr>
                            </a:lvl8pPr>
                            <a:lvl9pPr marL="3657600" algn="l" defTabSz="914400" rtl="0" eaLnBrk="1" latinLnBrk="0" hangingPunct="1">
                              <a:defRPr sz="2300" kern="1200">
                                <a:solidFill>
                                  <a:schemeClr val="tx1"/>
                                </a:solidFill>
                                <a:latin typeface="Arial" charset="0"/>
                                <a:ea typeface="+mn-ea"/>
                                <a:cs typeface="+mn-cs"/>
                              </a:defRPr>
                            </a:lvl9pPr>
                          </a:lstStyle>
                          <a:p>
                            <a:endParaRPr lang="en-US"/>
                          </a:p>
                        </a:txBody>
                        <a:useSpRect/>
                      </a:txSp>
                    </a:sp>
                    <a:sp>
                      <a:nvSpPr>
                        <a:cNvPr id="56" name="Oval 9" descr="Dark vertical"/>
                        <a:cNvSpPr>
                          <a:spLocks noChangeArrowheads="1"/>
                        </a:cNvSpPr>
                      </a:nvSpPr>
                      <a:spPr bwMode="auto">
                        <a:xfrm>
                          <a:off x="2190" y="720"/>
                          <a:ext cx="528" cy="528"/>
                        </a:xfrm>
                        <a:prstGeom prst="ellipse">
                          <a:avLst/>
                        </a:prstGeom>
                        <a:pattFill prst="dkVert">
                          <a:fgClr>
                            <a:schemeClr val="folHlink"/>
                          </a:fgClr>
                          <a:bgClr>
                            <a:schemeClr val="tx1"/>
                          </a:bgClr>
                        </a:pattFill>
                        <a:ln w="38100" algn="ctr">
                          <a:noFill/>
                          <a:round/>
                          <a:headEnd/>
                          <a:tailEnd type="none" w="lg" len="lg"/>
                        </a:ln>
                      </a:spPr>
                      <a:txSp>
                        <a:txBody>
                          <a:bodyPr anchor="ctr">
                            <a:spAutoFit/>
                          </a:bodyPr>
                          <a:lstStyle>
                            <a:defPPr>
                              <a:defRPr lang="en-US"/>
                            </a:defPPr>
                            <a:lvl1pPr algn="l" rtl="0" fontAlgn="base">
                              <a:spcBef>
                                <a:spcPct val="0"/>
                              </a:spcBef>
                              <a:spcAft>
                                <a:spcPct val="0"/>
                              </a:spcAft>
                              <a:defRPr sz="2300" kern="1200">
                                <a:solidFill>
                                  <a:schemeClr val="tx1"/>
                                </a:solidFill>
                                <a:latin typeface="Arial" charset="0"/>
                                <a:ea typeface="+mn-ea"/>
                                <a:cs typeface="+mn-cs"/>
                              </a:defRPr>
                            </a:lvl1pPr>
                            <a:lvl2pPr marL="457200" algn="l" rtl="0" fontAlgn="base">
                              <a:spcBef>
                                <a:spcPct val="0"/>
                              </a:spcBef>
                              <a:spcAft>
                                <a:spcPct val="0"/>
                              </a:spcAft>
                              <a:defRPr sz="2300" kern="1200">
                                <a:solidFill>
                                  <a:schemeClr val="tx1"/>
                                </a:solidFill>
                                <a:latin typeface="Arial" charset="0"/>
                                <a:ea typeface="+mn-ea"/>
                                <a:cs typeface="+mn-cs"/>
                              </a:defRPr>
                            </a:lvl2pPr>
                            <a:lvl3pPr marL="914400" algn="l" rtl="0" fontAlgn="base">
                              <a:spcBef>
                                <a:spcPct val="0"/>
                              </a:spcBef>
                              <a:spcAft>
                                <a:spcPct val="0"/>
                              </a:spcAft>
                              <a:defRPr sz="2300" kern="1200">
                                <a:solidFill>
                                  <a:schemeClr val="tx1"/>
                                </a:solidFill>
                                <a:latin typeface="Arial" charset="0"/>
                                <a:ea typeface="+mn-ea"/>
                                <a:cs typeface="+mn-cs"/>
                              </a:defRPr>
                            </a:lvl3pPr>
                            <a:lvl4pPr marL="1371600" algn="l" rtl="0" fontAlgn="base">
                              <a:spcBef>
                                <a:spcPct val="0"/>
                              </a:spcBef>
                              <a:spcAft>
                                <a:spcPct val="0"/>
                              </a:spcAft>
                              <a:defRPr sz="2300" kern="1200">
                                <a:solidFill>
                                  <a:schemeClr val="tx1"/>
                                </a:solidFill>
                                <a:latin typeface="Arial" charset="0"/>
                                <a:ea typeface="+mn-ea"/>
                                <a:cs typeface="+mn-cs"/>
                              </a:defRPr>
                            </a:lvl4pPr>
                            <a:lvl5pPr marL="1828800" algn="l" rtl="0" fontAlgn="base">
                              <a:spcBef>
                                <a:spcPct val="0"/>
                              </a:spcBef>
                              <a:spcAft>
                                <a:spcPct val="0"/>
                              </a:spcAft>
                              <a:defRPr sz="2300" kern="1200">
                                <a:solidFill>
                                  <a:schemeClr val="tx1"/>
                                </a:solidFill>
                                <a:latin typeface="Arial" charset="0"/>
                                <a:ea typeface="+mn-ea"/>
                                <a:cs typeface="+mn-cs"/>
                              </a:defRPr>
                            </a:lvl5pPr>
                            <a:lvl6pPr marL="2286000" algn="l" defTabSz="914400" rtl="0" eaLnBrk="1" latinLnBrk="0" hangingPunct="1">
                              <a:defRPr sz="2300" kern="1200">
                                <a:solidFill>
                                  <a:schemeClr val="tx1"/>
                                </a:solidFill>
                                <a:latin typeface="Arial" charset="0"/>
                                <a:ea typeface="+mn-ea"/>
                                <a:cs typeface="+mn-cs"/>
                              </a:defRPr>
                            </a:lvl6pPr>
                            <a:lvl7pPr marL="2743200" algn="l" defTabSz="914400" rtl="0" eaLnBrk="1" latinLnBrk="0" hangingPunct="1">
                              <a:defRPr sz="2300" kern="1200">
                                <a:solidFill>
                                  <a:schemeClr val="tx1"/>
                                </a:solidFill>
                                <a:latin typeface="Arial" charset="0"/>
                                <a:ea typeface="+mn-ea"/>
                                <a:cs typeface="+mn-cs"/>
                              </a:defRPr>
                            </a:lvl7pPr>
                            <a:lvl8pPr marL="3200400" algn="l" defTabSz="914400" rtl="0" eaLnBrk="1" latinLnBrk="0" hangingPunct="1">
                              <a:defRPr sz="2300" kern="1200">
                                <a:solidFill>
                                  <a:schemeClr val="tx1"/>
                                </a:solidFill>
                                <a:latin typeface="Arial" charset="0"/>
                                <a:ea typeface="+mn-ea"/>
                                <a:cs typeface="+mn-cs"/>
                              </a:defRPr>
                            </a:lvl8pPr>
                            <a:lvl9pPr marL="3657600" algn="l" defTabSz="914400" rtl="0" eaLnBrk="1" latinLnBrk="0" hangingPunct="1">
                              <a:defRPr sz="2300" kern="1200">
                                <a:solidFill>
                                  <a:schemeClr val="tx1"/>
                                </a:solidFill>
                                <a:latin typeface="Arial" charset="0"/>
                                <a:ea typeface="+mn-ea"/>
                                <a:cs typeface="+mn-cs"/>
                              </a:defRPr>
                            </a:lvl9pPr>
                          </a:lstStyle>
                          <a:p>
                            <a:endParaRPr lang="en-US"/>
                          </a:p>
                        </a:txBody>
                        <a:useSpRect/>
                      </a:txSp>
                    </a:sp>
                    <a:sp>
                      <a:nvSpPr>
                        <a:cNvPr id="57" name="Rectangle 10" descr="Dark vertical"/>
                        <a:cNvSpPr>
                          <a:spLocks noChangeArrowheads="1"/>
                        </a:cNvSpPr>
                      </a:nvSpPr>
                      <a:spPr bwMode="auto">
                        <a:xfrm>
                          <a:off x="2304" y="1732"/>
                          <a:ext cx="310" cy="768"/>
                        </a:xfrm>
                        <a:prstGeom prst="rect">
                          <a:avLst/>
                        </a:prstGeom>
                        <a:pattFill prst="dkVert">
                          <a:fgClr>
                            <a:schemeClr val="folHlink"/>
                          </a:fgClr>
                          <a:bgClr>
                            <a:schemeClr val="tx1"/>
                          </a:bgClr>
                        </a:pattFill>
                        <a:ln w="38100" algn="ctr">
                          <a:noFill/>
                          <a:miter lim="800000"/>
                          <a:headEnd/>
                          <a:tailEnd type="none" w="lg" len="lg"/>
                        </a:ln>
                      </a:spPr>
                      <a:txSp>
                        <a:txBody>
                          <a:bodyPr anchor="ctr">
                            <a:spAutoFit/>
                          </a:bodyPr>
                          <a:lstStyle>
                            <a:defPPr>
                              <a:defRPr lang="en-US"/>
                            </a:defPPr>
                            <a:lvl1pPr algn="l" rtl="0" fontAlgn="base">
                              <a:spcBef>
                                <a:spcPct val="0"/>
                              </a:spcBef>
                              <a:spcAft>
                                <a:spcPct val="0"/>
                              </a:spcAft>
                              <a:defRPr sz="2300" kern="1200">
                                <a:solidFill>
                                  <a:schemeClr val="tx1"/>
                                </a:solidFill>
                                <a:latin typeface="Arial" charset="0"/>
                                <a:ea typeface="+mn-ea"/>
                                <a:cs typeface="+mn-cs"/>
                              </a:defRPr>
                            </a:lvl1pPr>
                            <a:lvl2pPr marL="457200" algn="l" rtl="0" fontAlgn="base">
                              <a:spcBef>
                                <a:spcPct val="0"/>
                              </a:spcBef>
                              <a:spcAft>
                                <a:spcPct val="0"/>
                              </a:spcAft>
                              <a:defRPr sz="2300" kern="1200">
                                <a:solidFill>
                                  <a:schemeClr val="tx1"/>
                                </a:solidFill>
                                <a:latin typeface="Arial" charset="0"/>
                                <a:ea typeface="+mn-ea"/>
                                <a:cs typeface="+mn-cs"/>
                              </a:defRPr>
                            </a:lvl2pPr>
                            <a:lvl3pPr marL="914400" algn="l" rtl="0" fontAlgn="base">
                              <a:spcBef>
                                <a:spcPct val="0"/>
                              </a:spcBef>
                              <a:spcAft>
                                <a:spcPct val="0"/>
                              </a:spcAft>
                              <a:defRPr sz="2300" kern="1200">
                                <a:solidFill>
                                  <a:schemeClr val="tx1"/>
                                </a:solidFill>
                                <a:latin typeface="Arial" charset="0"/>
                                <a:ea typeface="+mn-ea"/>
                                <a:cs typeface="+mn-cs"/>
                              </a:defRPr>
                            </a:lvl3pPr>
                            <a:lvl4pPr marL="1371600" algn="l" rtl="0" fontAlgn="base">
                              <a:spcBef>
                                <a:spcPct val="0"/>
                              </a:spcBef>
                              <a:spcAft>
                                <a:spcPct val="0"/>
                              </a:spcAft>
                              <a:defRPr sz="2300" kern="1200">
                                <a:solidFill>
                                  <a:schemeClr val="tx1"/>
                                </a:solidFill>
                                <a:latin typeface="Arial" charset="0"/>
                                <a:ea typeface="+mn-ea"/>
                                <a:cs typeface="+mn-cs"/>
                              </a:defRPr>
                            </a:lvl4pPr>
                            <a:lvl5pPr marL="1828800" algn="l" rtl="0" fontAlgn="base">
                              <a:spcBef>
                                <a:spcPct val="0"/>
                              </a:spcBef>
                              <a:spcAft>
                                <a:spcPct val="0"/>
                              </a:spcAft>
                              <a:defRPr sz="2300" kern="1200">
                                <a:solidFill>
                                  <a:schemeClr val="tx1"/>
                                </a:solidFill>
                                <a:latin typeface="Arial" charset="0"/>
                                <a:ea typeface="+mn-ea"/>
                                <a:cs typeface="+mn-cs"/>
                              </a:defRPr>
                            </a:lvl5pPr>
                            <a:lvl6pPr marL="2286000" algn="l" defTabSz="914400" rtl="0" eaLnBrk="1" latinLnBrk="0" hangingPunct="1">
                              <a:defRPr sz="2300" kern="1200">
                                <a:solidFill>
                                  <a:schemeClr val="tx1"/>
                                </a:solidFill>
                                <a:latin typeface="Arial" charset="0"/>
                                <a:ea typeface="+mn-ea"/>
                                <a:cs typeface="+mn-cs"/>
                              </a:defRPr>
                            </a:lvl6pPr>
                            <a:lvl7pPr marL="2743200" algn="l" defTabSz="914400" rtl="0" eaLnBrk="1" latinLnBrk="0" hangingPunct="1">
                              <a:defRPr sz="2300" kern="1200">
                                <a:solidFill>
                                  <a:schemeClr val="tx1"/>
                                </a:solidFill>
                                <a:latin typeface="Arial" charset="0"/>
                                <a:ea typeface="+mn-ea"/>
                                <a:cs typeface="+mn-cs"/>
                              </a:defRPr>
                            </a:lvl7pPr>
                            <a:lvl8pPr marL="3200400" algn="l" defTabSz="914400" rtl="0" eaLnBrk="1" latinLnBrk="0" hangingPunct="1">
                              <a:defRPr sz="2300" kern="1200">
                                <a:solidFill>
                                  <a:schemeClr val="tx1"/>
                                </a:solidFill>
                                <a:latin typeface="Arial" charset="0"/>
                                <a:ea typeface="+mn-ea"/>
                                <a:cs typeface="+mn-cs"/>
                              </a:defRPr>
                            </a:lvl8pPr>
                            <a:lvl9pPr marL="3657600" algn="l" defTabSz="914400" rtl="0" eaLnBrk="1" latinLnBrk="0" hangingPunct="1">
                              <a:defRPr sz="2300" kern="1200">
                                <a:solidFill>
                                  <a:schemeClr val="tx1"/>
                                </a:solidFill>
                                <a:latin typeface="Arial" charset="0"/>
                                <a:ea typeface="+mn-ea"/>
                                <a:cs typeface="+mn-cs"/>
                              </a:defRPr>
                            </a:lvl9pPr>
                          </a:lstStyle>
                          <a:p>
                            <a:endParaRPr lang="en-US"/>
                          </a:p>
                        </a:txBody>
                        <a:useSpRect/>
                      </a:txSp>
                    </a:sp>
                  </a:grpSp>
                  <a:sp>
                    <a:nvSpPr>
                      <a:cNvPr id="160" name="Freeform 159"/>
                      <a:cNvSpPr/>
                    </a:nvSpPr>
                    <a:spPr bwMode="auto">
                      <a:xfrm>
                        <a:off x="592084" y="2606516"/>
                        <a:ext cx="1824546" cy="1312341"/>
                      </a:xfrm>
                      <a:custGeom>
                        <a:avLst/>
                        <a:gdLst>
                          <a:gd name="connsiteX0" fmla="*/ 74385 w 1631043"/>
                          <a:gd name="connsiteY0" fmla="*/ 0 h 1197428"/>
                          <a:gd name="connsiteX1" fmla="*/ 259443 w 1631043"/>
                          <a:gd name="connsiteY1" fmla="*/ 990600 h 1197428"/>
                          <a:gd name="connsiteX2" fmla="*/ 1631043 w 1631043"/>
                          <a:gd name="connsiteY2" fmla="*/ 1197428 h 1197428"/>
                        </a:gdLst>
                        <a:ahLst/>
                        <a:cxnLst>
                          <a:cxn ang="0">
                            <a:pos x="connsiteX0" y="connsiteY0"/>
                          </a:cxn>
                          <a:cxn ang="0">
                            <a:pos x="connsiteX1" y="connsiteY1"/>
                          </a:cxn>
                          <a:cxn ang="0">
                            <a:pos x="connsiteX2" y="connsiteY2"/>
                          </a:cxn>
                        </a:cxnLst>
                        <a:rect l="l" t="t" r="r" b="b"/>
                        <a:pathLst>
                          <a:path w="1631043" h="1197428">
                            <a:moveTo>
                              <a:pt x="74385" y="0"/>
                            </a:moveTo>
                            <a:cubicBezTo>
                              <a:pt x="37192" y="395514"/>
                              <a:pt x="0" y="791029"/>
                              <a:pt x="259443" y="990600"/>
                            </a:cubicBezTo>
                            <a:cubicBezTo>
                              <a:pt x="518886" y="1190171"/>
                              <a:pt x="1074964" y="1193799"/>
                              <a:pt x="1631043" y="1197428"/>
                            </a:cubicBezTo>
                          </a:path>
                        </a:pathLst>
                      </a:custGeom>
                      <a:noFill/>
                      <a:ln w="38100">
                        <a:solidFill>
                          <a:schemeClr val="tx2"/>
                        </a:solidFill>
                        <a:round/>
                        <a:headEnd/>
                        <a:tailEnd type="stealth" w="lg" len="lg"/>
                      </a:ln>
                      <a:effectLst/>
                    </a:spPr>
                    <a:txSp>
                      <a:txBody>
                        <a:bodyPr wrap="square" anchor="ctr">
                          <a:noAutofit/>
                        </a:bodyPr>
                        <a:lstStyle>
                          <a:defPPr>
                            <a:defRPr lang="en-US"/>
                          </a:defPPr>
                          <a:lvl1pPr algn="l" rtl="0" fontAlgn="base">
                            <a:spcBef>
                              <a:spcPct val="0"/>
                            </a:spcBef>
                            <a:spcAft>
                              <a:spcPct val="0"/>
                            </a:spcAft>
                            <a:defRPr sz="2300" kern="1200">
                              <a:solidFill>
                                <a:schemeClr val="tx1"/>
                              </a:solidFill>
                              <a:latin typeface="Arial" charset="0"/>
                              <a:ea typeface="+mn-ea"/>
                              <a:cs typeface="+mn-cs"/>
                            </a:defRPr>
                          </a:lvl1pPr>
                          <a:lvl2pPr marL="457200" algn="l" rtl="0" fontAlgn="base">
                            <a:spcBef>
                              <a:spcPct val="0"/>
                            </a:spcBef>
                            <a:spcAft>
                              <a:spcPct val="0"/>
                            </a:spcAft>
                            <a:defRPr sz="2300" kern="1200">
                              <a:solidFill>
                                <a:schemeClr val="tx1"/>
                              </a:solidFill>
                              <a:latin typeface="Arial" charset="0"/>
                              <a:ea typeface="+mn-ea"/>
                              <a:cs typeface="+mn-cs"/>
                            </a:defRPr>
                          </a:lvl2pPr>
                          <a:lvl3pPr marL="914400" algn="l" rtl="0" fontAlgn="base">
                            <a:spcBef>
                              <a:spcPct val="0"/>
                            </a:spcBef>
                            <a:spcAft>
                              <a:spcPct val="0"/>
                            </a:spcAft>
                            <a:defRPr sz="2300" kern="1200">
                              <a:solidFill>
                                <a:schemeClr val="tx1"/>
                              </a:solidFill>
                              <a:latin typeface="Arial" charset="0"/>
                              <a:ea typeface="+mn-ea"/>
                              <a:cs typeface="+mn-cs"/>
                            </a:defRPr>
                          </a:lvl3pPr>
                          <a:lvl4pPr marL="1371600" algn="l" rtl="0" fontAlgn="base">
                            <a:spcBef>
                              <a:spcPct val="0"/>
                            </a:spcBef>
                            <a:spcAft>
                              <a:spcPct val="0"/>
                            </a:spcAft>
                            <a:defRPr sz="2300" kern="1200">
                              <a:solidFill>
                                <a:schemeClr val="tx1"/>
                              </a:solidFill>
                              <a:latin typeface="Arial" charset="0"/>
                              <a:ea typeface="+mn-ea"/>
                              <a:cs typeface="+mn-cs"/>
                            </a:defRPr>
                          </a:lvl4pPr>
                          <a:lvl5pPr marL="1828800" algn="l" rtl="0" fontAlgn="base">
                            <a:spcBef>
                              <a:spcPct val="0"/>
                            </a:spcBef>
                            <a:spcAft>
                              <a:spcPct val="0"/>
                            </a:spcAft>
                            <a:defRPr sz="2300" kern="1200">
                              <a:solidFill>
                                <a:schemeClr val="tx1"/>
                              </a:solidFill>
                              <a:latin typeface="Arial" charset="0"/>
                              <a:ea typeface="+mn-ea"/>
                              <a:cs typeface="+mn-cs"/>
                            </a:defRPr>
                          </a:lvl5pPr>
                          <a:lvl6pPr marL="2286000" algn="l" defTabSz="914400" rtl="0" eaLnBrk="1" latinLnBrk="0" hangingPunct="1">
                            <a:defRPr sz="2300" kern="1200">
                              <a:solidFill>
                                <a:schemeClr val="tx1"/>
                              </a:solidFill>
                              <a:latin typeface="Arial" charset="0"/>
                              <a:ea typeface="+mn-ea"/>
                              <a:cs typeface="+mn-cs"/>
                            </a:defRPr>
                          </a:lvl6pPr>
                          <a:lvl7pPr marL="2743200" algn="l" defTabSz="914400" rtl="0" eaLnBrk="1" latinLnBrk="0" hangingPunct="1">
                            <a:defRPr sz="2300" kern="1200">
                              <a:solidFill>
                                <a:schemeClr val="tx1"/>
                              </a:solidFill>
                              <a:latin typeface="Arial" charset="0"/>
                              <a:ea typeface="+mn-ea"/>
                              <a:cs typeface="+mn-cs"/>
                            </a:defRPr>
                          </a:lvl7pPr>
                          <a:lvl8pPr marL="3200400" algn="l" defTabSz="914400" rtl="0" eaLnBrk="1" latinLnBrk="0" hangingPunct="1">
                            <a:defRPr sz="2300" kern="1200">
                              <a:solidFill>
                                <a:schemeClr val="tx1"/>
                              </a:solidFill>
                              <a:latin typeface="Arial" charset="0"/>
                              <a:ea typeface="+mn-ea"/>
                              <a:cs typeface="+mn-cs"/>
                            </a:defRPr>
                          </a:lvl8pPr>
                          <a:lvl9pPr marL="3657600" algn="l" defTabSz="914400" rtl="0" eaLnBrk="1" latinLnBrk="0" hangingPunct="1">
                            <a:defRPr sz="2300" kern="1200">
                              <a:solidFill>
                                <a:schemeClr val="tx1"/>
                              </a:solidFill>
                              <a:latin typeface="Arial" charset="0"/>
                              <a:ea typeface="+mn-ea"/>
                              <a:cs typeface="+mn-cs"/>
                            </a:defRPr>
                          </a:lvl9pPr>
                        </a:lstStyle>
                        <a:p>
                          <a:endParaRPr lang="en-US" smtClean="0"/>
                        </a:p>
                      </a:txBody>
                      <a:useSpRect/>
                    </a:txSp>
                  </a:sp>
                  <a:sp>
                    <a:nvSpPr>
                      <a:cNvPr id="163" name="Freeform 162"/>
                      <a:cNvSpPr/>
                    </a:nvSpPr>
                    <a:spPr bwMode="auto">
                      <a:xfrm>
                        <a:off x="6346371" y="2569029"/>
                        <a:ext cx="1404258" cy="370114"/>
                      </a:xfrm>
                      <a:custGeom>
                        <a:avLst/>
                        <a:gdLst>
                          <a:gd name="connsiteX0" fmla="*/ 1404258 w 1404258"/>
                          <a:gd name="connsiteY0" fmla="*/ 0 h 370114"/>
                          <a:gd name="connsiteX1" fmla="*/ 402772 w 1404258"/>
                          <a:gd name="connsiteY1" fmla="*/ 119742 h 370114"/>
                          <a:gd name="connsiteX2" fmla="*/ 0 w 1404258"/>
                          <a:gd name="connsiteY2" fmla="*/ 370114 h 370114"/>
                        </a:gdLst>
                        <a:ahLst/>
                        <a:cxnLst>
                          <a:cxn ang="0">
                            <a:pos x="connsiteX0" y="connsiteY0"/>
                          </a:cxn>
                          <a:cxn ang="0">
                            <a:pos x="connsiteX1" y="connsiteY1"/>
                          </a:cxn>
                          <a:cxn ang="0">
                            <a:pos x="connsiteX2" y="connsiteY2"/>
                          </a:cxn>
                        </a:cxnLst>
                        <a:rect l="l" t="t" r="r" b="b"/>
                        <a:pathLst>
                          <a:path w="1404258" h="370114">
                            <a:moveTo>
                              <a:pt x="1404258" y="0"/>
                            </a:moveTo>
                            <a:cubicBezTo>
                              <a:pt x="1020536" y="29028"/>
                              <a:pt x="636815" y="58056"/>
                              <a:pt x="402772" y="119742"/>
                            </a:cubicBezTo>
                            <a:cubicBezTo>
                              <a:pt x="168729" y="181428"/>
                              <a:pt x="84364" y="275771"/>
                              <a:pt x="0" y="370114"/>
                            </a:cubicBezTo>
                          </a:path>
                        </a:pathLst>
                      </a:custGeom>
                      <a:noFill/>
                      <a:ln w="38100">
                        <a:solidFill>
                          <a:schemeClr val="tx2"/>
                        </a:solidFill>
                        <a:round/>
                        <a:headEnd/>
                        <a:tailEnd type="stealth" w="lg" len="lg"/>
                      </a:ln>
                      <a:effectLst/>
                    </a:spPr>
                    <a:txSp>
                      <a:txBody>
                        <a:bodyPr wrap="square" anchor="ctr">
                          <a:noAutofit/>
                        </a:bodyPr>
                        <a:lstStyle>
                          <a:defPPr>
                            <a:defRPr lang="en-US"/>
                          </a:defPPr>
                          <a:lvl1pPr algn="l" rtl="0" fontAlgn="base">
                            <a:spcBef>
                              <a:spcPct val="0"/>
                            </a:spcBef>
                            <a:spcAft>
                              <a:spcPct val="0"/>
                            </a:spcAft>
                            <a:defRPr sz="2300" kern="1200">
                              <a:solidFill>
                                <a:schemeClr val="tx1"/>
                              </a:solidFill>
                              <a:latin typeface="Arial" charset="0"/>
                              <a:ea typeface="+mn-ea"/>
                              <a:cs typeface="+mn-cs"/>
                            </a:defRPr>
                          </a:lvl1pPr>
                          <a:lvl2pPr marL="457200" algn="l" rtl="0" fontAlgn="base">
                            <a:spcBef>
                              <a:spcPct val="0"/>
                            </a:spcBef>
                            <a:spcAft>
                              <a:spcPct val="0"/>
                            </a:spcAft>
                            <a:defRPr sz="2300" kern="1200">
                              <a:solidFill>
                                <a:schemeClr val="tx1"/>
                              </a:solidFill>
                              <a:latin typeface="Arial" charset="0"/>
                              <a:ea typeface="+mn-ea"/>
                              <a:cs typeface="+mn-cs"/>
                            </a:defRPr>
                          </a:lvl2pPr>
                          <a:lvl3pPr marL="914400" algn="l" rtl="0" fontAlgn="base">
                            <a:spcBef>
                              <a:spcPct val="0"/>
                            </a:spcBef>
                            <a:spcAft>
                              <a:spcPct val="0"/>
                            </a:spcAft>
                            <a:defRPr sz="2300" kern="1200">
                              <a:solidFill>
                                <a:schemeClr val="tx1"/>
                              </a:solidFill>
                              <a:latin typeface="Arial" charset="0"/>
                              <a:ea typeface="+mn-ea"/>
                              <a:cs typeface="+mn-cs"/>
                            </a:defRPr>
                          </a:lvl3pPr>
                          <a:lvl4pPr marL="1371600" algn="l" rtl="0" fontAlgn="base">
                            <a:spcBef>
                              <a:spcPct val="0"/>
                            </a:spcBef>
                            <a:spcAft>
                              <a:spcPct val="0"/>
                            </a:spcAft>
                            <a:defRPr sz="2300" kern="1200">
                              <a:solidFill>
                                <a:schemeClr val="tx1"/>
                              </a:solidFill>
                              <a:latin typeface="Arial" charset="0"/>
                              <a:ea typeface="+mn-ea"/>
                              <a:cs typeface="+mn-cs"/>
                            </a:defRPr>
                          </a:lvl4pPr>
                          <a:lvl5pPr marL="1828800" algn="l" rtl="0" fontAlgn="base">
                            <a:spcBef>
                              <a:spcPct val="0"/>
                            </a:spcBef>
                            <a:spcAft>
                              <a:spcPct val="0"/>
                            </a:spcAft>
                            <a:defRPr sz="2300" kern="1200">
                              <a:solidFill>
                                <a:schemeClr val="tx1"/>
                              </a:solidFill>
                              <a:latin typeface="Arial" charset="0"/>
                              <a:ea typeface="+mn-ea"/>
                              <a:cs typeface="+mn-cs"/>
                            </a:defRPr>
                          </a:lvl5pPr>
                          <a:lvl6pPr marL="2286000" algn="l" defTabSz="914400" rtl="0" eaLnBrk="1" latinLnBrk="0" hangingPunct="1">
                            <a:defRPr sz="2300" kern="1200">
                              <a:solidFill>
                                <a:schemeClr val="tx1"/>
                              </a:solidFill>
                              <a:latin typeface="Arial" charset="0"/>
                              <a:ea typeface="+mn-ea"/>
                              <a:cs typeface="+mn-cs"/>
                            </a:defRPr>
                          </a:lvl6pPr>
                          <a:lvl7pPr marL="2743200" algn="l" defTabSz="914400" rtl="0" eaLnBrk="1" latinLnBrk="0" hangingPunct="1">
                            <a:defRPr sz="2300" kern="1200">
                              <a:solidFill>
                                <a:schemeClr val="tx1"/>
                              </a:solidFill>
                              <a:latin typeface="Arial" charset="0"/>
                              <a:ea typeface="+mn-ea"/>
                              <a:cs typeface="+mn-cs"/>
                            </a:defRPr>
                          </a:lvl7pPr>
                          <a:lvl8pPr marL="3200400" algn="l" defTabSz="914400" rtl="0" eaLnBrk="1" latinLnBrk="0" hangingPunct="1">
                            <a:defRPr sz="2300" kern="1200">
                              <a:solidFill>
                                <a:schemeClr val="tx1"/>
                              </a:solidFill>
                              <a:latin typeface="Arial" charset="0"/>
                              <a:ea typeface="+mn-ea"/>
                              <a:cs typeface="+mn-cs"/>
                            </a:defRPr>
                          </a:lvl8pPr>
                          <a:lvl9pPr marL="3657600" algn="l" defTabSz="914400" rtl="0" eaLnBrk="1" latinLnBrk="0" hangingPunct="1">
                            <a:defRPr sz="2300" kern="1200">
                              <a:solidFill>
                                <a:schemeClr val="tx1"/>
                              </a:solidFill>
                              <a:latin typeface="Arial" charset="0"/>
                              <a:ea typeface="+mn-ea"/>
                              <a:cs typeface="+mn-cs"/>
                            </a:defRPr>
                          </a:lvl9pPr>
                        </a:lstStyle>
                        <a:p>
                          <a:endParaRPr lang="en-US" smtClean="0"/>
                        </a:p>
                      </a:txBody>
                      <a:useSpRect/>
                    </a:txSp>
                  </a:sp>
                  <a:sp>
                    <a:nvSpPr>
                      <a:cNvPr id="92" name="Text Box 25"/>
                      <a:cNvSpPr txBox="1">
                        <a:spLocks noChangeArrowheads="1"/>
                      </a:cNvSpPr>
                    </a:nvSpPr>
                    <a:spPr bwMode="auto">
                      <a:xfrm>
                        <a:off x="326669" y="2133518"/>
                        <a:ext cx="1464350" cy="587912"/>
                      </a:xfrm>
                      <a:prstGeom prst="rect">
                        <a:avLst/>
                      </a:prstGeom>
                      <a:solidFill>
                        <a:schemeClr val="bg2">
                          <a:lumMod val="40000"/>
                          <a:lumOff val="60000"/>
                        </a:schemeClr>
                      </a:solidFill>
                      <a:ln>
                        <a:solidFill>
                          <a:schemeClr val="tx1"/>
                        </a:solidFill>
                        <a:headEnd type="none" w="med" len="med"/>
                        <a:tailEnd type="stealth" w="lg" len="lg"/>
                      </a:ln>
                      <a:effectLst/>
                      <a:scene3d>
                        <a:camera prst="orthographicFront">
                          <a:rot lat="0" lon="0" rev="0"/>
                        </a:camera>
                        <a:lightRig rig="threePt" dir="t">
                          <a:rot lat="0" lon="0" rev="1200000"/>
                        </a:lightRig>
                      </a:scene3d>
                      <a:sp3d/>
                    </a:spPr>
                    <a:txSp>
                      <a:txBody>
                        <a:bodyPr vert="horz" wrap="square" lIns="91440" tIns="45720" rIns="91440" bIns="45720" numCol="1" rtlCol="0" anchor="t" anchorCtr="0" compatLnSpc="1">
                          <a:prstTxWarp prst="textNoShape">
                            <a:avLst/>
                          </a:prstTxWarp>
                          <a:noAutofit/>
                        </a:bodyPr>
                        <a:lstStyle>
                          <a:defPPr>
                            <a:defRPr lang="en-US"/>
                          </a:defPPr>
                          <a:lvl1pPr algn="l" rtl="0" fontAlgn="base">
                            <a:spcBef>
                              <a:spcPct val="0"/>
                            </a:spcBef>
                            <a:spcAft>
                              <a:spcPct val="0"/>
                            </a:spcAft>
                            <a:defRPr sz="2300" kern="1200">
                              <a:solidFill>
                                <a:schemeClr val="lt1"/>
                              </a:solidFill>
                              <a:latin typeface="+mn-lt"/>
                              <a:ea typeface="+mn-ea"/>
                              <a:cs typeface="+mn-cs"/>
                            </a:defRPr>
                          </a:lvl1pPr>
                          <a:lvl2pPr marL="457200" algn="l" rtl="0" fontAlgn="base">
                            <a:spcBef>
                              <a:spcPct val="0"/>
                            </a:spcBef>
                            <a:spcAft>
                              <a:spcPct val="0"/>
                            </a:spcAft>
                            <a:defRPr sz="2300" kern="1200">
                              <a:solidFill>
                                <a:schemeClr val="lt1"/>
                              </a:solidFill>
                              <a:latin typeface="+mn-lt"/>
                              <a:ea typeface="+mn-ea"/>
                              <a:cs typeface="+mn-cs"/>
                            </a:defRPr>
                          </a:lvl2pPr>
                          <a:lvl3pPr marL="914400" algn="l" rtl="0" fontAlgn="base">
                            <a:spcBef>
                              <a:spcPct val="0"/>
                            </a:spcBef>
                            <a:spcAft>
                              <a:spcPct val="0"/>
                            </a:spcAft>
                            <a:defRPr sz="2300" kern="1200">
                              <a:solidFill>
                                <a:schemeClr val="lt1"/>
                              </a:solidFill>
                              <a:latin typeface="+mn-lt"/>
                              <a:ea typeface="+mn-ea"/>
                              <a:cs typeface="+mn-cs"/>
                            </a:defRPr>
                          </a:lvl3pPr>
                          <a:lvl4pPr marL="1371600" algn="l" rtl="0" fontAlgn="base">
                            <a:spcBef>
                              <a:spcPct val="0"/>
                            </a:spcBef>
                            <a:spcAft>
                              <a:spcPct val="0"/>
                            </a:spcAft>
                            <a:defRPr sz="2300" kern="1200">
                              <a:solidFill>
                                <a:schemeClr val="lt1"/>
                              </a:solidFill>
                              <a:latin typeface="+mn-lt"/>
                              <a:ea typeface="+mn-ea"/>
                              <a:cs typeface="+mn-cs"/>
                            </a:defRPr>
                          </a:lvl4pPr>
                          <a:lvl5pPr marL="1828800" algn="l" rtl="0" fontAlgn="base">
                            <a:spcBef>
                              <a:spcPct val="0"/>
                            </a:spcBef>
                            <a:spcAft>
                              <a:spcPct val="0"/>
                            </a:spcAft>
                            <a:defRPr sz="2300" kern="1200">
                              <a:solidFill>
                                <a:schemeClr val="lt1"/>
                              </a:solidFill>
                              <a:latin typeface="+mn-lt"/>
                              <a:ea typeface="+mn-ea"/>
                              <a:cs typeface="+mn-cs"/>
                            </a:defRPr>
                          </a:lvl5pPr>
                          <a:lvl6pPr marL="2286000" algn="l" defTabSz="914400" rtl="0" eaLnBrk="1" latinLnBrk="0" hangingPunct="1">
                            <a:defRPr sz="2300" kern="1200">
                              <a:solidFill>
                                <a:schemeClr val="lt1"/>
                              </a:solidFill>
                              <a:latin typeface="+mn-lt"/>
                              <a:ea typeface="+mn-ea"/>
                              <a:cs typeface="+mn-cs"/>
                            </a:defRPr>
                          </a:lvl6pPr>
                          <a:lvl7pPr marL="2743200" algn="l" defTabSz="914400" rtl="0" eaLnBrk="1" latinLnBrk="0" hangingPunct="1">
                            <a:defRPr sz="2300" kern="1200">
                              <a:solidFill>
                                <a:schemeClr val="lt1"/>
                              </a:solidFill>
                              <a:latin typeface="+mn-lt"/>
                              <a:ea typeface="+mn-ea"/>
                              <a:cs typeface="+mn-cs"/>
                            </a:defRPr>
                          </a:lvl7pPr>
                          <a:lvl8pPr marL="3200400" algn="l" defTabSz="914400" rtl="0" eaLnBrk="1" latinLnBrk="0" hangingPunct="1">
                            <a:defRPr sz="2300" kern="1200">
                              <a:solidFill>
                                <a:schemeClr val="lt1"/>
                              </a:solidFill>
                              <a:latin typeface="+mn-lt"/>
                              <a:ea typeface="+mn-ea"/>
                              <a:cs typeface="+mn-cs"/>
                            </a:defRPr>
                          </a:lvl8pPr>
                          <a:lvl9pPr marL="3657600" algn="l" defTabSz="914400" rtl="0" eaLnBrk="1" latinLnBrk="0" hangingPunct="1">
                            <a:defRPr sz="2300" kern="1200">
                              <a:solidFill>
                                <a:schemeClr val="lt1"/>
                              </a:solidFill>
                              <a:latin typeface="+mn-lt"/>
                              <a:ea typeface="+mn-ea"/>
                              <a:cs typeface="+mn-cs"/>
                            </a:defRPr>
                          </a:lvl9pPr>
                        </a:lstStyle>
                        <a:p>
                          <a:pPr algn="ctr">
                            <a:defRPr/>
                          </a:pPr>
                          <a:r>
                            <a:rPr lang="en-US" sz="1600" b="1" dirty="0" smtClean="0">
                              <a:solidFill>
                                <a:schemeClr val="tx1"/>
                              </a:solidFill>
                              <a:latin typeface="Calibri" pitchFamily="34" charset="0"/>
                            </a:rPr>
                            <a:t>Architecture Tool</a:t>
                          </a:r>
                        </a:p>
                      </a:txBody>
                      <a:useSpRect/>
                    </a:txSp>
                    <a:style>
                      <a:lnRef idx="0">
                        <a:schemeClr val="accent3"/>
                      </a:lnRef>
                      <a:fillRef idx="3">
                        <a:schemeClr val="accent3"/>
                      </a:fillRef>
                      <a:effectRef idx="3">
                        <a:schemeClr val="accent3"/>
                      </a:effectRef>
                      <a:fontRef idx="minor">
                        <a:schemeClr val="lt1"/>
                      </a:fontRef>
                    </a:style>
                  </a:sp>
                  <a:grpSp>
                    <a:nvGrpSpPr>
                      <a:cNvPr id="125" name="Group 7"/>
                      <a:cNvGrpSpPr>
                        <a:grpSpLocks/>
                      </a:cNvGrpSpPr>
                    </a:nvGrpSpPr>
                    <a:grpSpPr bwMode="auto">
                      <a:xfrm>
                        <a:off x="917621" y="1404924"/>
                        <a:ext cx="281728" cy="610412"/>
                        <a:chOff x="2028" y="720"/>
                        <a:chExt cx="864" cy="1780"/>
                      </a:xfrm>
                    </a:grpSpPr>
                    <a:sp>
                      <a:nvSpPr>
                        <a:cNvPr id="126" name="AutoShape 8" descr="Dark vertical"/>
                        <a:cNvSpPr>
                          <a:spLocks noChangeArrowheads="1"/>
                        </a:cNvSpPr>
                      </a:nvSpPr>
                      <a:spPr bwMode="auto">
                        <a:xfrm rot="10800000">
                          <a:off x="2028" y="1296"/>
                          <a:ext cx="864" cy="864"/>
                        </a:xfrm>
                        <a:prstGeom prst="triangle">
                          <a:avLst>
                            <a:gd name="adj" fmla="val 50000"/>
                          </a:avLst>
                        </a:prstGeom>
                        <a:pattFill prst="dkVert">
                          <a:fgClr>
                            <a:schemeClr val="folHlink"/>
                          </a:fgClr>
                          <a:bgClr>
                            <a:schemeClr val="tx1"/>
                          </a:bgClr>
                        </a:pattFill>
                        <a:ln w="38100" algn="ctr">
                          <a:noFill/>
                          <a:miter lim="800000"/>
                          <a:headEnd/>
                          <a:tailEnd type="none" w="lg" len="lg"/>
                        </a:ln>
                      </a:spPr>
                      <a:txSp>
                        <a:txBody>
                          <a:bodyPr anchor="ctr">
                            <a:spAutoFit/>
                          </a:bodyPr>
                          <a:lstStyle>
                            <a:defPPr>
                              <a:defRPr lang="en-US"/>
                            </a:defPPr>
                            <a:lvl1pPr algn="l" rtl="0" fontAlgn="base">
                              <a:spcBef>
                                <a:spcPct val="0"/>
                              </a:spcBef>
                              <a:spcAft>
                                <a:spcPct val="0"/>
                              </a:spcAft>
                              <a:defRPr sz="2300" kern="1200">
                                <a:solidFill>
                                  <a:schemeClr val="tx1"/>
                                </a:solidFill>
                                <a:latin typeface="Arial" charset="0"/>
                                <a:ea typeface="+mn-ea"/>
                                <a:cs typeface="+mn-cs"/>
                              </a:defRPr>
                            </a:lvl1pPr>
                            <a:lvl2pPr marL="457200" algn="l" rtl="0" fontAlgn="base">
                              <a:spcBef>
                                <a:spcPct val="0"/>
                              </a:spcBef>
                              <a:spcAft>
                                <a:spcPct val="0"/>
                              </a:spcAft>
                              <a:defRPr sz="2300" kern="1200">
                                <a:solidFill>
                                  <a:schemeClr val="tx1"/>
                                </a:solidFill>
                                <a:latin typeface="Arial" charset="0"/>
                                <a:ea typeface="+mn-ea"/>
                                <a:cs typeface="+mn-cs"/>
                              </a:defRPr>
                            </a:lvl2pPr>
                            <a:lvl3pPr marL="914400" algn="l" rtl="0" fontAlgn="base">
                              <a:spcBef>
                                <a:spcPct val="0"/>
                              </a:spcBef>
                              <a:spcAft>
                                <a:spcPct val="0"/>
                              </a:spcAft>
                              <a:defRPr sz="2300" kern="1200">
                                <a:solidFill>
                                  <a:schemeClr val="tx1"/>
                                </a:solidFill>
                                <a:latin typeface="Arial" charset="0"/>
                                <a:ea typeface="+mn-ea"/>
                                <a:cs typeface="+mn-cs"/>
                              </a:defRPr>
                            </a:lvl3pPr>
                            <a:lvl4pPr marL="1371600" algn="l" rtl="0" fontAlgn="base">
                              <a:spcBef>
                                <a:spcPct val="0"/>
                              </a:spcBef>
                              <a:spcAft>
                                <a:spcPct val="0"/>
                              </a:spcAft>
                              <a:defRPr sz="2300" kern="1200">
                                <a:solidFill>
                                  <a:schemeClr val="tx1"/>
                                </a:solidFill>
                                <a:latin typeface="Arial" charset="0"/>
                                <a:ea typeface="+mn-ea"/>
                                <a:cs typeface="+mn-cs"/>
                              </a:defRPr>
                            </a:lvl4pPr>
                            <a:lvl5pPr marL="1828800" algn="l" rtl="0" fontAlgn="base">
                              <a:spcBef>
                                <a:spcPct val="0"/>
                              </a:spcBef>
                              <a:spcAft>
                                <a:spcPct val="0"/>
                              </a:spcAft>
                              <a:defRPr sz="2300" kern="1200">
                                <a:solidFill>
                                  <a:schemeClr val="tx1"/>
                                </a:solidFill>
                                <a:latin typeface="Arial" charset="0"/>
                                <a:ea typeface="+mn-ea"/>
                                <a:cs typeface="+mn-cs"/>
                              </a:defRPr>
                            </a:lvl5pPr>
                            <a:lvl6pPr marL="2286000" algn="l" defTabSz="914400" rtl="0" eaLnBrk="1" latinLnBrk="0" hangingPunct="1">
                              <a:defRPr sz="2300" kern="1200">
                                <a:solidFill>
                                  <a:schemeClr val="tx1"/>
                                </a:solidFill>
                                <a:latin typeface="Arial" charset="0"/>
                                <a:ea typeface="+mn-ea"/>
                                <a:cs typeface="+mn-cs"/>
                              </a:defRPr>
                            </a:lvl6pPr>
                            <a:lvl7pPr marL="2743200" algn="l" defTabSz="914400" rtl="0" eaLnBrk="1" latinLnBrk="0" hangingPunct="1">
                              <a:defRPr sz="2300" kern="1200">
                                <a:solidFill>
                                  <a:schemeClr val="tx1"/>
                                </a:solidFill>
                                <a:latin typeface="Arial" charset="0"/>
                                <a:ea typeface="+mn-ea"/>
                                <a:cs typeface="+mn-cs"/>
                              </a:defRPr>
                            </a:lvl7pPr>
                            <a:lvl8pPr marL="3200400" algn="l" defTabSz="914400" rtl="0" eaLnBrk="1" latinLnBrk="0" hangingPunct="1">
                              <a:defRPr sz="2300" kern="1200">
                                <a:solidFill>
                                  <a:schemeClr val="tx1"/>
                                </a:solidFill>
                                <a:latin typeface="Arial" charset="0"/>
                                <a:ea typeface="+mn-ea"/>
                                <a:cs typeface="+mn-cs"/>
                              </a:defRPr>
                            </a:lvl8pPr>
                            <a:lvl9pPr marL="3657600" algn="l" defTabSz="914400" rtl="0" eaLnBrk="1" latinLnBrk="0" hangingPunct="1">
                              <a:defRPr sz="2300" kern="1200">
                                <a:solidFill>
                                  <a:schemeClr val="tx1"/>
                                </a:solidFill>
                                <a:latin typeface="Arial" charset="0"/>
                                <a:ea typeface="+mn-ea"/>
                                <a:cs typeface="+mn-cs"/>
                              </a:defRPr>
                            </a:lvl9pPr>
                          </a:lstStyle>
                          <a:p>
                            <a:endParaRPr lang="en-US"/>
                          </a:p>
                        </a:txBody>
                        <a:useSpRect/>
                      </a:txSp>
                    </a:sp>
                    <a:sp>
                      <a:nvSpPr>
                        <a:cNvPr id="127" name="Oval 9" descr="Dark vertical"/>
                        <a:cNvSpPr>
                          <a:spLocks noChangeArrowheads="1"/>
                        </a:cNvSpPr>
                      </a:nvSpPr>
                      <a:spPr bwMode="auto">
                        <a:xfrm>
                          <a:off x="2190" y="720"/>
                          <a:ext cx="528" cy="528"/>
                        </a:xfrm>
                        <a:prstGeom prst="ellipse">
                          <a:avLst/>
                        </a:prstGeom>
                        <a:pattFill prst="dkVert">
                          <a:fgClr>
                            <a:schemeClr val="folHlink"/>
                          </a:fgClr>
                          <a:bgClr>
                            <a:schemeClr val="tx1"/>
                          </a:bgClr>
                        </a:pattFill>
                        <a:ln w="38100" algn="ctr">
                          <a:noFill/>
                          <a:round/>
                          <a:headEnd/>
                          <a:tailEnd type="none" w="lg" len="lg"/>
                        </a:ln>
                      </a:spPr>
                      <a:txSp>
                        <a:txBody>
                          <a:bodyPr anchor="ctr">
                            <a:spAutoFit/>
                          </a:bodyPr>
                          <a:lstStyle>
                            <a:defPPr>
                              <a:defRPr lang="en-US"/>
                            </a:defPPr>
                            <a:lvl1pPr algn="l" rtl="0" fontAlgn="base">
                              <a:spcBef>
                                <a:spcPct val="0"/>
                              </a:spcBef>
                              <a:spcAft>
                                <a:spcPct val="0"/>
                              </a:spcAft>
                              <a:defRPr sz="2300" kern="1200">
                                <a:solidFill>
                                  <a:schemeClr val="tx1"/>
                                </a:solidFill>
                                <a:latin typeface="Arial" charset="0"/>
                                <a:ea typeface="+mn-ea"/>
                                <a:cs typeface="+mn-cs"/>
                              </a:defRPr>
                            </a:lvl1pPr>
                            <a:lvl2pPr marL="457200" algn="l" rtl="0" fontAlgn="base">
                              <a:spcBef>
                                <a:spcPct val="0"/>
                              </a:spcBef>
                              <a:spcAft>
                                <a:spcPct val="0"/>
                              </a:spcAft>
                              <a:defRPr sz="2300" kern="1200">
                                <a:solidFill>
                                  <a:schemeClr val="tx1"/>
                                </a:solidFill>
                                <a:latin typeface="Arial" charset="0"/>
                                <a:ea typeface="+mn-ea"/>
                                <a:cs typeface="+mn-cs"/>
                              </a:defRPr>
                            </a:lvl2pPr>
                            <a:lvl3pPr marL="914400" algn="l" rtl="0" fontAlgn="base">
                              <a:spcBef>
                                <a:spcPct val="0"/>
                              </a:spcBef>
                              <a:spcAft>
                                <a:spcPct val="0"/>
                              </a:spcAft>
                              <a:defRPr sz="2300" kern="1200">
                                <a:solidFill>
                                  <a:schemeClr val="tx1"/>
                                </a:solidFill>
                                <a:latin typeface="Arial" charset="0"/>
                                <a:ea typeface="+mn-ea"/>
                                <a:cs typeface="+mn-cs"/>
                              </a:defRPr>
                            </a:lvl3pPr>
                            <a:lvl4pPr marL="1371600" algn="l" rtl="0" fontAlgn="base">
                              <a:spcBef>
                                <a:spcPct val="0"/>
                              </a:spcBef>
                              <a:spcAft>
                                <a:spcPct val="0"/>
                              </a:spcAft>
                              <a:defRPr sz="2300" kern="1200">
                                <a:solidFill>
                                  <a:schemeClr val="tx1"/>
                                </a:solidFill>
                                <a:latin typeface="Arial" charset="0"/>
                                <a:ea typeface="+mn-ea"/>
                                <a:cs typeface="+mn-cs"/>
                              </a:defRPr>
                            </a:lvl4pPr>
                            <a:lvl5pPr marL="1828800" algn="l" rtl="0" fontAlgn="base">
                              <a:spcBef>
                                <a:spcPct val="0"/>
                              </a:spcBef>
                              <a:spcAft>
                                <a:spcPct val="0"/>
                              </a:spcAft>
                              <a:defRPr sz="2300" kern="1200">
                                <a:solidFill>
                                  <a:schemeClr val="tx1"/>
                                </a:solidFill>
                                <a:latin typeface="Arial" charset="0"/>
                                <a:ea typeface="+mn-ea"/>
                                <a:cs typeface="+mn-cs"/>
                              </a:defRPr>
                            </a:lvl5pPr>
                            <a:lvl6pPr marL="2286000" algn="l" defTabSz="914400" rtl="0" eaLnBrk="1" latinLnBrk="0" hangingPunct="1">
                              <a:defRPr sz="2300" kern="1200">
                                <a:solidFill>
                                  <a:schemeClr val="tx1"/>
                                </a:solidFill>
                                <a:latin typeface="Arial" charset="0"/>
                                <a:ea typeface="+mn-ea"/>
                                <a:cs typeface="+mn-cs"/>
                              </a:defRPr>
                            </a:lvl6pPr>
                            <a:lvl7pPr marL="2743200" algn="l" defTabSz="914400" rtl="0" eaLnBrk="1" latinLnBrk="0" hangingPunct="1">
                              <a:defRPr sz="2300" kern="1200">
                                <a:solidFill>
                                  <a:schemeClr val="tx1"/>
                                </a:solidFill>
                                <a:latin typeface="Arial" charset="0"/>
                                <a:ea typeface="+mn-ea"/>
                                <a:cs typeface="+mn-cs"/>
                              </a:defRPr>
                            </a:lvl7pPr>
                            <a:lvl8pPr marL="3200400" algn="l" defTabSz="914400" rtl="0" eaLnBrk="1" latinLnBrk="0" hangingPunct="1">
                              <a:defRPr sz="2300" kern="1200">
                                <a:solidFill>
                                  <a:schemeClr val="tx1"/>
                                </a:solidFill>
                                <a:latin typeface="Arial" charset="0"/>
                                <a:ea typeface="+mn-ea"/>
                                <a:cs typeface="+mn-cs"/>
                              </a:defRPr>
                            </a:lvl8pPr>
                            <a:lvl9pPr marL="3657600" algn="l" defTabSz="914400" rtl="0" eaLnBrk="1" latinLnBrk="0" hangingPunct="1">
                              <a:defRPr sz="2300" kern="1200">
                                <a:solidFill>
                                  <a:schemeClr val="tx1"/>
                                </a:solidFill>
                                <a:latin typeface="Arial" charset="0"/>
                                <a:ea typeface="+mn-ea"/>
                                <a:cs typeface="+mn-cs"/>
                              </a:defRPr>
                            </a:lvl9pPr>
                          </a:lstStyle>
                          <a:p>
                            <a:endParaRPr lang="en-US"/>
                          </a:p>
                        </a:txBody>
                        <a:useSpRect/>
                      </a:txSp>
                    </a:sp>
                    <a:sp>
                      <a:nvSpPr>
                        <a:cNvPr id="128" name="Rectangle 10" descr="Dark vertical"/>
                        <a:cNvSpPr>
                          <a:spLocks noChangeArrowheads="1"/>
                        </a:cNvSpPr>
                      </a:nvSpPr>
                      <a:spPr bwMode="auto">
                        <a:xfrm>
                          <a:off x="2304" y="1732"/>
                          <a:ext cx="310" cy="768"/>
                        </a:xfrm>
                        <a:prstGeom prst="rect">
                          <a:avLst/>
                        </a:prstGeom>
                        <a:pattFill prst="dkVert">
                          <a:fgClr>
                            <a:schemeClr val="folHlink"/>
                          </a:fgClr>
                          <a:bgClr>
                            <a:schemeClr val="tx1"/>
                          </a:bgClr>
                        </a:pattFill>
                        <a:ln w="38100" algn="ctr">
                          <a:noFill/>
                          <a:miter lim="800000"/>
                          <a:headEnd/>
                          <a:tailEnd type="none" w="lg" len="lg"/>
                        </a:ln>
                      </a:spPr>
                      <a:txSp>
                        <a:txBody>
                          <a:bodyPr anchor="ctr">
                            <a:spAutoFit/>
                          </a:bodyPr>
                          <a:lstStyle>
                            <a:defPPr>
                              <a:defRPr lang="en-US"/>
                            </a:defPPr>
                            <a:lvl1pPr algn="l" rtl="0" fontAlgn="base">
                              <a:spcBef>
                                <a:spcPct val="0"/>
                              </a:spcBef>
                              <a:spcAft>
                                <a:spcPct val="0"/>
                              </a:spcAft>
                              <a:defRPr sz="2300" kern="1200">
                                <a:solidFill>
                                  <a:schemeClr val="tx1"/>
                                </a:solidFill>
                                <a:latin typeface="Arial" charset="0"/>
                                <a:ea typeface="+mn-ea"/>
                                <a:cs typeface="+mn-cs"/>
                              </a:defRPr>
                            </a:lvl1pPr>
                            <a:lvl2pPr marL="457200" algn="l" rtl="0" fontAlgn="base">
                              <a:spcBef>
                                <a:spcPct val="0"/>
                              </a:spcBef>
                              <a:spcAft>
                                <a:spcPct val="0"/>
                              </a:spcAft>
                              <a:defRPr sz="2300" kern="1200">
                                <a:solidFill>
                                  <a:schemeClr val="tx1"/>
                                </a:solidFill>
                                <a:latin typeface="Arial" charset="0"/>
                                <a:ea typeface="+mn-ea"/>
                                <a:cs typeface="+mn-cs"/>
                              </a:defRPr>
                            </a:lvl2pPr>
                            <a:lvl3pPr marL="914400" algn="l" rtl="0" fontAlgn="base">
                              <a:spcBef>
                                <a:spcPct val="0"/>
                              </a:spcBef>
                              <a:spcAft>
                                <a:spcPct val="0"/>
                              </a:spcAft>
                              <a:defRPr sz="2300" kern="1200">
                                <a:solidFill>
                                  <a:schemeClr val="tx1"/>
                                </a:solidFill>
                                <a:latin typeface="Arial" charset="0"/>
                                <a:ea typeface="+mn-ea"/>
                                <a:cs typeface="+mn-cs"/>
                              </a:defRPr>
                            </a:lvl3pPr>
                            <a:lvl4pPr marL="1371600" algn="l" rtl="0" fontAlgn="base">
                              <a:spcBef>
                                <a:spcPct val="0"/>
                              </a:spcBef>
                              <a:spcAft>
                                <a:spcPct val="0"/>
                              </a:spcAft>
                              <a:defRPr sz="2300" kern="1200">
                                <a:solidFill>
                                  <a:schemeClr val="tx1"/>
                                </a:solidFill>
                                <a:latin typeface="Arial" charset="0"/>
                                <a:ea typeface="+mn-ea"/>
                                <a:cs typeface="+mn-cs"/>
                              </a:defRPr>
                            </a:lvl4pPr>
                            <a:lvl5pPr marL="1828800" algn="l" rtl="0" fontAlgn="base">
                              <a:spcBef>
                                <a:spcPct val="0"/>
                              </a:spcBef>
                              <a:spcAft>
                                <a:spcPct val="0"/>
                              </a:spcAft>
                              <a:defRPr sz="2300" kern="1200">
                                <a:solidFill>
                                  <a:schemeClr val="tx1"/>
                                </a:solidFill>
                                <a:latin typeface="Arial" charset="0"/>
                                <a:ea typeface="+mn-ea"/>
                                <a:cs typeface="+mn-cs"/>
                              </a:defRPr>
                            </a:lvl5pPr>
                            <a:lvl6pPr marL="2286000" algn="l" defTabSz="914400" rtl="0" eaLnBrk="1" latinLnBrk="0" hangingPunct="1">
                              <a:defRPr sz="2300" kern="1200">
                                <a:solidFill>
                                  <a:schemeClr val="tx1"/>
                                </a:solidFill>
                                <a:latin typeface="Arial" charset="0"/>
                                <a:ea typeface="+mn-ea"/>
                                <a:cs typeface="+mn-cs"/>
                              </a:defRPr>
                            </a:lvl6pPr>
                            <a:lvl7pPr marL="2743200" algn="l" defTabSz="914400" rtl="0" eaLnBrk="1" latinLnBrk="0" hangingPunct="1">
                              <a:defRPr sz="2300" kern="1200">
                                <a:solidFill>
                                  <a:schemeClr val="tx1"/>
                                </a:solidFill>
                                <a:latin typeface="Arial" charset="0"/>
                                <a:ea typeface="+mn-ea"/>
                                <a:cs typeface="+mn-cs"/>
                              </a:defRPr>
                            </a:lvl7pPr>
                            <a:lvl8pPr marL="3200400" algn="l" defTabSz="914400" rtl="0" eaLnBrk="1" latinLnBrk="0" hangingPunct="1">
                              <a:defRPr sz="2300" kern="1200">
                                <a:solidFill>
                                  <a:schemeClr val="tx1"/>
                                </a:solidFill>
                                <a:latin typeface="Arial" charset="0"/>
                                <a:ea typeface="+mn-ea"/>
                                <a:cs typeface="+mn-cs"/>
                              </a:defRPr>
                            </a:lvl8pPr>
                            <a:lvl9pPr marL="3657600" algn="l" defTabSz="914400" rtl="0" eaLnBrk="1" latinLnBrk="0" hangingPunct="1">
                              <a:defRPr sz="2300" kern="1200">
                                <a:solidFill>
                                  <a:schemeClr val="tx1"/>
                                </a:solidFill>
                                <a:latin typeface="Arial" charset="0"/>
                                <a:ea typeface="+mn-ea"/>
                                <a:cs typeface="+mn-cs"/>
                              </a:defRPr>
                            </a:lvl9pPr>
                          </a:lstStyle>
                          <a:p>
                            <a:endParaRPr lang="en-US"/>
                          </a:p>
                        </a:txBody>
                        <a:useSpRect/>
                      </a:txSp>
                    </a:sp>
                  </a:grpSp>
                </lc:lockedCanvas>
              </a:graphicData>
            </a:graphic>
          </wp:inline>
        </w:drawing>
      </w:r>
    </w:p>
    <w:p w:rsidR="00DB15B1" w:rsidRPr="0022423D" w:rsidRDefault="00680ADD" w:rsidP="0022423D">
      <w:pPr>
        <w:keepNext/>
        <w:jc w:val="center"/>
        <w:rPr>
          <w:b/>
          <w:bCs/>
        </w:rPr>
      </w:pPr>
      <w:r w:rsidRPr="0022423D">
        <w:rPr>
          <w:b/>
          <w:bCs/>
        </w:rPr>
        <w:t xml:space="preserve">Figure </w:t>
      </w:r>
      <w:r w:rsidR="00786AF6" w:rsidRPr="0022423D">
        <w:rPr>
          <w:b/>
          <w:bCs/>
        </w:rPr>
        <w:fldChar w:fldCharType="begin"/>
      </w:r>
      <w:r w:rsidR="00A82B90" w:rsidRPr="0022423D">
        <w:rPr>
          <w:b/>
          <w:bCs/>
        </w:rPr>
        <w:instrText xml:space="preserve"> SEQ Figure \* ARABIC </w:instrText>
      </w:r>
      <w:r w:rsidR="00786AF6" w:rsidRPr="0022423D">
        <w:rPr>
          <w:b/>
          <w:bCs/>
        </w:rPr>
        <w:fldChar w:fldCharType="separate"/>
      </w:r>
      <w:r w:rsidRPr="0022423D">
        <w:rPr>
          <w:b/>
          <w:bCs/>
        </w:rPr>
        <w:t>2</w:t>
      </w:r>
      <w:r w:rsidR="00786AF6" w:rsidRPr="0022423D">
        <w:rPr>
          <w:b/>
          <w:bCs/>
        </w:rPr>
        <w:fldChar w:fldCharType="end"/>
      </w:r>
      <w:r w:rsidRPr="0022423D">
        <w:rPr>
          <w:b/>
          <w:bCs/>
        </w:rPr>
        <w:t xml:space="preserve">: </w:t>
      </w:r>
      <w:r w:rsidR="00A06987">
        <w:rPr>
          <w:b/>
          <w:bCs/>
        </w:rPr>
        <w:t xml:space="preserve">Optimizing </w:t>
      </w:r>
      <w:r w:rsidR="00D6619A">
        <w:rPr>
          <w:b/>
          <w:bCs/>
        </w:rPr>
        <w:t xml:space="preserve">the </w:t>
      </w:r>
      <w:r w:rsidR="00A06987">
        <w:rPr>
          <w:b/>
          <w:bCs/>
        </w:rPr>
        <w:t xml:space="preserve">development </w:t>
      </w:r>
      <w:r w:rsidR="00D6619A">
        <w:rPr>
          <w:b/>
          <w:bCs/>
        </w:rPr>
        <w:t xml:space="preserve">process </w:t>
      </w:r>
      <w:r w:rsidR="00A06987">
        <w:rPr>
          <w:b/>
          <w:bCs/>
        </w:rPr>
        <w:t xml:space="preserve">as a whole requires </w:t>
      </w:r>
      <w:r w:rsidR="00D6330C">
        <w:rPr>
          <w:b/>
          <w:bCs/>
        </w:rPr>
        <w:t>a unified approach to storing and working with</w:t>
      </w:r>
      <w:r w:rsidR="00487FD6">
        <w:rPr>
          <w:b/>
          <w:bCs/>
        </w:rPr>
        <w:t xml:space="preserve"> the artifacts of </w:t>
      </w:r>
      <w:r w:rsidR="00D6619A">
        <w:rPr>
          <w:b/>
          <w:bCs/>
        </w:rPr>
        <w:t xml:space="preserve">that </w:t>
      </w:r>
      <w:r w:rsidR="00487FD6">
        <w:rPr>
          <w:b/>
          <w:bCs/>
        </w:rPr>
        <w:t>process</w:t>
      </w:r>
      <w:r w:rsidR="001E17D3" w:rsidRPr="0022423D">
        <w:rPr>
          <w:b/>
          <w:bCs/>
        </w:rPr>
        <w:t>.</w:t>
      </w:r>
    </w:p>
    <w:p w:rsidR="007744A5" w:rsidRDefault="007744A5" w:rsidP="000E488C">
      <w:bookmarkStart w:id="2" w:name="_Toc200789314"/>
      <w:r>
        <w:t xml:space="preserve">Tools used for </w:t>
      </w:r>
      <w:r w:rsidR="00405432">
        <w:t>different</w:t>
      </w:r>
      <w:r>
        <w:t xml:space="preserve"> purposes—working with requirements, specifying architecture, developing code, testing code, and even project management—should all be able to work with a common set of interconnected artifacts stored in a common place. As Figure 2 shows, those artifacts can include requirements, design documents, various versions of source code, test cases, statistics about this development project, and more. </w:t>
      </w:r>
      <w:r w:rsidR="0041425B">
        <w:t>This kind of integration allows all sorts of useful things: automatically recording</w:t>
      </w:r>
      <w:r w:rsidR="00343B5D">
        <w:t xml:space="preserve"> code check-ins</w:t>
      </w:r>
      <w:r w:rsidR="0041425B">
        <w:t xml:space="preserve">, </w:t>
      </w:r>
      <w:r w:rsidR="00A61F58">
        <w:t>associating tests with source code versions</w:t>
      </w:r>
      <w:r w:rsidR="0041425B">
        <w:t xml:space="preserve">, </w:t>
      </w:r>
      <w:r w:rsidR="00343B5D">
        <w:t xml:space="preserve">generating historical reports of bug counts, </w:t>
      </w:r>
      <w:r w:rsidR="0041425B">
        <w:t>and more.</w:t>
      </w:r>
      <w:r w:rsidR="00320ED0">
        <w:t xml:space="preserve"> More important, it allows optimizing the entire process. The flow of work is now apparent, and so making that flow as smooth as possible gets easier.</w:t>
      </w:r>
    </w:p>
    <w:p w:rsidR="000E488C" w:rsidRDefault="00786AF6" w:rsidP="00F86075">
      <w:r>
        <w:rPr>
          <w:noProof/>
          <w:lang w:eastAsia="zh-TW"/>
        </w:rPr>
        <w:pict>
          <v:shape id="_x0000_s1028" type="#_x0000_t202" style="position:absolute;margin-left:87.05pt;margin-top:534.05pt;width:136.4pt;height:173.95pt;z-index:251660288;mso-position-horizontal-relative:page;mso-position-vertical-relative:page;mso-width-relative:margin;v-text-anchor:middle" o:allowincell="f" filled="f" stroked="f" strokecolor="red" strokeweight="1.5pt">
            <v:textbox style="mso-next-textbox:#_x0000_s1028" inset="10.8pt,7.2pt,10.8pt,7.2pt">
              <w:txbxContent>
                <w:p w:rsidR="00BB6935" w:rsidRPr="003B0157" w:rsidRDefault="00101A74">
                  <w:pPr>
                    <w:spacing w:after="0" w:line="360" w:lineRule="auto"/>
                    <w:jc w:val="center"/>
                    <w:rPr>
                      <w:rFonts w:asciiTheme="minorHAnsi" w:eastAsiaTheme="majorEastAsia" w:hAnsiTheme="minorHAnsi" w:cstheme="majorBidi"/>
                      <w:i/>
                      <w:iCs/>
                      <w:sz w:val="24"/>
                      <w:szCs w:val="28"/>
                    </w:rPr>
                  </w:pPr>
                  <w:r>
                    <w:rPr>
                      <w:rFonts w:asciiTheme="minorHAnsi" w:eastAsiaTheme="majorEastAsia" w:hAnsiTheme="minorHAnsi" w:cstheme="majorBidi"/>
                      <w:i/>
                      <w:iCs/>
                      <w:sz w:val="24"/>
                      <w:szCs w:val="28"/>
                    </w:rPr>
                    <w:t>W</w:t>
                  </w:r>
                  <w:r w:rsidR="001B25D8">
                    <w:rPr>
                      <w:rFonts w:asciiTheme="minorHAnsi" w:eastAsiaTheme="majorEastAsia" w:hAnsiTheme="minorHAnsi" w:cstheme="majorBidi"/>
                      <w:i/>
                      <w:iCs/>
                      <w:sz w:val="24"/>
                      <w:szCs w:val="28"/>
                    </w:rPr>
                    <w:t xml:space="preserve">hen </w:t>
                  </w:r>
                  <w:r w:rsidR="00FC01C8">
                    <w:rPr>
                      <w:rFonts w:asciiTheme="minorHAnsi" w:eastAsiaTheme="majorEastAsia" w:hAnsiTheme="minorHAnsi" w:cstheme="majorBidi"/>
                      <w:i/>
                      <w:iCs/>
                      <w:sz w:val="24"/>
                      <w:szCs w:val="28"/>
                    </w:rPr>
                    <w:t>our</w:t>
                  </w:r>
                  <w:r w:rsidR="00E452EB">
                    <w:rPr>
                      <w:rFonts w:asciiTheme="minorHAnsi" w:eastAsiaTheme="majorEastAsia" w:hAnsiTheme="minorHAnsi" w:cstheme="majorBidi"/>
                      <w:i/>
                      <w:iCs/>
                      <w:sz w:val="24"/>
                      <w:szCs w:val="28"/>
                    </w:rPr>
                    <w:t xml:space="preserve"> industry </w:t>
                  </w:r>
                  <w:r w:rsidR="0000353A">
                    <w:rPr>
                      <w:rFonts w:asciiTheme="minorHAnsi" w:eastAsiaTheme="majorEastAsia" w:hAnsiTheme="minorHAnsi" w:cstheme="majorBidi"/>
                      <w:i/>
                      <w:iCs/>
                      <w:sz w:val="24"/>
                      <w:szCs w:val="28"/>
                    </w:rPr>
                    <w:t xml:space="preserve">converges on </w:t>
                  </w:r>
                  <w:r w:rsidR="00306782">
                    <w:rPr>
                      <w:rFonts w:asciiTheme="minorHAnsi" w:eastAsiaTheme="majorEastAsia" w:hAnsiTheme="minorHAnsi" w:cstheme="majorBidi"/>
                      <w:i/>
                      <w:iCs/>
                      <w:sz w:val="24"/>
                      <w:szCs w:val="28"/>
                    </w:rPr>
                    <w:t>an architecture</w:t>
                  </w:r>
                  <w:r>
                    <w:rPr>
                      <w:rFonts w:asciiTheme="minorHAnsi" w:eastAsiaTheme="majorEastAsia" w:hAnsiTheme="minorHAnsi" w:cstheme="majorBidi"/>
                      <w:i/>
                      <w:iCs/>
                      <w:sz w:val="24"/>
                      <w:szCs w:val="28"/>
                    </w:rPr>
                    <w:t>, it means there’s</w:t>
                  </w:r>
                  <w:r w:rsidR="00EB5805">
                    <w:rPr>
                      <w:rFonts w:asciiTheme="minorHAnsi" w:eastAsiaTheme="majorEastAsia" w:hAnsiTheme="minorHAnsi" w:cstheme="majorBidi"/>
                      <w:i/>
                      <w:iCs/>
                      <w:sz w:val="24"/>
                      <w:szCs w:val="28"/>
                    </w:rPr>
                    <w:t xml:space="preserve"> </w:t>
                  </w:r>
                  <w:r>
                    <w:rPr>
                      <w:rFonts w:asciiTheme="minorHAnsi" w:eastAsiaTheme="majorEastAsia" w:hAnsiTheme="minorHAnsi" w:cstheme="majorBidi"/>
                      <w:i/>
                      <w:iCs/>
                      <w:sz w:val="24"/>
                      <w:szCs w:val="28"/>
                    </w:rPr>
                    <w:t xml:space="preserve">broad </w:t>
                  </w:r>
                  <w:r w:rsidR="00EB5805">
                    <w:rPr>
                      <w:rFonts w:asciiTheme="minorHAnsi" w:eastAsiaTheme="majorEastAsia" w:hAnsiTheme="minorHAnsi" w:cstheme="majorBidi"/>
                      <w:i/>
                      <w:iCs/>
                      <w:sz w:val="24"/>
                      <w:szCs w:val="28"/>
                    </w:rPr>
                    <w:t>consensus</w:t>
                  </w:r>
                  <w:r>
                    <w:rPr>
                      <w:rFonts w:asciiTheme="minorHAnsi" w:eastAsiaTheme="majorEastAsia" w:hAnsiTheme="minorHAnsi" w:cstheme="majorBidi"/>
                      <w:i/>
                      <w:iCs/>
                      <w:sz w:val="24"/>
                      <w:szCs w:val="28"/>
                    </w:rPr>
                    <w:t xml:space="preserve"> </w:t>
                  </w:r>
                  <w:r w:rsidR="00E452EB">
                    <w:rPr>
                      <w:rFonts w:asciiTheme="minorHAnsi" w:eastAsiaTheme="majorEastAsia" w:hAnsiTheme="minorHAnsi" w:cstheme="majorBidi"/>
                      <w:i/>
                      <w:iCs/>
                      <w:sz w:val="24"/>
                      <w:szCs w:val="28"/>
                    </w:rPr>
                    <w:t>about</w:t>
                  </w:r>
                  <w:r>
                    <w:rPr>
                      <w:rFonts w:asciiTheme="minorHAnsi" w:eastAsiaTheme="majorEastAsia" w:hAnsiTheme="minorHAnsi" w:cstheme="majorBidi"/>
                      <w:i/>
                      <w:iCs/>
                      <w:sz w:val="24"/>
                      <w:szCs w:val="28"/>
                    </w:rPr>
                    <w:t xml:space="preserve"> </w:t>
                  </w:r>
                  <w:r w:rsidR="006A762B">
                    <w:rPr>
                      <w:rFonts w:asciiTheme="minorHAnsi" w:eastAsiaTheme="majorEastAsia" w:hAnsiTheme="minorHAnsi" w:cstheme="majorBidi"/>
                      <w:i/>
                      <w:iCs/>
                      <w:sz w:val="24"/>
                      <w:szCs w:val="28"/>
                    </w:rPr>
                    <w:t>the best way to do something</w:t>
                  </w:r>
                  <w:r>
                    <w:rPr>
                      <w:rFonts w:asciiTheme="minorHAnsi" w:eastAsiaTheme="majorEastAsia" w:hAnsiTheme="minorHAnsi" w:cstheme="majorBidi"/>
                      <w:i/>
                      <w:iCs/>
                      <w:sz w:val="24"/>
                      <w:szCs w:val="28"/>
                    </w:rPr>
                    <w:t>.</w:t>
                  </w:r>
                </w:p>
              </w:txbxContent>
            </v:textbox>
            <w10:wrap type="square" anchorx="page" anchory="page"/>
          </v:shape>
        </w:pict>
      </w:r>
      <w:r w:rsidR="001B25D8">
        <w:t xml:space="preserve">For the most part, the first generation of team development tools didn’t take this approach. The vendors have learned from their experience, however, and </w:t>
      </w:r>
      <w:r w:rsidR="0099075E">
        <w:t>team-base</w:t>
      </w:r>
      <w:r w:rsidR="00BF0B07">
        <w:t>d</w:t>
      </w:r>
      <w:r w:rsidR="001B25D8">
        <w:t xml:space="preserve"> tools </w:t>
      </w:r>
      <w:r w:rsidR="0099075E">
        <w:t>today can</w:t>
      </w:r>
      <w:r w:rsidR="001B25D8">
        <w:t xml:space="preserve"> provide this broad integration. Microsoft’s Visual Studio Team System, for example, includes specialized tools for architecture, development, testing, and more, all of which </w:t>
      </w:r>
      <w:r w:rsidR="00DC2BFB">
        <w:t>rely on</w:t>
      </w:r>
      <w:r w:rsidR="001B25D8">
        <w:t xml:space="preserve"> Team Foundation Server (TFS) to store the artifacts they work with. IBM’s forthcoming Jazz development suite takes a similar approach, with</w:t>
      </w:r>
      <w:r w:rsidR="00926A20">
        <w:t xml:space="preserve"> </w:t>
      </w:r>
      <w:r w:rsidR="00E94205">
        <w:t>different</w:t>
      </w:r>
      <w:r w:rsidR="00926A20">
        <w:t xml:space="preserve"> tools </w:t>
      </w:r>
      <w:r w:rsidR="00E94205">
        <w:t>supporting different</w:t>
      </w:r>
      <w:r w:rsidR="00926A20">
        <w:t xml:space="preserve"> functions, and</w:t>
      </w:r>
      <w:r w:rsidR="001B25D8">
        <w:t xml:space="preserve"> Jazz Team Server </w:t>
      </w:r>
      <w:r w:rsidR="00E20DA0">
        <w:t>acting in a role similar</w:t>
      </w:r>
      <w:r w:rsidR="001B25D8">
        <w:t xml:space="preserve"> to Microsoft’s TFS.</w:t>
      </w:r>
    </w:p>
    <w:p w:rsidR="00F86075" w:rsidRDefault="00F86075" w:rsidP="00F86075">
      <w:r w:rsidRPr="00F86075">
        <w:t xml:space="preserve">When </w:t>
      </w:r>
      <w:r w:rsidR="0000353A">
        <w:t>our</w:t>
      </w:r>
      <w:r w:rsidRPr="00F86075">
        <w:t xml:space="preserve"> indus</w:t>
      </w:r>
      <w:r w:rsidR="001B25D8">
        <w:t>try converges on an architectur</w:t>
      </w:r>
      <w:r w:rsidR="0000353A">
        <w:t>e</w:t>
      </w:r>
      <w:r w:rsidRPr="00F86075">
        <w:t xml:space="preserve">, it means </w:t>
      </w:r>
      <w:r w:rsidR="001B25D8">
        <w:t xml:space="preserve">there’s broad </w:t>
      </w:r>
      <w:r w:rsidR="0000353A">
        <w:t>consensus</w:t>
      </w:r>
      <w:r w:rsidR="001B25D8">
        <w:t xml:space="preserve"> </w:t>
      </w:r>
      <w:r w:rsidRPr="00F86075">
        <w:t xml:space="preserve">about </w:t>
      </w:r>
      <w:r w:rsidR="0020714F">
        <w:t>t</w:t>
      </w:r>
      <w:r w:rsidR="00893F1D">
        <w:t xml:space="preserve">he best way to do something. This consensus </w:t>
      </w:r>
      <w:r w:rsidR="00377891">
        <w:lastRenderedPageBreak/>
        <w:t>has appeared</w:t>
      </w:r>
      <w:r w:rsidR="00893F1D">
        <w:t xml:space="preserve"> in team development tools</w:t>
      </w:r>
      <w:r w:rsidR="00CA5218">
        <w:t>. T</w:t>
      </w:r>
      <w:r w:rsidR="00893F1D">
        <w:t xml:space="preserve">he vendors </w:t>
      </w:r>
      <w:r w:rsidR="00015024">
        <w:t>have figured out</w:t>
      </w:r>
      <w:r w:rsidR="00893F1D">
        <w:t xml:space="preserve"> that the</w:t>
      </w:r>
      <w:r w:rsidR="00B679E5">
        <w:t xml:space="preserve"> real</w:t>
      </w:r>
      <w:r w:rsidR="00893F1D">
        <w:t xml:space="preserve"> goal </w:t>
      </w:r>
      <w:r w:rsidR="00E9679F">
        <w:t>is</w:t>
      </w:r>
      <w:r w:rsidR="00893F1D">
        <w:t xml:space="preserve"> opt</w:t>
      </w:r>
      <w:r w:rsidR="00186672">
        <w:t xml:space="preserve">imizing the process as a whole rather than </w:t>
      </w:r>
      <w:r w:rsidR="00893F1D">
        <w:t xml:space="preserve">individual </w:t>
      </w:r>
      <w:r w:rsidR="00186672">
        <w:t>parts</w:t>
      </w:r>
      <w:r w:rsidR="00893F1D">
        <w:t xml:space="preserve"> of that process.</w:t>
      </w:r>
      <w:r w:rsidR="004C03DA">
        <w:t xml:space="preserve"> </w:t>
      </w:r>
    </w:p>
    <w:p w:rsidR="008F24C9" w:rsidRDefault="008F24C9" w:rsidP="008F24C9">
      <w:pPr>
        <w:pStyle w:val="Heading1"/>
        <w:rPr>
          <w:i/>
          <w:iCs/>
          <w:color w:val="1F497D"/>
        </w:rPr>
      </w:pPr>
      <w:r>
        <w:t>Conclusion</w:t>
      </w:r>
    </w:p>
    <w:bookmarkEnd w:id="2"/>
    <w:p w:rsidR="0066046E" w:rsidRDefault="00180E7E" w:rsidP="00883378">
      <w:r>
        <w:t>This</w:t>
      </w:r>
      <w:r w:rsidR="00834287">
        <w:t xml:space="preserve"> is</w:t>
      </w:r>
      <w:r w:rsidR="00643DED">
        <w:t xml:space="preserve"> an important moment in the evolution of development tools. </w:t>
      </w:r>
      <w:r w:rsidR="00F156C7">
        <w:t xml:space="preserve">Since </w:t>
      </w:r>
      <w:r w:rsidR="00703D58">
        <w:t>team development tools are</w:t>
      </w:r>
      <w:r w:rsidR="00F156C7">
        <w:t xml:space="preserve"> now </w:t>
      </w:r>
      <w:r w:rsidR="00703D58">
        <w:t>focusing on</w:t>
      </w:r>
      <w:r w:rsidR="00F156C7">
        <w:t xml:space="preserve"> the right problem, </w:t>
      </w:r>
      <w:r w:rsidR="00703D58">
        <w:t>they</w:t>
      </w:r>
      <w:r w:rsidR="00F156C7">
        <w:t xml:space="preserve"> have more to offer than they did</w:t>
      </w:r>
      <w:r w:rsidR="003A0024">
        <w:t xml:space="preserve"> ten years ago</w:t>
      </w:r>
      <w:r w:rsidR="00F156C7">
        <w:t>. Organizations doing team-based development—a category that includes almost everybody—</w:t>
      </w:r>
      <w:r w:rsidR="00DE53F0">
        <w:t>can benefit from taking</w:t>
      </w:r>
      <w:r w:rsidR="00785932">
        <w:t xml:space="preserve"> another</w:t>
      </w:r>
      <w:r w:rsidR="00F156C7">
        <w:t xml:space="preserve"> look at this </w:t>
      </w:r>
      <w:r w:rsidR="005A1FCB">
        <w:t>style</w:t>
      </w:r>
      <w:r w:rsidR="00905565">
        <w:t xml:space="preserve"> of tool</w:t>
      </w:r>
      <w:r w:rsidR="00F156C7">
        <w:t>.</w:t>
      </w:r>
    </w:p>
    <w:p w:rsidR="00F156C7" w:rsidRPr="00DA66A0" w:rsidRDefault="00F156C7" w:rsidP="00883378">
      <w:r>
        <w:t xml:space="preserve">Still, don’t expect adopting team development tools to be as easy as </w:t>
      </w:r>
      <w:r w:rsidR="00D65F3A">
        <w:t>adopting IDEs. The challenge</w:t>
      </w:r>
      <w:r>
        <w:t xml:space="preserve"> of </w:t>
      </w:r>
      <w:r w:rsidR="009B6B99">
        <w:t xml:space="preserve">clearly understanding </w:t>
      </w:r>
      <w:r w:rsidR="00416239">
        <w:t>(</w:t>
      </w:r>
      <w:r w:rsidR="009B6B99">
        <w:t xml:space="preserve">and </w:t>
      </w:r>
      <w:r w:rsidR="004A1E93">
        <w:t>perhaps</w:t>
      </w:r>
      <w:r w:rsidR="009B6B99">
        <w:t xml:space="preserve"> </w:t>
      </w:r>
      <w:r>
        <w:t>changing</w:t>
      </w:r>
      <w:r w:rsidR="00416239">
        <w:t>)</w:t>
      </w:r>
      <w:r>
        <w:t xml:space="preserve"> </w:t>
      </w:r>
      <w:r w:rsidR="00A52B62">
        <w:t>your development process</w:t>
      </w:r>
      <w:r w:rsidR="009B6B99">
        <w:t xml:space="preserve"> still exists. Nonetheless, just as IDEs made </w:t>
      </w:r>
      <w:r w:rsidR="005A1FCB">
        <w:t>life</w:t>
      </w:r>
      <w:r w:rsidR="009B6B99">
        <w:t xml:space="preserve"> easier </w:t>
      </w:r>
      <w:r w:rsidR="005A1FCB">
        <w:t xml:space="preserve">for individual developers </w:t>
      </w:r>
      <w:r w:rsidR="009B6B99">
        <w:t xml:space="preserve">by combining what were once separate tools, team development tools can </w:t>
      </w:r>
      <w:r w:rsidR="00A94713">
        <w:t>help</w:t>
      </w:r>
      <w:r w:rsidR="009B6B99">
        <w:t xml:space="preserve"> </w:t>
      </w:r>
      <w:r w:rsidR="00267AE4">
        <w:t>developers</w:t>
      </w:r>
      <w:r w:rsidR="00A23B4D">
        <w:t xml:space="preserve"> and</w:t>
      </w:r>
      <w:r w:rsidR="00267AE4">
        <w:t xml:space="preserve"> </w:t>
      </w:r>
      <w:r w:rsidR="008C75A7">
        <w:t xml:space="preserve">everyone else on a development team </w:t>
      </w:r>
      <w:r w:rsidR="00267AE4">
        <w:t>work together</w:t>
      </w:r>
      <w:r w:rsidR="00076D01">
        <w:t xml:space="preserve"> more effectively</w:t>
      </w:r>
      <w:r w:rsidR="00267AE4">
        <w:t xml:space="preserve">. </w:t>
      </w:r>
      <w:r w:rsidR="00D57262">
        <w:t xml:space="preserve">Given how important software </w:t>
      </w:r>
      <w:r w:rsidR="00700499">
        <w:t xml:space="preserve">is to most organizations, </w:t>
      </w:r>
      <w:r w:rsidR="006E689A">
        <w:t>improvements in</w:t>
      </w:r>
      <w:r w:rsidR="005A1FCB">
        <w:t xml:space="preserve"> how we create it</w:t>
      </w:r>
      <w:r w:rsidR="0062536D">
        <w:t xml:space="preserve"> </w:t>
      </w:r>
      <w:r w:rsidR="006E689A">
        <w:t>are</w:t>
      </w:r>
      <w:r w:rsidR="00700499">
        <w:t xml:space="preserve"> always welcome. </w:t>
      </w:r>
      <w:r w:rsidR="009B6B99">
        <w:t xml:space="preserve"> </w:t>
      </w:r>
    </w:p>
    <w:p w:rsidR="00DC2E4B" w:rsidRPr="00737AD1" w:rsidRDefault="00223EF6" w:rsidP="00EB6A52">
      <w:pPr>
        <w:pStyle w:val="Heading1"/>
      </w:pPr>
      <w:bookmarkStart w:id="3" w:name="_Toc200789315"/>
      <w:r>
        <w:t>About the Au</w:t>
      </w:r>
      <w:r w:rsidR="004D083E">
        <w:t>thor</w:t>
      </w:r>
      <w:bookmarkEnd w:id="3"/>
    </w:p>
    <w:p w:rsidR="00E25B24" w:rsidRDefault="008C204A" w:rsidP="00AE54F5">
      <w:r>
        <w:t xml:space="preserve">David Chappell is Principal of Chappell &amp; Associates (www.davidchappell.com) in San Francisco, California. </w:t>
      </w:r>
      <w:r w:rsidRPr="00726163">
        <w:t xml:space="preserve">Through his speaking, writing, and consulting, </w:t>
      </w:r>
      <w:r w:rsidR="0010548A">
        <w:t>he</w:t>
      </w:r>
      <w:r w:rsidRPr="00726163">
        <w:t xml:space="preserve"> helps </w:t>
      </w:r>
      <w:r w:rsidR="00EC7D70">
        <w:t>software</w:t>
      </w:r>
      <w:r w:rsidRPr="00726163">
        <w:t xml:space="preserve"> professionals ar</w:t>
      </w:r>
      <w:r>
        <w:t>ound the world understand, use</w:t>
      </w:r>
      <w:r w:rsidRPr="00726163">
        <w:t xml:space="preserve">, and make better decisions about </w:t>
      </w:r>
      <w:r w:rsidR="00EC7D70">
        <w:t>new technology</w:t>
      </w:r>
      <w:r w:rsidRPr="00726163">
        <w:t xml:space="preserve">. </w:t>
      </w:r>
    </w:p>
    <w:sectPr w:rsidR="00E25B24" w:rsidSect="00BE5907">
      <w:footerReference w:type="even" r:id="rId9"/>
      <w:footerReference w:type="default" r:id="rId10"/>
      <w:type w:val="continuous"/>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AA3" w:rsidRDefault="00AE0AA3">
      <w:r>
        <w:separator/>
      </w:r>
    </w:p>
  </w:endnote>
  <w:endnote w:type="continuationSeparator" w:id="1">
    <w:p w:rsidR="00AE0AA3" w:rsidRDefault="00AE0A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EB3" w:rsidRDefault="00786AF6" w:rsidP="00A93A46">
    <w:pPr>
      <w:pStyle w:val="Footer"/>
      <w:framePr w:wrap="around" w:vAnchor="text" w:hAnchor="margin" w:xAlign="center" w:y="1"/>
      <w:rPr>
        <w:rStyle w:val="PageNumber"/>
      </w:rPr>
    </w:pPr>
    <w:r>
      <w:rPr>
        <w:rStyle w:val="PageNumber"/>
      </w:rPr>
      <w:fldChar w:fldCharType="begin"/>
    </w:r>
    <w:r w:rsidR="00750EB3">
      <w:rPr>
        <w:rStyle w:val="PageNumber"/>
      </w:rPr>
      <w:instrText xml:space="preserve">PAGE  </w:instrText>
    </w:r>
    <w:r>
      <w:rPr>
        <w:rStyle w:val="PageNumber"/>
      </w:rPr>
      <w:fldChar w:fldCharType="end"/>
    </w:r>
  </w:p>
  <w:p w:rsidR="00750EB3" w:rsidRDefault="00750E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EB3" w:rsidRDefault="00786AF6" w:rsidP="00827665">
    <w:pPr>
      <w:pStyle w:val="Footer"/>
      <w:framePr w:wrap="around" w:vAnchor="text" w:hAnchor="page" w:x="4850" w:y="-52"/>
      <w:jc w:val="center"/>
      <w:rPr>
        <w:rStyle w:val="PageNumber"/>
      </w:rPr>
    </w:pPr>
    <w:r>
      <w:rPr>
        <w:rStyle w:val="PageNumber"/>
      </w:rPr>
      <w:fldChar w:fldCharType="begin"/>
    </w:r>
    <w:r w:rsidR="00750EB3">
      <w:rPr>
        <w:rStyle w:val="PageNumber"/>
      </w:rPr>
      <w:instrText xml:space="preserve">PAGE  </w:instrText>
    </w:r>
    <w:r>
      <w:rPr>
        <w:rStyle w:val="PageNumber"/>
      </w:rPr>
      <w:fldChar w:fldCharType="separate"/>
    </w:r>
    <w:r w:rsidR="00AE4270">
      <w:rPr>
        <w:rStyle w:val="PageNumber"/>
        <w:noProof/>
      </w:rPr>
      <w:t>5</w:t>
    </w:r>
    <w:r>
      <w:rPr>
        <w:rStyle w:val="PageNumber"/>
      </w:rPr>
      <w:fldChar w:fldCharType="end"/>
    </w:r>
  </w:p>
  <w:p w:rsidR="00750EB3" w:rsidRDefault="00750EB3">
    <w:pPr>
      <w:pStyle w:val="Footer"/>
    </w:pP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AA3" w:rsidRDefault="00AE0AA3">
      <w:r>
        <w:separator/>
      </w:r>
    </w:p>
  </w:footnote>
  <w:footnote w:type="continuationSeparator" w:id="1">
    <w:p w:rsidR="00AE0AA3" w:rsidRDefault="00AE0A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00" type="#_x0000_t75" style="width:8.25pt;height:8.25pt" o:bullet="t">
        <v:imagedata r:id="rId1" o:title="art140"/>
      </v:shape>
    </w:pict>
  </w:numPicBullet>
  <w:abstractNum w:abstractNumId="0">
    <w:nsid w:val="FFFFFFFE"/>
    <w:multiLevelType w:val="singleLevel"/>
    <w:tmpl w:val="EF309E82"/>
    <w:lvl w:ilvl="0">
      <w:numFmt w:val="decimal"/>
      <w:pStyle w:val="ListBullet"/>
      <w:lvlText w:val="*"/>
      <w:lvlJc w:val="left"/>
    </w:lvl>
  </w:abstractNum>
  <w:abstractNum w:abstractNumId="1">
    <w:nsid w:val="091A5CC8"/>
    <w:multiLevelType w:val="hybridMultilevel"/>
    <w:tmpl w:val="6922C608"/>
    <w:lvl w:ilvl="0" w:tplc="DA4E6FCC">
      <w:start w:val="1"/>
      <w:numFmt w:val="bullet"/>
      <w:lvlText w:val=""/>
      <w:lvlPicBulletId w:val="0"/>
      <w:lvlJc w:val="left"/>
      <w:pPr>
        <w:tabs>
          <w:tab w:val="num" w:pos="720"/>
        </w:tabs>
        <w:ind w:left="720" w:hanging="360"/>
      </w:pPr>
      <w:rPr>
        <w:rFonts w:ascii="Symbol" w:hAnsi="Symbol" w:hint="default"/>
      </w:rPr>
    </w:lvl>
    <w:lvl w:ilvl="1" w:tplc="3D60FCA8">
      <w:start w:val="1304"/>
      <w:numFmt w:val="bullet"/>
      <w:lvlText w:val="–"/>
      <w:lvlJc w:val="left"/>
      <w:pPr>
        <w:tabs>
          <w:tab w:val="num" w:pos="1440"/>
        </w:tabs>
        <w:ind w:left="1440" w:hanging="360"/>
      </w:pPr>
      <w:rPr>
        <w:rFonts w:ascii="Times New Roman" w:hAnsi="Times New Roman" w:hint="default"/>
      </w:rPr>
    </w:lvl>
    <w:lvl w:ilvl="2" w:tplc="3D0447F4" w:tentative="1">
      <w:start w:val="1"/>
      <w:numFmt w:val="bullet"/>
      <w:lvlText w:val=""/>
      <w:lvlPicBulletId w:val="0"/>
      <w:lvlJc w:val="left"/>
      <w:pPr>
        <w:tabs>
          <w:tab w:val="num" w:pos="2160"/>
        </w:tabs>
        <w:ind w:left="2160" w:hanging="360"/>
      </w:pPr>
      <w:rPr>
        <w:rFonts w:ascii="Symbol" w:hAnsi="Symbol" w:hint="default"/>
      </w:rPr>
    </w:lvl>
    <w:lvl w:ilvl="3" w:tplc="C20CC814" w:tentative="1">
      <w:start w:val="1"/>
      <w:numFmt w:val="bullet"/>
      <w:lvlText w:val=""/>
      <w:lvlPicBulletId w:val="0"/>
      <w:lvlJc w:val="left"/>
      <w:pPr>
        <w:tabs>
          <w:tab w:val="num" w:pos="2880"/>
        </w:tabs>
        <w:ind w:left="2880" w:hanging="360"/>
      </w:pPr>
      <w:rPr>
        <w:rFonts w:ascii="Symbol" w:hAnsi="Symbol" w:hint="default"/>
      </w:rPr>
    </w:lvl>
    <w:lvl w:ilvl="4" w:tplc="4D32E214" w:tentative="1">
      <w:start w:val="1"/>
      <w:numFmt w:val="bullet"/>
      <w:lvlText w:val=""/>
      <w:lvlPicBulletId w:val="0"/>
      <w:lvlJc w:val="left"/>
      <w:pPr>
        <w:tabs>
          <w:tab w:val="num" w:pos="3600"/>
        </w:tabs>
        <w:ind w:left="3600" w:hanging="360"/>
      </w:pPr>
      <w:rPr>
        <w:rFonts w:ascii="Symbol" w:hAnsi="Symbol" w:hint="default"/>
      </w:rPr>
    </w:lvl>
    <w:lvl w:ilvl="5" w:tplc="CE286D00" w:tentative="1">
      <w:start w:val="1"/>
      <w:numFmt w:val="bullet"/>
      <w:lvlText w:val=""/>
      <w:lvlPicBulletId w:val="0"/>
      <w:lvlJc w:val="left"/>
      <w:pPr>
        <w:tabs>
          <w:tab w:val="num" w:pos="4320"/>
        </w:tabs>
        <w:ind w:left="4320" w:hanging="360"/>
      </w:pPr>
      <w:rPr>
        <w:rFonts w:ascii="Symbol" w:hAnsi="Symbol" w:hint="default"/>
      </w:rPr>
    </w:lvl>
    <w:lvl w:ilvl="6" w:tplc="234207C0" w:tentative="1">
      <w:start w:val="1"/>
      <w:numFmt w:val="bullet"/>
      <w:lvlText w:val=""/>
      <w:lvlPicBulletId w:val="0"/>
      <w:lvlJc w:val="left"/>
      <w:pPr>
        <w:tabs>
          <w:tab w:val="num" w:pos="5040"/>
        </w:tabs>
        <w:ind w:left="5040" w:hanging="360"/>
      </w:pPr>
      <w:rPr>
        <w:rFonts w:ascii="Symbol" w:hAnsi="Symbol" w:hint="default"/>
      </w:rPr>
    </w:lvl>
    <w:lvl w:ilvl="7" w:tplc="B3D68EF2" w:tentative="1">
      <w:start w:val="1"/>
      <w:numFmt w:val="bullet"/>
      <w:lvlText w:val=""/>
      <w:lvlPicBulletId w:val="0"/>
      <w:lvlJc w:val="left"/>
      <w:pPr>
        <w:tabs>
          <w:tab w:val="num" w:pos="5760"/>
        </w:tabs>
        <w:ind w:left="5760" w:hanging="360"/>
      </w:pPr>
      <w:rPr>
        <w:rFonts w:ascii="Symbol" w:hAnsi="Symbol" w:hint="default"/>
      </w:rPr>
    </w:lvl>
    <w:lvl w:ilvl="8" w:tplc="710A1A16" w:tentative="1">
      <w:start w:val="1"/>
      <w:numFmt w:val="bullet"/>
      <w:lvlText w:val=""/>
      <w:lvlPicBulletId w:val="0"/>
      <w:lvlJc w:val="left"/>
      <w:pPr>
        <w:tabs>
          <w:tab w:val="num" w:pos="6480"/>
        </w:tabs>
        <w:ind w:left="6480" w:hanging="360"/>
      </w:pPr>
      <w:rPr>
        <w:rFonts w:ascii="Symbol" w:hAnsi="Symbol" w:hint="default"/>
      </w:rPr>
    </w:lvl>
  </w:abstractNum>
  <w:abstractNum w:abstractNumId="2">
    <w:nsid w:val="10EE3B5D"/>
    <w:multiLevelType w:val="hybridMultilevel"/>
    <w:tmpl w:val="1DC8DFB8"/>
    <w:lvl w:ilvl="0" w:tplc="16AC44AC">
      <w:start w:val="1"/>
      <w:numFmt w:val="bullet"/>
      <w:lvlText w:val=""/>
      <w:lvlPicBulletId w:val="0"/>
      <w:lvlJc w:val="left"/>
      <w:pPr>
        <w:tabs>
          <w:tab w:val="num" w:pos="720"/>
        </w:tabs>
        <w:ind w:left="720" w:hanging="360"/>
      </w:pPr>
      <w:rPr>
        <w:rFonts w:ascii="Symbol" w:hAnsi="Symbol" w:hint="default"/>
      </w:rPr>
    </w:lvl>
    <w:lvl w:ilvl="1" w:tplc="F7AAD646" w:tentative="1">
      <w:start w:val="1"/>
      <w:numFmt w:val="bullet"/>
      <w:lvlText w:val=""/>
      <w:lvlPicBulletId w:val="0"/>
      <w:lvlJc w:val="left"/>
      <w:pPr>
        <w:tabs>
          <w:tab w:val="num" w:pos="1440"/>
        </w:tabs>
        <w:ind w:left="1440" w:hanging="360"/>
      </w:pPr>
      <w:rPr>
        <w:rFonts w:ascii="Symbol" w:hAnsi="Symbol" w:hint="default"/>
      </w:rPr>
    </w:lvl>
    <w:lvl w:ilvl="2" w:tplc="F52C50E6" w:tentative="1">
      <w:start w:val="1"/>
      <w:numFmt w:val="bullet"/>
      <w:lvlText w:val=""/>
      <w:lvlPicBulletId w:val="0"/>
      <w:lvlJc w:val="left"/>
      <w:pPr>
        <w:tabs>
          <w:tab w:val="num" w:pos="2160"/>
        </w:tabs>
        <w:ind w:left="2160" w:hanging="360"/>
      </w:pPr>
      <w:rPr>
        <w:rFonts w:ascii="Symbol" w:hAnsi="Symbol" w:hint="default"/>
      </w:rPr>
    </w:lvl>
    <w:lvl w:ilvl="3" w:tplc="04603D9E" w:tentative="1">
      <w:start w:val="1"/>
      <w:numFmt w:val="bullet"/>
      <w:lvlText w:val=""/>
      <w:lvlPicBulletId w:val="0"/>
      <w:lvlJc w:val="left"/>
      <w:pPr>
        <w:tabs>
          <w:tab w:val="num" w:pos="2880"/>
        </w:tabs>
        <w:ind w:left="2880" w:hanging="360"/>
      </w:pPr>
      <w:rPr>
        <w:rFonts w:ascii="Symbol" w:hAnsi="Symbol" w:hint="default"/>
      </w:rPr>
    </w:lvl>
    <w:lvl w:ilvl="4" w:tplc="5DBEA72E" w:tentative="1">
      <w:start w:val="1"/>
      <w:numFmt w:val="bullet"/>
      <w:lvlText w:val=""/>
      <w:lvlPicBulletId w:val="0"/>
      <w:lvlJc w:val="left"/>
      <w:pPr>
        <w:tabs>
          <w:tab w:val="num" w:pos="3600"/>
        </w:tabs>
        <w:ind w:left="3600" w:hanging="360"/>
      </w:pPr>
      <w:rPr>
        <w:rFonts w:ascii="Symbol" w:hAnsi="Symbol" w:hint="default"/>
      </w:rPr>
    </w:lvl>
    <w:lvl w:ilvl="5" w:tplc="13FAB544" w:tentative="1">
      <w:start w:val="1"/>
      <w:numFmt w:val="bullet"/>
      <w:lvlText w:val=""/>
      <w:lvlPicBulletId w:val="0"/>
      <w:lvlJc w:val="left"/>
      <w:pPr>
        <w:tabs>
          <w:tab w:val="num" w:pos="4320"/>
        </w:tabs>
        <w:ind w:left="4320" w:hanging="360"/>
      </w:pPr>
      <w:rPr>
        <w:rFonts w:ascii="Symbol" w:hAnsi="Symbol" w:hint="default"/>
      </w:rPr>
    </w:lvl>
    <w:lvl w:ilvl="6" w:tplc="80606B3E" w:tentative="1">
      <w:start w:val="1"/>
      <w:numFmt w:val="bullet"/>
      <w:lvlText w:val=""/>
      <w:lvlPicBulletId w:val="0"/>
      <w:lvlJc w:val="left"/>
      <w:pPr>
        <w:tabs>
          <w:tab w:val="num" w:pos="5040"/>
        </w:tabs>
        <w:ind w:left="5040" w:hanging="360"/>
      </w:pPr>
      <w:rPr>
        <w:rFonts w:ascii="Symbol" w:hAnsi="Symbol" w:hint="default"/>
      </w:rPr>
    </w:lvl>
    <w:lvl w:ilvl="7" w:tplc="9B547E82" w:tentative="1">
      <w:start w:val="1"/>
      <w:numFmt w:val="bullet"/>
      <w:lvlText w:val=""/>
      <w:lvlPicBulletId w:val="0"/>
      <w:lvlJc w:val="left"/>
      <w:pPr>
        <w:tabs>
          <w:tab w:val="num" w:pos="5760"/>
        </w:tabs>
        <w:ind w:left="5760" w:hanging="360"/>
      </w:pPr>
      <w:rPr>
        <w:rFonts w:ascii="Symbol" w:hAnsi="Symbol" w:hint="default"/>
      </w:rPr>
    </w:lvl>
    <w:lvl w:ilvl="8" w:tplc="AD9002DA" w:tentative="1">
      <w:start w:val="1"/>
      <w:numFmt w:val="bullet"/>
      <w:lvlText w:val=""/>
      <w:lvlPicBulletId w:val="0"/>
      <w:lvlJc w:val="left"/>
      <w:pPr>
        <w:tabs>
          <w:tab w:val="num" w:pos="6480"/>
        </w:tabs>
        <w:ind w:left="6480" w:hanging="360"/>
      </w:pPr>
      <w:rPr>
        <w:rFonts w:ascii="Symbol" w:hAnsi="Symbol" w:hint="default"/>
      </w:rPr>
    </w:lvl>
  </w:abstractNum>
  <w:abstractNum w:abstractNumId="3">
    <w:nsid w:val="13B83B88"/>
    <w:multiLevelType w:val="hybridMultilevel"/>
    <w:tmpl w:val="2028FC90"/>
    <w:lvl w:ilvl="0" w:tplc="A3C68728">
      <w:start w:val="1"/>
      <w:numFmt w:val="bullet"/>
      <w:lvlText w:val=""/>
      <w:lvlPicBulletId w:val="0"/>
      <w:lvlJc w:val="left"/>
      <w:pPr>
        <w:tabs>
          <w:tab w:val="num" w:pos="720"/>
        </w:tabs>
        <w:ind w:left="720" w:hanging="360"/>
      </w:pPr>
      <w:rPr>
        <w:rFonts w:ascii="Symbol" w:hAnsi="Symbol" w:hint="default"/>
      </w:rPr>
    </w:lvl>
    <w:lvl w:ilvl="1" w:tplc="6C240F4E">
      <w:start w:val="743"/>
      <w:numFmt w:val="bullet"/>
      <w:lvlText w:val="–"/>
      <w:lvlJc w:val="left"/>
      <w:pPr>
        <w:tabs>
          <w:tab w:val="num" w:pos="1440"/>
        </w:tabs>
        <w:ind w:left="1440" w:hanging="360"/>
      </w:pPr>
      <w:rPr>
        <w:rFonts w:ascii="Times New Roman" w:hAnsi="Times New Roman" w:hint="default"/>
      </w:rPr>
    </w:lvl>
    <w:lvl w:ilvl="2" w:tplc="916EC302" w:tentative="1">
      <w:start w:val="1"/>
      <w:numFmt w:val="bullet"/>
      <w:lvlText w:val=""/>
      <w:lvlPicBulletId w:val="0"/>
      <w:lvlJc w:val="left"/>
      <w:pPr>
        <w:tabs>
          <w:tab w:val="num" w:pos="2160"/>
        </w:tabs>
        <w:ind w:left="2160" w:hanging="360"/>
      </w:pPr>
      <w:rPr>
        <w:rFonts w:ascii="Symbol" w:hAnsi="Symbol" w:hint="default"/>
      </w:rPr>
    </w:lvl>
    <w:lvl w:ilvl="3" w:tplc="BC1AB3CC" w:tentative="1">
      <w:start w:val="1"/>
      <w:numFmt w:val="bullet"/>
      <w:lvlText w:val=""/>
      <w:lvlPicBulletId w:val="0"/>
      <w:lvlJc w:val="left"/>
      <w:pPr>
        <w:tabs>
          <w:tab w:val="num" w:pos="2880"/>
        </w:tabs>
        <w:ind w:left="2880" w:hanging="360"/>
      </w:pPr>
      <w:rPr>
        <w:rFonts w:ascii="Symbol" w:hAnsi="Symbol" w:hint="default"/>
      </w:rPr>
    </w:lvl>
    <w:lvl w:ilvl="4" w:tplc="408ED872" w:tentative="1">
      <w:start w:val="1"/>
      <w:numFmt w:val="bullet"/>
      <w:lvlText w:val=""/>
      <w:lvlPicBulletId w:val="0"/>
      <w:lvlJc w:val="left"/>
      <w:pPr>
        <w:tabs>
          <w:tab w:val="num" w:pos="3600"/>
        </w:tabs>
        <w:ind w:left="3600" w:hanging="360"/>
      </w:pPr>
      <w:rPr>
        <w:rFonts w:ascii="Symbol" w:hAnsi="Symbol" w:hint="default"/>
      </w:rPr>
    </w:lvl>
    <w:lvl w:ilvl="5" w:tplc="083E7E52" w:tentative="1">
      <w:start w:val="1"/>
      <w:numFmt w:val="bullet"/>
      <w:lvlText w:val=""/>
      <w:lvlPicBulletId w:val="0"/>
      <w:lvlJc w:val="left"/>
      <w:pPr>
        <w:tabs>
          <w:tab w:val="num" w:pos="4320"/>
        </w:tabs>
        <w:ind w:left="4320" w:hanging="360"/>
      </w:pPr>
      <w:rPr>
        <w:rFonts w:ascii="Symbol" w:hAnsi="Symbol" w:hint="default"/>
      </w:rPr>
    </w:lvl>
    <w:lvl w:ilvl="6" w:tplc="8C623006" w:tentative="1">
      <w:start w:val="1"/>
      <w:numFmt w:val="bullet"/>
      <w:lvlText w:val=""/>
      <w:lvlPicBulletId w:val="0"/>
      <w:lvlJc w:val="left"/>
      <w:pPr>
        <w:tabs>
          <w:tab w:val="num" w:pos="5040"/>
        </w:tabs>
        <w:ind w:left="5040" w:hanging="360"/>
      </w:pPr>
      <w:rPr>
        <w:rFonts w:ascii="Symbol" w:hAnsi="Symbol" w:hint="default"/>
      </w:rPr>
    </w:lvl>
    <w:lvl w:ilvl="7" w:tplc="BA56FBA6" w:tentative="1">
      <w:start w:val="1"/>
      <w:numFmt w:val="bullet"/>
      <w:lvlText w:val=""/>
      <w:lvlPicBulletId w:val="0"/>
      <w:lvlJc w:val="left"/>
      <w:pPr>
        <w:tabs>
          <w:tab w:val="num" w:pos="5760"/>
        </w:tabs>
        <w:ind w:left="5760" w:hanging="360"/>
      </w:pPr>
      <w:rPr>
        <w:rFonts w:ascii="Symbol" w:hAnsi="Symbol" w:hint="default"/>
      </w:rPr>
    </w:lvl>
    <w:lvl w:ilvl="8" w:tplc="DA245448" w:tentative="1">
      <w:start w:val="1"/>
      <w:numFmt w:val="bullet"/>
      <w:lvlText w:val=""/>
      <w:lvlPicBulletId w:val="0"/>
      <w:lvlJc w:val="left"/>
      <w:pPr>
        <w:tabs>
          <w:tab w:val="num" w:pos="6480"/>
        </w:tabs>
        <w:ind w:left="6480" w:hanging="360"/>
      </w:pPr>
      <w:rPr>
        <w:rFonts w:ascii="Symbol" w:hAnsi="Symbol" w:hint="default"/>
      </w:rPr>
    </w:lvl>
  </w:abstractNum>
  <w:abstractNum w:abstractNumId="4">
    <w:nsid w:val="1934113F"/>
    <w:multiLevelType w:val="hybridMultilevel"/>
    <w:tmpl w:val="E6CE0794"/>
    <w:lvl w:ilvl="0" w:tplc="61B8488E">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E72A50"/>
    <w:multiLevelType w:val="hybridMultilevel"/>
    <w:tmpl w:val="EE1C6172"/>
    <w:lvl w:ilvl="0" w:tplc="52B08B98">
      <w:start w:val="1"/>
      <w:numFmt w:val="bullet"/>
      <w:pStyle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C9B2459"/>
    <w:multiLevelType w:val="hybridMultilevel"/>
    <w:tmpl w:val="4E4064EA"/>
    <w:lvl w:ilvl="0" w:tplc="F0AC96DC">
      <w:start w:val="1"/>
      <w:numFmt w:val="bullet"/>
      <w:lvlText w:val=""/>
      <w:lvlPicBulletId w:val="0"/>
      <w:lvlJc w:val="left"/>
      <w:pPr>
        <w:tabs>
          <w:tab w:val="num" w:pos="720"/>
        </w:tabs>
        <w:ind w:left="720" w:hanging="360"/>
      </w:pPr>
      <w:rPr>
        <w:rFonts w:ascii="Symbol" w:hAnsi="Symbol" w:hint="default"/>
      </w:rPr>
    </w:lvl>
    <w:lvl w:ilvl="1" w:tplc="F8765770">
      <w:start w:val="915"/>
      <w:numFmt w:val="bullet"/>
      <w:lvlText w:val="–"/>
      <w:lvlJc w:val="left"/>
      <w:pPr>
        <w:tabs>
          <w:tab w:val="num" w:pos="1440"/>
        </w:tabs>
        <w:ind w:left="1440" w:hanging="360"/>
      </w:pPr>
      <w:rPr>
        <w:rFonts w:ascii="Times New Roman" w:hAnsi="Times New Roman" w:hint="default"/>
      </w:rPr>
    </w:lvl>
    <w:lvl w:ilvl="2" w:tplc="E1DC3EC0">
      <w:start w:val="915"/>
      <w:numFmt w:val="bullet"/>
      <w:lvlText w:val="•"/>
      <w:lvlJc w:val="left"/>
      <w:pPr>
        <w:tabs>
          <w:tab w:val="num" w:pos="2160"/>
        </w:tabs>
        <w:ind w:left="2160" w:hanging="360"/>
      </w:pPr>
      <w:rPr>
        <w:rFonts w:ascii="Times New Roman" w:hAnsi="Times New Roman" w:hint="default"/>
      </w:rPr>
    </w:lvl>
    <w:lvl w:ilvl="3" w:tplc="A2448EDA" w:tentative="1">
      <w:start w:val="1"/>
      <w:numFmt w:val="bullet"/>
      <w:lvlText w:val=""/>
      <w:lvlPicBulletId w:val="0"/>
      <w:lvlJc w:val="left"/>
      <w:pPr>
        <w:tabs>
          <w:tab w:val="num" w:pos="2880"/>
        </w:tabs>
        <w:ind w:left="2880" w:hanging="360"/>
      </w:pPr>
      <w:rPr>
        <w:rFonts w:ascii="Symbol" w:hAnsi="Symbol" w:hint="default"/>
      </w:rPr>
    </w:lvl>
    <w:lvl w:ilvl="4" w:tplc="D38C2254" w:tentative="1">
      <w:start w:val="1"/>
      <w:numFmt w:val="bullet"/>
      <w:lvlText w:val=""/>
      <w:lvlPicBulletId w:val="0"/>
      <w:lvlJc w:val="left"/>
      <w:pPr>
        <w:tabs>
          <w:tab w:val="num" w:pos="3600"/>
        </w:tabs>
        <w:ind w:left="3600" w:hanging="360"/>
      </w:pPr>
      <w:rPr>
        <w:rFonts w:ascii="Symbol" w:hAnsi="Symbol" w:hint="default"/>
      </w:rPr>
    </w:lvl>
    <w:lvl w:ilvl="5" w:tplc="5780309A" w:tentative="1">
      <w:start w:val="1"/>
      <w:numFmt w:val="bullet"/>
      <w:lvlText w:val=""/>
      <w:lvlPicBulletId w:val="0"/>
      <w:lvlJc w:val="left"/>
      <w:pPr>
        <w:tabs>
          <w:tab w:val="num" w:pos="4320"/>
        </w:tabs>
        <w:ind w:left="4320" w:hanging="360"/>
      </w:pPr>
      <w:rPr>
        <w:rFonts w:ascii="Symbol" w:hAnsi="Symbol" w:hint="default"/>
      </w:rPr>
    </w:lvl>
    <w:lvl w:ilvl="6" w:tplc="0388B968" w:tentative="1">
      <w:start w:val="1"/>
      <w:numFmt w:val="bullet"/>
      <w:lvlText w:val=""/>
      <w:lvlPicBulletId w:val="0"/>
      <w:lvlJc w:val="left"/>
      <w:pPr>
        <w:tabs>
          <w:tab w:val="num" w:pos="5040"/>
        </w:tabs>
        <w:ind w:left="5040" w:hanging="360"/>
      </w:pPr>
      <w:rPr>
        <w:rFonts w:ascii="Symbol" w:hAnsi="Symbol" w:hint="default"/>
      </w:rPr>
    </w:lvl>
    <w:lvl w:ilvl="7" w:tplc="6CB84234" w:tentative="1">
      <w:start w:val="1"/>
      <w:numFmt w:val="bullet"/>
      <w:lvlText w:val=""/>
      <w:lvlPicBulletId w:val="0"/>
      <w:lvlJc w:val="left"/>
      <w:pPr>
        <w:tabs>
          <w:tab w:val="num" w:pos="5760"/>
        </w:tabs>
        <w:ind w:left="5760" w:hanging="360"/>
      </w:pPr>
      <w:rPr>
        <w:rFonts w:ascii="Symbol" w:hAnsi="Symbol" w:hint="default"/>
      </w:rPr>
    </w:lvl>
    <w:lvl w:ilvl="8" w:tplc="40E84E64" w:tentative="1">
      <w:start w:val="1"/>
      <w:numFmt w:val="bullet"/>
      <w:lvlText w:val=""/>
      <w:lvlPicBulletId w:val="0"/>
      <w:lvlJc w:val="left"/>
      <w:pPr>
        <w:tabs>
          <w:tab w:val="num" w:pos="6480"/>
        </w:tabs>
        <w:ind w:left="6480" w:hanging="360"/>
      </w:pPr>
      <w:rPr>
        <w:rFonts w:ascii="Symbol" w:hAnsi="Symbol" w:hint="default"/>
      </w:rPr>
    </w:lvl>
  </w:abstractNum>
  <w:abstractNum w:abstractNumId="7">
    <w:nsid w:val="345C6D26"/>
    <w:multiLevelType w:val="hybridMultilevel"/>
    <w:tmpl w:val="59B4A4FC"/>
    <w:lvl w:ilvl="0" w:tplc="FA5EA4B2">
      <w:start w:val="1"/>
      <w:numFmt w:val="bullet"/>
      <w:lvlText w:val=""/>
      <w:lvlPicBulletId w:val="0"/>
      <w:lvlJc w:val="left"/>
      <w:pPr>
        <w:tabs>
          <w:tab w:val="num" w:pos="720"/>
        </w:tabs>
        <w:ind w:left="720" w:hanging="360"/>
      </w:pPr>
      <w:rPr>
        <w:rFonts w:ascii="Symbol" w:hAnsi="Symbol" w:hint="default"/>
      </w:rPr>
    </w:lvl>
    <w:lvl w:ilvl="1" w:tplc="D79E73F2">
      <w:start w:val="989"/>
      <w:numFmt w:val="bullet"/>
      <w:lvlText w:val="–"/>
      <w:lvlJc w:val="left"/>
      <w:pPr>
        <w:tabs>
          <w:tab w:val="num" w:pos="1440"/>
        </w:tabs>
        <w:ind w:left="1440" w:hanging="360"/>
      </w:pPr>
      <w:rPr>
        <w:rFonts w:ascii="Times New Roman" w:hAnsi="Times New Roman" w:hint="default"/>
      </w:rPr>
    </w:lvl>
    <w:lvl w:ilvl="2" w:tplc="92181460">
      <w:start w:val="989"/>
      <w:numFmt w:val="bullet"/>
      <w:lvlText w:val="•"/>
      <w:lvlJc w:val="left"/>
      <w:pPr>
        <w:tabs>
          <w:tab w:val="num" w:pos="2160"/>
        </w:tabs>
        <w:ind w:left="2160" w:hanging="360"/>
      </w:pPr>
      <w:rPr>
        <w:rFonts w:ascii="Times New Roman" w:hAnsi="Times New Roman" w:hint="default"/>
      </w:rPr>
    </w:lvl>
    <w:lvl w:ilvl="3" w:tplc="218A0278" w:tentative="1">
      <w:start w:val="1"/>
      <w:numFmt w:val="bullet"/>
      <w:lvlText w:val=""/>
      <w:lvlPicBulletId w:val="0"/>
      <w:lvlJc w:val="left"/>
      <w:pPr>
        <w:tabs>
          <w:tab w:val="num" w:pos="2880"/>
        </w:tabs>
        <w:ind w:left="2880" w:hanging="360"/>
      </w:pPr>
      <w:rPr>
        <w:rFonts w:ascii="Symbol" w:hAnsi="Symbol" w:hint="default"/>
      </w:rPr>
    </w:lvl>
    <w:lvl w:ilvl="4" w:tplc="01346730" w:tentative="1">
      <w:start w:val="1"/>
      <w:numFmt w:val="bullet"/>
      <w:lvlText w:val=""/>
      <w:lvlPicBulletId w:val="0"/>
      <w:lvlJc w:val="left"/>
      <w:pPr>
        <w:tabs>
          <w:tab w:val="num" w:pos="3600"/>
        </w:tabs>
        <w:ind w:left="3600" w:hanging="360"/>
      </w:pPr>
      <w:rPr>
        <w:rFonts w:ascii="Symbol" w:hAnsi="Symbol" w:hint="default"/>
      </w:rPr>
    </w:lvl>
    <w:lvl w:ilvl="5" w:tplc="31BA3A82" w:tentative="1">
      <w:start w:val="1"/>
      <w:numFmt w:val="bullet"/>
      <w:lvlText w:val=""/>
      <w:lvlPicBulletId w:val="0"/>
      <w:lvlJc w:val="left"/>
      <w:pPr>
        <w:tabs>
          <w:tab w:val="num" w:pos="4320"/>
        </w:tabs>
        <w:ind w:left="4320" w:hanging="360"/>
      </w:pPr>
      <w:rPr>
        <w:rFonts w:ascii="Symbol" w:hAnsi="Symbol" w:hint="default"/>
      </w:rPr>
    </w:lvl>
    <w:lvl w:ilvl="6" w:tplc="F00476D2" w:tentative="1">
      <w:start w:val="1"/>
      <w:numFmt w:val="bullet"/>
      <w:lvlText w:val=""/>
      <w:lvlPicBulletId w:val="0"/>
      <w:lvlJc w:val="left"/>
      <w:pPr>
        <w:tabs>
          <w:tab w:val="num" w:pos="5040"/>
        </w:tabs>
        <w:ind w:left="5040" w:hanging="360"/>
      </w:pPr>
      <w:rPr>
        <w:rFonts w:ascii="Symbol" w:hAnsi="Symbol" w:hint="default"/>
      </w:rPr>
    </w:lvl>
    <w:lvl w:ilvl="7" w:tplc="D3481D22" w:tentative="1">
      <w:start w:val="1"/>
      <w:numFmt w:val="bullet"/>
      <w:lvlText w:val=""/>
      <w:lvlPicBulletId w:val="0"/>
      <w:lvlJc w:val="left"/>
      <w:pPr>
        <w:tabs>
          <w:tab w:val="num" w:pos="5760"/>
        </w:tabs>
        <w:ind w:left="5760" w:hanging="360"/>
      </w:pPr>
      <w:rPr>
        <w:rFonts w:ascii="Symbol" w:hAnsi="Symbol" w:hint="default"/>
      </w:rPr>
    </w:lvl>
    <w:lvl w:ilvl="8" w:tplc="0016BC1E" w:tentative="1">
      <w:start w:val="1"/>
      <w:numFmt w:val="bullet"/>
      <w:lvlText w:val=""/>
      <w:lvlPicBulletId w:val="0"/>
      <w:lvlJc w:val="left"/>
      <w:pPr>
        <w:tabs>
          <w:tab w:val="num" w:pos="6480"/>
        </w:tabs>
        <w:ind w:left="6480" w:hanging="360"/>
      </w:pPr>
      <w:rPr>
        <w:rFonts w:ascii="Symbol" w:hAnsi="Symbol" w:hint="default"/>
      </w:rPr>
    </w:lvl>
  </w:abstractNum>
  <w:abstractNum w:abstractNumId="8">
    <w:nsid w:val="39E425C5"/>
    <w:multiLevelType w:val="hybridMultilevel"/>
    <w:tmpl w:val="6BDAF420"/>
    <w:lvl w:ilvl="0" w:tplc="1E340F40">
      <w:start w:val="1"/>
      <w:numFmt w:val="bullet"/>
      <w:lvlText w:val="-"/>
      <w:lvlJc w:val="left"/>
      <w:pPr>
        <w:tabs>
          <w:tab w:val="num" w:pos="720"/>
        </w:tabs>
        <w:ind w:left="720" w:hanging="360"/>
      </w:pPr>
      <w:rPr>
        <w:rFonts w:ascii="Times New Roman" w:hAnsi="Times New Roman" w:hint="default"/>
      </w:rPr>
    </w:lvl>
    <w:lvl w:ilvl="1" w:tplc="4A9CB84E">
      <w:start w:val="918"/>
      <w:numFmt w:val="bullet"/>
      <w:lvlText w:val="-"/>
      <w:lvlJc w:val="left"/>
      <w:pPr>
        <w:tabs>
          <w:tab w:val="num" w:pos="1440"/>
        </w:tabs>
        <w:ind w:left="1440" w:hanging="360"/>
      </w:pPr>
      <w:rPr>
        <w:rFonts w:ascii="Times New Roman" w:hAnsi="Times New Roman" w:hint="default"/>
      </w:rPr>
    </w:lvl>
    <w:lvl w:ilvl="2" w:tplc="110C3F9E" w:tentative="1">
      <w:start w:val="1"/>
      <w:numFmt w:val="bullet"/>
      <w:lvlText w:val="-"/>
      <w:lvlJc w:val="left"/>
      <w:pPr>
        <w:tabs>
          <w:tab w:val="num" w:pos="2160"/>
        </w:tabs>
        <w:ind w:left="2160" w:hanging="360"/>
      </w:pPr>
      <w:rPr>
        <w:rFonts w:ascii="Times New Roman" w:hAnsi="Times New Roman" w:hint="default"/>
      </w:rPr>
    </w:lvl>
    <w:lvl w:ilvl="3" w:tplc="E902993A" w:tentative="1">
      <w:start w:val="1"/>
      <w:numFmt w:val="bullet"/>
      <w:lvlText w:val="-"/>
      <w:lvlJc w:val="left"/>
      <w:pPr>
        <w:tabs>
          <w:tab w:val="num" w:pos="2880"/>
        </w:tabs>
        <w:ind w:left="2880" w:hanging="360"/>
      </w:pPr>
      <w:rPr>
        <w:rFonts w:ascii="Times New Roman" w:hAnsi="Times New Roman" w:hint="default"/>
      </w:rPr>
    </w:lvl>
    <w:lvl w:ilvl="4" w:tplc="C63EB1BC" w:tentative="1">
      <w:start w:val="1"/>
      <w:numFmt w:val="bullet"/>
      <w:lvlText w:val="-"/>
      <w:lvlJc w:val="left"/>
      <w:pPr>
        <w:tabs>
          <w:tab w:val="num" w:pos="3600"/>
        </w:tabs>
        <w:ind w:left="3600" w:hanging="360"/>
      </w:pPr>
      <w:rPr>
        <w:rFonts w:ascii="Times New Roman" w:hAnsi="Times New Roman" w:hint="default"/>
      </w:rPr>
    </w:lvl>
    <w:lvl w:ilvl="5" w:tplc="0AD00DC4" w:tentative="1">
      <w:start w:val="1"/>
      <w:numFmt w:val="bullet"/>
      <w:lvlText w:val="-"/>
      <w:lvlJc w:val="left"/>
      <w:pPr>
        <w:tabs>
          <w:tab w:val="num" w:pos="4320"/>
        </w:tabs>
        <w:ind w:left="4320" w:hanging="360"/>
      </w:pPr>
      <w:rPr>
        <w:rFonts w:ascii="Times New Roman" w:hAnsi="Times New Roman" w:hint="default"/>
      </w:rPr>
    </w:lvl>
    <w:lvl w:ilvl="6" w:tplc="75C44742" w:tentative="1">
      <w:start w:val="1"/>
      <w:numFmt w:val="bullet"/>
      <w:lvlText w:val="-"/>
      <w:lvlJc w:val="left"/>
      <w:pPr>
        <w:tabs>
          <w:tab w:val="num" w:pos="5040"/>
        </w:tabs>
        <w:ind w:left="5040" w:hanging="360"/>
      </w:pPr>
      <w:rPr>
        <w:rFonts w:ascii="Times New Roman" w:hAnsi="Times New Roman" w:hint="default"/>
      </w:rPr>
    </w:lvl>
    <w:lvl w:ilvl="7" w:tplc="45AE922A" w:tentative="1">
      <w:start w:val="1"/>
      <w:numFmt w:val="bullet"/>
      <w:lvlText w:val="-"/>
      <w:lvlJc w:val="left"/>
      <w:pPr>
        <w:tabs>
          <w:tab w:val="num" w:pos="5760"/>
        </w:tabs>
        <w:ind w:left="5760" w:hanging="360"/>
      </w:pPr>
      <w:rPr>
        <w:rFonts w:ascii="Times New Roman" w:hAnsi="Times New Roman" w:hint="default"/>
      </w:rPr>
    </w:lvl>
    <w:lvl w:ilvl="8" w:tplc="D244FDB0" w:tentative="1">
      <w:start w:val="1"/>
      <w:numFmt w:val="bullet"/>
      <w:lvlText w:val="-"/>
      <w:lvlJc w:val="left"/>
      <w:pPr>
        <w:tabs>
          <w:tab w:val="num" w:pos="6480"/>
        </w:tabs>
        <w:ind w:left="6480" w:hanging="360"/>
      </w:pPr>
      <w:rPr>
        <w:rFonts w:ascii="Times New Roman" w:hAnsi="Times New Roman" w:hint="default"/>
      </w:rPr>
    </w:lvl>
  </w:abstractNum>
  <w:abstractNum w:abstractNumId="9">
    <w:nsid w:val="416C1138"/>
    <w:multiLevelType w:val="hybridMultilevel"/>
    <w:tmpl w:val="6852910C"/>
    <w:lvl w:ilvl="0" w:tplc="2766DF70">
      <w:start w:val="1"/>
      <w:numFmt w:val="bullet"/>
      <w:lvlText w:val=""/>
      <w:lvlPicBulletId w:val="0"/>
      <w:lvlJc w:val="left"/>
      <w:pPr>
        <w:tabs>
          <w:tab w:val="num" w:pos="720"/>
        </w:tabs>
        <w:ind w:left="720" w:hanging="360"/>
      </w:pPr>
      <w:rPr>
        <w:rFonts w:ascii="Symbol" w:hAnsi="Symbol" w:hint="default"/>
      </w:rPr>
    </w:lvl>
    <w:lvl w:ilvl="1" w:tplc="7964919E">
      <w:start w:val="989"/>
      <w:numFmt w:val="bullet"/>
      <w:lvlText w:val="–"/>
      <w:lvlJc w:val="left"/>
      <w:pPr>
        <w:tabs>
          <w:tab w:val="num" w:pos="1440"/>
        </w:tabs>
        <w:ind w:left="1440" w:hanging="360"/>
      </w:pPr>
      <w:rPr>
        <w:rFonts w:ascii="Times New Roman" w:hAnsi="Times New Roman" w:hint="default"/>
      </w:rPr>
    </w:lvl>
    <w:lvl w:ilvl="2" w:tplc="F70C1022">
      <w:start w:val="989"/>
      <w:numFmt w:val="bullet"/>
      <w:lvlText w:val="•"/>
      <w:lvlJc w:val="left"/>
      <w:pPr>
        <w:tabs>
          <w:tab w:val="num" w:pos="2160"/>
        </w:tabs>
        <w:ind w:left="2160" w:hanging="360"/>
      </w:pPr>
      <w:rPr>
        <w:rFonts w:ascii="Times New Roman" w:hAnsi="Times New Roman" w:hint="default"/>
      </w:rPr>
    </w:lvl>
    <w:lvl w:ilvl="3" w:tplc="4204F618" w:tentative="1">
      <w:start w:val="1"/>
      <w:numFmt w:val="bullet"/>
      <w:lvlText w:val=""/>
      <w:lvlPicBulletId w:val="0"/>
      <w:lvlJc w:val="left"/>
      <w:pPr>
        <w:tabs>
          <w:tab w:val="num" w:pos="2880"/>
        </w:tabs>
        <w:ind w:left="2880" w:hanging="360"/>
      </w:pPr>
      <w:rPr>
        <w:rFonts w:ascii="Symbol" w:hAnsi="Symbol" w:hint="default"/>
      </w:rPr>
    </w:lvl>
    <w:lvl w:ilvl="4" w:tplc="A9E08E50" w:tentative="1">
      <w:start w:val="1"/>
      <w:numFmt w:val="bullet"/>
      <w:lvlText w:val=""/>
      <w:lvlPicBulletId w:val="0"/>
      <w:lvlJc w:val="left"/>
      <w:pPr>
        <w:tabs>
          <w:tab w:val="num" w:pos="3600"/>
        </w:tabs>
        <w:ind w:left="3600" w:hanging="360"/>
      </w:pPr>
      <w:rPr>
        <w:rFonts w:ascii="Symbol" w:hAnsi="Symbol" w:hint="default"/>
      </w:rPr>
    </w:lvl>
    <w:lvl w:ilvl="5" w:tplc="0E9CCC52" w:tentative="1">
      <w:start w:val="1"/>
      <w:numFmt w:val="bullet"/>
      <w:lvlText w:val=""/>
      <w:lvlPicBulletId w:val="0"/>
      <w:lvlJc w:val="left"/>
      <w:pPr>
        <w:tabs>
          <w:tab w:val="num" w:pos="4320"/>
        </w:tabs>
        <w:ind w:left="4320" w:hanging="360"/>
      </w:pPr>
      <w:rPr>
        <w:rFonts w:ascii="Symbol" w:hAnsi="Symbol" w:hint="default"/>
      </w:rPr>
    </w:lvl>
    <w:lvl w:ilvl="6" w:tplc="F48C5EFE" w:tentative="1">
      <w:start w:val="1"/>
      <w:numFmt w:val="bullet"/>
      <w:lvlText w:val=""/>
      <w:lvlPicBulletId w:val="0"/>
      <w:lvlJc w:val="left"/>
      <w:pPr>
        <w:tabs>
          <w:tab w:val="num" w:pos="5040"/>
        </w:tabs>
        <w:ind w:left="5040" w:hanging="360"/>
      </w:pPr>
      <w:rPr>
        <w:rFonts w:ascii="Symbol" w:hAnsi="Symbol" w:hint="default"/>
      </w:rPr>
    </w:lvl>
    <w:lvl w:ilvl="7" w:tplc="CF2C4E36" w:tentative="1">
      <w:start w:val="1"/>
      <w:numFmt w:val="bullet"/>
      <w:lvlText w:val=""/>
      <w:lvlPicBulletId w:val="0"/>
      <w:lvlJc w:val="left"/>
      <w:pPr>
        <w:tabs>
          <w:tab w:val="num" w:pos="5760"/>
        </w:tabs>
        <w:ind w:left="5760" w:hanging="360"/>
      </w:pPr>
      <w:rPr>
        <w:rFonts w:ascii="Symbol" w:hAnsi="Symbol" w:hint="default"/>
      </w:rPr>
    </w:lvl>
    <w:lvl w:ilvl="8" w:tplc="EBE8D336" w:tentative="1">
      <w:start w:val="1"/>
      <w:numFmt w:val="bullet"/>
      <w:lvlText w:val=""/>
      <w:lvlPicBulletId w:val="0"/>
      <w:lvlJc w:val="left"/>
      <w:pPr>
        <w:tabs>
          <w:tab w:val="num" w:pos="6480"/>
        </w:tabs>
        <w:ind w:left="6480" w:hanging="360"/>
      </w:pPr>
      <w:rPr>
        <w:rFonts w:ascii="Symbol" w:hAnsi="Symbol" w:hint="default"/>
      </w:rPr>
    </w:lvl>
  </w:abstractNum>
  <w:abstractNum w:abstractNumId="10">
    <w:nsid w:val="5124251C"/>
    <w:multiLevelType w:val="hybridMultilevel"/>
    <w:tmpl w:val="B838CAFE"/>
    <w:lvl w:ilvl="0" w:tplc="0AA0132E">
      <w:start w:val="1"/>
      <w:numFmt w:val="bullet"/>
      <w:lvlText w:val=""/>
      <w:lvlPicBulletId w:val="0"/>
      <w:lvlJc w:val="left"/>
      <w:pPr>
        <w:tabs>
          <w:tab w:val="num" w:pos="720"/>
        </w:tabs>
        <w:ind w:left="720" w:hanging="360"/>
      </w:pPr>
      <w:rPr>
        <w:rFonts w:ascii="Symbol" w:hAnsi="Symbol" w:hint="default"/>
      </w:rPr>
    </w:lvl>
    <w:lvl w:ilvl="1" w:tplc="512EB044">
      <w:start w:val="743"/>
      <w:numFmt w:val="bullet"/>
      <w:lvlText w:val="–"/>
      <w:lvlJc w:val="left"/>
      <w:pPr>
        <w:tabs>
          <w:tab w:val="num" w:pos="1440"/>
        </w:tabs>
        <w:ind w:left="1440" w:hanging="360"/>
      </w:pPr>
      <w:rPr>
        <w:rFonts w:ascii="Times New Roman" w:hAnsi="Times New Roman" w:hint="default"/>
      </w:rPr>
    </w:lvl>
    <w:lvl w:ilvl="2" w:tplc="A89CE72C">
      <w:start w:val="743"/>
      <w:numFmt w:val="bullet"/>
      <w:lvlText w:val="•"/>
      <w:lvlJc w:val="left"/>
      <w:pPr>
        <w:tabs>
          <w:tab w:val="num" w:pos="2160"/>
        </w:tabs>
        <w:ind w:left="2160" w:hanging="360"/>
      </w:pPr>
      <w:rPr>
        <w:rFonts w:ascii="Times New Roman" w:hAnsi="Times New Roman" w:hint="default"/>
      </w:rPr>
    </w:lvl>
    <w:lvl w:ilvl="3" w:tplc="32DA1AA6" w:tentative="1">
      <w:start w:val="1"/>
      <w:numFmt w:val="bullet"/>
      <w:lvlText w:val=""/>
      <w:lvlPicBulletId w:val="0"/>
      <w:lvlJc w:val="left"/>
      <w:pPr>
        <w:tabs>
          <w:tab w:val="num" w:pos="2880"/>
        </w:tabs>
        <w:ind w:left="2880" w:hanging="360"/>
      </w:pPr>
      <w:rPr>
        <w:rFonts w:ascii="Symbol" w:hAnsi="Symbol" w:hint="default"/>
      </w:rPr>
    </w:lvl>
    <w:lvl w:ilvl="4" w:tplc="9446EBC0" w:tentative="1">
      <w:start w:val="1"/>
      <w:numFmt w:val="bullet"/>
      <w:lvlText w:val=""/>
      <w:lvlPicBulletId w:val="0"/>
      <w:lvlJc w:val="left"/>
      <w:pPr>
        <w:tabs>
          <w:tab w:val="num" w:pos="3600"/>
        </w:tabs>
        <w:ind w:left="3600" w:hanging="360"/>
      </w:pPr>
      <w:rPr>
        <w:rFonts w:ascii="Symbol" w:hAnsi="Symbol" w:hint="default"/>
      </w:rPr>
    </w:lvl>
    <w:lvl w:ilvl="5" w:tplc="D48EF25A" w:tentative="1">
      <w:start w:val="1"/>
      <w:numFmt w:val="bullet"/>
      <w:lvlText w:val=""/>
      <w:lvlPicBulletId w:val="0"/>
      <w:lvlJc w:val="left"/>
      <w:pPr>
        <w:tabs>
          <w:tab w:val="num" w:pos="4320"/>
        </w:tabs>
        <w:ind w:left="4320" w:hanging="360"/>
      </w:pPr>
      <w:rPr>
        <w:rFonts w:ascii="Symbol" w:hAnsi="Symbol" w:hint="default"/>
      </w:rPr>
    </w:lvl>
    <w:lvl w:ilvl="6" w:tplc="1B4C7730" w:tentative="1">
      <w:start w:val="1"/>
      <w:numFmt w:val="bullet"/>
      <w:lvlText w:val=""/>
      <w:lvlPicBulletId w:val="0"/>
      <w:lvlJc w:val="left"/>
      <w:pPr>
        <w:tabs>
          <w:tab w:val="num" w:pos="5040"/>
        </w:tabs>
        <w:ind w:left="5040" w:hanging="360"/>
      </w:pPr>
      <w:rPr>
        <w:rFonts w:ascii="Symbol" w:hAnsi="Symbol" w:hint="default"/>
      </w:rPr>
    </w:lvl>
    <w:lvl w:ilvl="7" w:tplc="D04EB4E0" w:tentative="1">
      <w:start w:val="1"/>
      <w:numFmt w:val="bullet"/>
      <w:lvlText w:val=""/>
      <w:lvlPicBulletId w:val="0"/>
      <w:lvlJc w:val="left"/>
      <w:pPr>
        <w:tabs>
          <w:tab w:val="num" w:pos="5760"/>
        </w:tabs>
        <w:ind w:left="5760" w:hanging="360"/>
      </w:pPr>
      <w:rPr>
        <w:rFonts w:ascii="Symbol" w:hAnsi="Symbol" w:hint="default"/>
      </w:rPr>
    </w:lvl>
    <w:lvl w:ilvl="8" w:tplc="9AEA9546" w:tentative="1">
      <w:start w:val="1"/>
      <w:numFmt w:val="bullet"/>
      <w:lvlText w:val=""/>
      <w:lvlPicBulletId w:val="0"/>
      <w:lvlJc w:val="left"/>
      <w:pPr>
        <w:tabs>
          <w:tab w:val="num" w:pos="6480"/>
        </w:tabs>
        <w:ind w:left="6480" w:hanging="360"/>
      </w:pPr>
      <w:rPr>
        <w:rFonts w:ascii="Symbol" w:hAnsi="Symbol" w:hint="default"/>
      </w:rPr>
    </w:lvl>
  </w:abstractNum>
  <w:abstractNum w:abstractNumId="11">
    <w:nsid w:val="54504F9E"/>
    <w:multiLevelType w:val="hybridMultilevel"/>
    <w:tmpl w:val="44421128"/>
    <w:lvl w:ilvl="0" w:tplc="6EECD042">
      <w:start w:val="1"/>
      <w:numFmt w:val="bullet"/>
      <w:lvlText w:val=""/>
      <w:lvlPicBulletId w:val="0"/>
      <w:lvlJc w:val="left"/>
      <w:pPr>
        <w:tabs>
          <w:tab w:val="num" w:pos="720"/>
        </w:tabs>
        <w:ind w:left="720" w:hanging="360"/>
      </w:pPr>
      <w:rPr>
        <w:rFonts w:ascii="Symbol" w:hAnsi="Symbol" w:hint="default"/>
      </w:rPr>
    </w:lvl>
    <w:lvl w:ilvl="1" w:tplc="2F3A0D08" w:tentative="1">
      <w:start w:val="1"/>
      <w:numFmt w:val="bullet"/>
      <w:lvlText w:val=""/>
      <w:lvlPicBulletId w:val="0"/>
      <w:lvlJc w:val="left"/>
      <w:pPr>
        <w:tabs>
          <w:tab w:val="num" w:pos="1440"/>
        </w:tabs>
        <w:ind w:left="1440" w:hanging="360"/>
      </w:pPr>
      <w:rPr>
        <w:rFonts w:ascii="Symbol" w:hAnsi="Symbol" w:hint="default"/>
      </w:rPr>
    </w:lvl>
    <w:lvl w:ilvl="2" w:tplc="42A4030C" w:tentative="1">
      <w:start w:val="1"/>
      <w:numFmt w:val="bullet"/>
      <w:lvlText w:val=""/>
      <w:lvlPicBulletId w:val="0"/>
      <w:lvlJc w:val="left"/>
      <w:pPr>
        <w:tabs>
          <w:tab w:val="num" w:pos="2160"/>
        </w:tabs>
        <w:ind w:left="2160" w:hanging="360"/>
      </w:pPr>
      <w:rPr>
        <w:rFonts w:ascii="Symbol" w:hAnsi="Symbol" w:hint="default"/>
      </w:rPr>
    </w:lvl>
    <w:lvl w:ilvl="3" w:tplc="59209A70" w:tentative="1">
      <w:start w:val="1"/>
      <w:numFmt w:val="bullet"/>
      <w:lvlText w:val=""/>
      <w:lvlPicBulletId w:val="0"/>
      <w:lvlJc w:val="left"/>
      <w:pPr>
        <w:tabs>
          <w:tab w:val="num" w:pos="2880"/>
        </w:tabs>
        <w:ind w:left="2880" w:hanging="360"/>
      </w:pPr>
      <w:rPr>
        <w:rFonts w:ascii="Symbol" w:hAnsi="Symbol" w:hint="default"/>
      </w:rPr>
    </w:lvl>
    <w:lvl w:ilvl="4" w:tplc="305E0AF8" w:tentative="1">
      <w:start w:val="1"/>
      <w:numFmt w:val="bullet"/>
      <w:lvlText w:val=""/>
      <w:lvlPicBulletId w:val="0"/>
      <w:lvlJc w:val="left"/>
      <w:pPr>
        <w:tabs>
          <w:tab w:val="num" w:pos="3600"/>
        </w:tabs>
        <w:ind w:left="3600" w:hanging="360"/>
      </w:pPr>
      <w:rPr>
        <w:rFonts w:ascii="Symbol" w:hAnsi="Symbol" w:hint="default"/>
      </w:rPr>
    </w:lvl>
    <w:lvl w:ilvl="5" w:tplc="327C306E" w:tentative="1">
      <w:start w:val="1"/>
      <w:numFmt w:val="bullet"/>
      <w:lvlText w:val=""/>
      <w:lvlPicBulletId w:val="0"/>
      <w:lvlJc w:val="left"/>
      <w:pPr>
        <w:tabs>
          <w:tab w:val="num" w:pos="4320"/>
        </w:tabs>
        <w:ind w:left="4320" w:hanging="360"/>
      </w:pPr>
      <w:rPr>
        <w:rFonts w:ascii="Symbol" w:hAnsi="Symbol" w:hint="default"/>
      </w:rPr>
    </w:lvl>
    <w:lvl w:ilvl="6" w:tplc="40EAE27E" w:tentative="1">
      <w:start w:val="1"/>
      <w:numFmt w:val="bullet"/>
      <w:lvlText w:val=""/>
      <w:lvlPicBulletId w:val="0"/>
      <w:lvlJc w:val="left"/>
      <w:pPr>
        <w:tabs>
          <w:tab w:val="num" w:pos="5040"/>
        </w:tabs>
        <w:ind w:left="5040" w:hanging="360"/>
      </w:pPr>
      <w:rPr>
        <w:rFonts w:ascii="Symbol" w:hAnsi="Symbol" w:hint="default"/>
      </w:rPr>
    </w:lvl>
    <w:lvl w:ilvl="7" w:tplc="BFEA0FC8" w:tentative="1">
      <w:start w:val="1"/>
      <w:numFmt w:val="bullet"/>
      <w:lvlText w:val=""/>
      <w:lvlPicBulletId w:val="0"/>
      <w:lvlJc w:val="left"/>
      <w:pPr>
        <w:tabs>
          <w:tab w:val="num" w:pos="5760"/>
        </w:tabs>
        <w:ind w:left="5760" w:hanging="360"/>
      </w:pPr>
      <w:rPr>
        <w:rFonts w:ascii="Symbol" w:hAnsi="Symbol" w:hint="default"/>
      </w:rPr>
    </w:lvl>
    <w:lvl w:ilvl="8" w:tplc="EEDC05DC" w:tentative="1">
      <w:start w:val="1"/>
      <w:numFmt w:val="bullet"/>
      <w:lvlText w:val=""/>
      <w:lvlPicBulletId w:val="0"/>
      <w:lvlJc w:val="left"/>
      <w:pPr>
        <w:tabs>
          <w:tab w:val="num" w:pos="6480"/>
        </w:tabs>
        <w:ind w:left="6480" w:hanging="360"/>
      </w:pPr>
      <w:rPr>
        <w:rFonts w:ascii="Symbol" w:hAnsi="Symbol" w:hint="default"/>
      </w:rPr>
    </w:lvl>
  </w:abstractNum>
  <w:abstractNum w:abstractNumId="12">
    <w:nsid w:val="6A5348D8"/>
    <w:multiLevelType w:val="hybridMultilevel"/>
    <w:tmpl w:val="05B43374"/>
    <w:lvl w:ilvl="0" w:tplc="1A8CADB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D9347A"/>
    <w:multiLevelType w:val="hybridMultilevel"/>
    <w:tmpl w:val="C2CA31D2"/>
    <w:lvl w:ilvl="0" w:tplc="D5825370">
      <w:start w:val="1"/>
      <w:numFmt w:val="bullet"/>
      <w:lvlText w:val="-"/>
      <w:lvlJc w:val="left"/>
      <w:pPr>
        <w:tabs>
          <w:tab w:val="num" w:pos="720"/>
        </w:tabs>
        <w:ind w:left="720" w:hanging="360"/>
      </w:pPr>
      <w:rPr>
        <w:rFonts w:ascii="Times New Roman" w:hAnsi="Times New Roman" w:hint="default"/>
      </w:rPr>
    </w:lvl>
    <w:lvl w:ilvl="1" w:tplc="75BC42DE" w:tentative="1">
      <w:start w:val="1"/>
      <w:numFmt w:val="bullet"/>
      <w:lvlText w:val="-"/>
      <w:lvlJc w:val="left"/>
      <w:pPr>
        <w:tabs>
          <w:tab w:val="num" w:pos="1440"/>
        </w:tabs>
        <w:ind w:left="1440" w:hanging="360"/>
      </w:pPr>
      <w:rPr>
        <w:rFonts w:ascii="Times New Roman" w:hAnsi="Times New Roman" w:hint="default"/>
      </w:rPr>
    </w:lvl>
    <w:lvl w:ilvl="2" w:tplc="8FFE8330" w:tentative="1">
      <w:start w:val="1"/>
      <w:numFmt w:val="bullet"/>
      <w:lvlText w:val="-"/>
      <w:lvlJc w:val="left"/>
      <w:pPr>
        <w:tabs>
          <w:tab w:val="num" w:pos="2160"/>
        </w:tabs>
        <w:ind w:left="2160" w:hanging="360"/>
      </w:pPr>
      <w:rPr>
        <w:rFonts w:ascii="Times New Roman" w:hAnsi="Times New Roman" w:hint="default"/>
      </w:rPr>
    </w:lvl>
    <w:lvl w:ilvl="3" w:tplc="57468AFA" w:tentative="1">
      <w:start w:val="1"/>
      <w:numFmt w:val="bullet"/>
      <w:lvlText w:val="-"/>
      <w:lvlJc w:val="left"/>
      <w:pPr>
        <w:tabs>
          <w:tab w:val="num" w:pos="2880"/>
        </w:tabs>
        <w:ind w:left="2880" w:hanging="360"/>
      </w:pPr>
      <w:rPr>
        <w:rFonts w:ascii="Times New Roman" w:hAnsi="Times New Roman" w:hint="default"/>
      </w:rPr>
    </w:lvl>
    <w:lvl w:ilvl="4" w:tplc="13D63B42" w:tentative="1">
      <w:start w:val="1"/>
      <w:numFmt w:val="bullet"/>
      <w:lvlText w:val="-"/>
      <w:lvlJc w:val="left"/>
      <w:pPr>
        <w:tabs>
          <w:tab w:val="num" w:pos="3600"/>
        </w:tabs>
        <w:ind w:left="3600" w:hanging="360"/>
      </w:pPr>
      <w:rPr>
        <w:rFonts w:ascii="Times New Roman" w:hAnsi="Times New Roman" w:hint="default"/>
      </w:rPr>
    </w:lvl>
    <w:lvl w:ilvl="5" w:tplc="B57CCFD4" w:tentative="1">
      <w:start w:val="1"/>
      <w:numFmt w:val="bullet"/>
      <w:lvlText w:val="-"/>
      <w:lvlJc w:val="left"/>
      <w:pPr>
        <w:tabs>
          <w:tab w:val="num" w:pos="4320"/>
        </w:tabs>
        <w:ind w:left="4320" w:hanging="360"/>
      </w:pPr>
      <w:rPr>
        <w:rFonts w:ascii="Times New Roman" w:hAnsi="Times New Roman" w:hint="default"/>
      </w:rPr>
    </w:lvl>
    <w:lvl w:ilvl="6" w:tplc="A3B61692" w:tentative="1">
      <w:start w:val="1"/>
      <w:numFmt w:val="bullet"/>
      <w:lvlText w:val="-"/>
      <w:lvlJc w:val="left"/>
      <w:pPr>
        <w:tabs>
          <w:tab w:val="num" w:pos="5040"/>
        </w:tabs>
        <w:ind w:left="5040" w:hanging="360"/>
      </w:pPr>
      <w:rPr>
        <w:rFonts w:ascii="Times New Roman" w:hAnsi="Times New Roman" w:hint="default"/>
      </w:rPr>
    </w:lvl>
    <w:lvl w:ilvl="7" w:tplc="37621918" w:tentative="1">
      <w:start w:val="1"/>
      <w:numFmt w:val="bullet"/>
      <w:lvlText w:val="-"/>
      <w:lvlJc w:val="left"/>
      <w:pPr>
        <w:tabs>
          <w:tab w:val="num" w:pos="5760"/>
        </w:tabs>
        <w:ind w:left="5760" w:hanging="360"/>
      </w:pPr>
      <w:rPr>
        <w:rFonts w:ascii="Times New Roman" w:hAnsi="Times New Roman" w:hint="default"/>
      </w:rPr>
    </w:lvl>
    <w:lvl w:ilvl="8" w:tplc="21B6CE78" w:tentative="1">
      <w:start w:val="1"/>
      <w:numFmt w:val="bullet"/>
      <w:lvlText w:val="-"/>
      <w:lvlJc w:val="left"/>
      <w:pPr>
        <w:tabs>
          <w:tab w:val="num" w:pos="6480"/>
        </w:tabs>
        <w:ind w:left="6480" w:hanging="360"/>
      </w:pPr>
      <w:rPr>
        <w:rFonts w:ascii="Times New Roman" w:hAnsi="Times New Roman" w:hint="default"/>
      </w:rPr>
    </w:lvl>
  </w:abstractNum>
  <w:abstractNum w:abstractNumId="14">
    <w:nsid w:val="710103D0"/>
    <w:multiLevelType w:val="hybridMultilevel"/>
    <w:tmpl w:val="E4EA9D10"/>
    <w:lvl w:ilvl="0" w:tplc="06FE8D62">
      <w:start w:val="1"/>
      <w:numFmt w:val="bullet"/>
      <w:lvlText w:val=""/>
      <w:lvlPicBulletId w:val="0"/>
      <w:lvlJc w:val="left"/>
      <w:pPr>
        <w:tabs>
          <w:tab w:val="num" w:pos="720"/>
        </w:tabs>
        <w:ind w:left="720" w:hanging="360"/>
      </w:pPr>
      <w:rPr>
        <w:rFonts w:ascii="Symbol" w:hAnsi="Symbol" w:hint="default"/>
      </w:rPr>
    </w:lvl>
    <w:lvl w:ilvl="1" w:tplc="6422DD22">
      <w:start w:val="915"/>
      <w:numFmt w:val="bullet"/>
      <w:lvlText w:val="–"/>
      <w:lvlJc w:val="left"/>
      <w:pPr>
        <w:tabs>
          <w:tab w:val="num" w:pos="1440"/>
        </w:tabs>
        <w:ind w:left="1440" w:hanging="360"/>
      </w:pPr>
      <w:rPr>
        <w:rFonts w:ascii="Times New Roman" w:hAnsi="Times New Roman" w:hint="default"/>
      </w:rPr>
    </w:lvl>
    <w:lvl w:ilvl="2" w:tplc="ED8EEB14" w:tentative="1">
      <w:start w:val="1"/>
      <w:numFmt w:val="bullet"/>
      <w:lvlText w:val=""/>
      <w:lvlPicBulletId w:val="0"/>
      <w:lvlJc w:val="left"/>
      <w:pPr>
        <w:tabs>
          <w:tab w:val="num" w:pos="2160"/>
        </w:tabs>
        <w:ind w:left="2160" w:hanging="360"/>
      </w:pPr>
      <w:rPr>
        <w:rFonts w:ascii="Symbol" w:hAnsi="Symbol" w:hint="default"/>
      </w:rPr>
    </w:lvl>
    <w:lvl w:ilvl="3" w:tplc="E2A2159E" w:tentative="1">
      <w:start w:val="1"/>
      <w:numFmt w:val="bullet"/>
      <w:lvlText w:val=""/>
      <w:lvlPicBulletId w:val="0"/>
      <w:lvlJc w:val="left"/>
      <w:pPr>
        <w:tabs>
          <w:tab w:val="num" w:pos="2880"/>
        </w:tabs>
        <w:ind w:left="2880" w:hanging="360"/>
      </w:pPr>
      <w:rPr>
        <w:rFonts w:ascii="Symbol" w:hAnsi="Symbol" w:hint="default"/>
      </w:rPr>
    </w:lvl>
    <w:lvl w:ilvl="4" w:tplc="971EC080" w:tentative="1">
      <w:start w:val="1"/>
      <w:numFmt w:val="bullet"/>
      <w:lvlText w:val=""/>
      <w:lvlPicBulletId w:val="0"/>
      <w:lvlJc w:val="left"/>
      <w:pPr>
        <w:tabs>
          <w:tab w:val="num" w:pos="3600"/>
        </w:tabs>
        <w:ind w:left="3600" w:hanging="360"/>
      </w:pPr>
      <w:rPr>
        <w:rFonts w:ascii="Symbol" w:hAnsi="Symbol" w:hint="default"/>
      </w:rPr>
    </w:lvl>
    <w:lvl w:ilvl="5" w:tplc="6F64D802" w:tentative="1">
      <w:start w:val="1"/>
      <w:numFmt w:val="bullet"/>
      <w:lvlText w:val=""/>
      <w:lvlPicBulletId w:val="0"/>
      <w:lvlJc w:val="left"/>
      <w:pPr>
        <w:tabs>
          <w:tab w:val="num" w:pos="4320"/>
        </w:tabs>
        <w:ind w:left="4320" w:hanging="360"/>
      </w:pPr>
      <w:rPr>
        <w:rFonts w:ascii="Symbol" w:hAnsi="Symbol" w:hint="default"/>
      </w:rPr>
    </w:lvl>
    <w:lvl w:ilvl="6" w:tplc="4B881BB2" w:tentative="1">
      <w:start w:val="1"/>
      <w:numFmt w:val="bullet"/>
      <w:lvlText w:val=""/>
      <w:lvlPicBulletId w:val="0"/>
      <w:lvlJc w:val="left"/>
      <w:pPr>
        <w:tabs>
          <w:tab w:val="num" w:pos="5040"/>
        </w:tabs>
        <w:ind w:left="5040" w:hanging="360"/>
      </w:pPr>
      <w:rPr>
        <w:rFonts w:ascii="Symbol" w:hAnsi="Symbol" w:hint="default"/>
      </w:rPr>
    </w:lvl>
    <w:lvl w:ilvl="7" w:tplc="DA0A713A" w:tentative="1">
      <w:start w:val="1"/>
      <w:numFmt w:val="bullet"/>
      <w:lvlText w:val=""/>
      <w:lvlPicBulletId w:val="0"/>
      <w:lvlJc w:val="left"/>
      <w:pPr>
        <w:tabs>
          <w:tab w:val="num" w:pos="5760"/>
        </w:tabs>
        <w:ind w:left="5760" w:hanging="360"/>
      </w:pPr>
      <w:rPr>
        <w:rFonts w:ascii="Symbol" w:hAnsi="Symbol" w:hint="default"/>
      </w:rPr>
    </w:lvl>
    <w:lvl w:ilvl="8" w:tplc="4B8CC4CE" w:tentative="1">
      <w:start w:val="1"/>
      <w:numFmt w:val="bullet"/>
      <w:lvlText w:val=""/>
      <w:lvlPicBulletId w:val="0"/>
      <w:lvlJc w:val="left"/>
      <w:pPr>
        <w:tabs>
          <w:tab w:val="num" w:pos="6480"/>
        </w:tabs>
        <w:ind w:left="6480" w:hanging="360"/>
      </w:pPr>
      <w:rPr>
        <w:rFonts w:ascii="Symbol" w:hAnsi="Symbol" w:hint="default"/>
      </w:rPr>
    </w:lvl>
  </w:abstractNum>
  <w:abstractNum w:abstractNumId="15">
    <w:nsid w:val="73C6429C"/>
    <w:multiLevelType w:val="hybridMultilevel"/>
    <w:tmpl w:val="5F524996"/>
    <w:lvl w:ilvl="0" w:tplc="73BA2DE0">
      <w:start w:val="1"/>
      <w:numFmt w:val="bullet"/>
      <w:lvlText w:val=""/>
      <w:lvlPicBulletId w:val="0"/>
      <w:lvlJc w:val="left"/>
      <w:pPr>
        <w:tabs>
          <w:tab w:val="num" w:pos="720"/>
        </w:tabs>
        <w:ind w:left="720" w:hanging="360"/>
      </w:pPr>
      <w:rPr>
        <w:rFonts w:ascii="Symbol" w:hAnsi="Symbol" w:hint="default"/>
      </w:rPr>
    </w:lvl>
    <w:lvl w:ilvl="1" w:tplc="42A40E66">
      <w:start w:val="1304"/>
      <w:numFmt w:val="bullet"/>
      <w:lvlText w:val="–"/>
      <w:lvlJc w:val="left"/>
      <w:pPr>
        <w:tabs>
          <w:tab w:val="num" w:pos="1440"/>
        </w:tabs>
        <w:ind w:left="1440" w:hanging="360"/>
      </w:pPr>
      <w:rPr>
        <w:rFonts w:ascii="Times New Roman" w:hAnsi="Times New Roman" w:hint="default"/>
      </w:rPr>
    </w:lvl>
    <w:lvl w:ilvl="2" w:tplc="B42EE7F6" w:tentative="1">
      <w:start w:val="1"/>
      <w:numFmt w:val="bullet"/>
      <w:lvlText w:val=""/>
      <w:lvlPicBulletId w:val="0"/>
      <w:lvlJc w:val="left"/>
      <w:pPr>
        <w:tabs>
          <w:tab w:val="num" w:pos="2160"/>
        </w:tabs>
        <w:ind w:left="2160" w:hanging="360"/>
      </w:pPr>
      <w:rPr>
        <w:rFonts w:ascii="Symbol" w:hAnsi="Symbol" w:hint="default"/>
      </w:rPr>
    </w:lvl>
    <w:lvl w:ilvl="3" w:tplc="63BC95EA" w:tentative="1">
      <w:start w:val="1"/>
      <w:numFmt w:val="bullet"/>
      <w:lvlText w:val=""/>
      <w:lvlPicBulletId w:val="0"/>
      <w:lvlJc w:val="left"/>
      <w:pPr>
        <w:tabs>
          <w:tab w:val="num" w:pos="2880"/>
        </w:tabs>
        <w:ind w:left="2880" w:hanging="360"/>
      </w:pPr>
      <w:rPr>
        <w:rFonts w:ascii="Symbol" w:hAnsi="Symbol" w:hint="default"/>
      </w:rPr>
    </w:lvl>
    <w:lvl w:ilvl="4" w:tplc="9A02CF64" w:tentative="1">
      <w:start w:val="1"/>
      <w:numFmt w:val="bullet"/>
      <w:lvlText w:val=""/>
      <w:lvlPicBulletId w:val="0"/>
      <w:lvlJc w:val="left"/>
      <w:pPr>
        <w:tabs>
          <w:tab w:val="num" w:pos="3600"/>
        </w:tabs>
        <w:ind w:left="3600" w:hanging="360"/>
      </w:pPr>
      <w:rPr>
        <w:rFonts w:ascii="Symbol" w:hAnsi="Symbol" w:hint="default"/>
      </w:rPr>
    </w:lvl>
    <w:lvl w:ilvl="5" w:tplc="D9EA7C5C" w:tentative="1">
      <w:start w:val="1"/>
      <w:numFmt w:val="bullet"/>
      <w:lvlText w:val=""/>
      <w:lvlPicBulletId w:val="0"/>
      <w:lvlJc w:val="left"/>
      <w:pPr>
        <w:tabs>
          <w:tab w:val="num" w:pos="4320"/>
        </w:tabs>
        <w:ind w:left="4320" w:hanging="360"/>
      </w:pPr>
      <w:rPr>
        <w:rFonts w:ascii="Symbol" w:hAnsi="Symbol" w:hint="default"/>
      </w:rPr>
    </w:lvl>
    <w:lvl w:ilvl="6" w:tplc="7D405FF8" w:tentative="1">
      <w:start w:val="1"/>
      <w:numFmt w:val="bullet"/>
      <w:lvlText w:val=""/>
      <w:lvlPicBulletId w:val="0"/>
      <w:lvlJc w:val="left"/>
      <w:pPr>
        <w:tabs>
          <w:tab w:val="num" w:pos="5040"/>
        </w:tabs>
        <w:ind w:left="5040" w:hanging="360"/>
      </w:pPr>
      <w:rPr>
        <w:rFonts w:ascii="Symbol" w:hAnsi="Symbol" w:hint="default"/>
      </w:rPr>
    </w:lvl>
    <w:lvl w:ilvl="7" w:tplc="1234DBCA" w:tentative="1">
      <w:start w:val="1"/>
      <w:numFmt w:val="bullet"/>
      <w:lvlText w:val=""/>
      <w:lvlPicBulletId w:val="0"/>
      <w:lvlJc w:val="left"/>
      <w:pPr>
        <w:tabs>
          <w:tab w:val="num" w:pos="5760"/>
        </w:tabs>
        <w:ind w:left="5760" w:hanging="360"/>
      </w:pPr>
      <w:rPr>
        <w:rFonts w:ascii="Symbol" w:hAnsi="Symbol" w:hint="default"/>
      </w:rPr>
    </w:lvl>
    <w:lvl w:ilvl="8" w:tplc="7C207C08" w:tentative="1">
      <w:start w:val="1"/>
      <w:numFmt w:val="bullet"/>
      <w:lvlText w:val=""/>
      <w:lvlPicBulletId w:val="0"/>
      <w:lvlJc w:val="left"/>
      <w:pPr>
        <w:tabs>
          <w:tab w:val="num" w:pos="6480"/>
        </w:tabs>
        <w:ind w:left="6480" w:hanging="360"/>
      </w:pPr>
      <w:rPr>
        <w:rFonts w:ascii="Symbol" w:hAnsi="Symbol" w:hint="default"/>
      </w:rPr>
    </w:lvl>
  </w:abstractNum>
  <w:abstractNum w:abstractNumId="16">
    <w:nsid w:val="7BC172E0"/>
    <w:multiLevelType w:val="singleLevel"/>
    <w:tmpl w:val="8B0CC62A"/>
    <w:lvl w:ilvl="0">
      <w:start w:val="1"/>
      <w:numFmt w:val="decimal"/>
      <w:pStyle w:val="NormalLegal"/>
      <w:lvlText w:val="%1."/>
      <w:lvlJc w:val="left"/>
      <w:pPr>
        <w:tabs>
          <w:tab w:val="num" w:pos="360"/>
        </w:tabs>
        <w:ind w:left="360" w:hanging="360"/>
      </w:pPr>
      <w:rPr>
        <w:b w:val="0"/>
        <w:i w:val="0"/>
      </w:rPr>
    </w:lvl>
  </w:abstractNum>
  <w:abstractNum w:abstractNumId="17">
    <w:nsid w:val="7C1F0D2B"/>
    <w:multiLevelType w:val="hybridMultilevel"/>
    <w:tmpl w:val="A9243926"/>
    <w:lvl w:ilvl="0" w:tplc="BA725972">
      <w:start w:val="1"/>
      <w:numFmt w:val="bullet"/>
      <w:lvlText w:val=""/>
      <w:lvlPicBulletId w:val="0"/>
      <w:lvlJc w:val="left"/>
      <w:pPr>
        <w:tabs>
          <w:tab w:val="num" w:pos="720"/>
        </w:tabs>
        <w:ind w:left="720" w:hanging="360"/>
      </w:pPr>
      <w:rPr>
        <w:rFonts w:ascii="Symbol" w:hAnsi="Symbol" w:hint="default"/>
      </w:rPr>
    </w:lvl>
    <w:lvl w:ilvl="1" w:tplc="CD84EB06" w:tentative="1">
      <w:start w:val="1"/>
      <w:numFmt w:val="bullet"/>
      <w:lvlText w:val=""/>
      <w:lvlPicBulletId w:val="0"/>
      <w:lvlJc w:val="left"/>
      <w:pPr>
        <w:tabs>
          <w:tab w:val="num" w:pos="1440"/>
        </w:tabs>
        <w:ind w:left="1440" w:hanging="360"/>
      </w:pPr>
      <w:rPr>
        <w:rFonts w:ascii="Symbol" w:hAnsi="Symbol" w:hint="default"/>
      </w:rPr>
    </w:lvl>
    <w:lvl w:ilvl="2" w:tplc="0324FF70" w:tentative="1">
      <w:start w:val="1"/>
      <w:numFmt w:val="bullet"/>
      <w:lvlText w:val=""/>
      <w:lvlPicBulletId w:val="0"/>
      <w:lvlJc w:val="left"/>
      <w:pPr>
        <w:tabs>
          <w:tab w:val="num" w:pos="2160"/>
        </w:tabs>
        <w:ind w:left="2160" w:hanging="360"/>
      </w:pPr>
      <w:rPr>
        <w:rFonts w:ascii="Symbol" w:hAnsi="Symbol" w:hint="default"/>
      </w:rPr>
    </w:lvl>
    <w:lvl w:ilvl="3" w:tplc="F39C3658" w:tentative="1">
      <w:start w:val="1"/>
      <w:numFmt w:val="bullet"/>
      <w:lvlText w:val=""/>
      <w:lvlPicBulletId w:val="0"/>
      <w:lvlJc w:val="left"/>
      <w:pPr>
        <w:tabs>
          <w:tab w:val="num" w:pos="2880"/>
        </w:tabs>
        <w:ind w:left="2880" w:hanging="360"/>
      </w:pPr>
      <w:rPr>
        <w:rFonts w:ascii="Symbol" w:hAnsi="Symbol" w:hint="default"/>
      </w:rPr>
    </w:lvl>
    <w:lvl w:ilvl="4" w:tplc="391EBB62" w:tentative="1">
      <w:start w:val="1"/>
      <w:numFmt w:val="bullet"/>
      <w:lvlText w:val=""/>
      <w:lvlPicBulletId w:val="0"/>
      <w:lvlJc w:val="left"/>
      <w:pPr>
        <w:tabs>
          <w:tab w:val="num" w:pos="3600"/>
        </w:tabs>
        <w:ind w:left="3600" w:hanging="360"/>
      </w:pPr>
      <w:rPr>
        <w:rFonts w:ascii="Symbol" w:hAnsi="Symbol" w:hint="default"/>
      </w:rPr>
    </w:lvl>
    <w:lvl w:ilvl="5" w:tplc="2340ACD4" w:tentative="1">
      <w:start w:val="1"/>
      <w:numFmt w:val="bullet"/>
      <w:lvlText w:val=""/>
      <w:lvlPicBulletId w:val="0"/>
      <w:lvlJc w:val="left"/>
      <w:pPr>
        <w:tabs>
          <w:tab w:val="num" w:pos="4320"/>
        </w:tabs>
        <w:ind w:left="4320" w:hanging="360"/>
      </w:pPr>
      <w:rPr>
        <w:rFonts w:ascii="Symbol" w:hAnsi="Symbol" w:hint="default"/>
      </w:rPr>
    </w:lvl>
    <w:lvl w:ilvl="6" w:tplc="C74EA882" w:tentative="1">
      <w:start w:val="1"/>
      <w:numFmt w:val="bullet"/>
      <w:lvlText w:val=""/>
      <w:lvlPicBulletId w:val="0"/>
      <w:lvlJc w:val="left"/>
      <w:pPr>
        <w:tabs>
          <w:tab w:val="num" w:pos="5040"/>
        </w:tabs>
        <w:ind w:left="5040" w:hanging="360"/>
      </w:pPr>
      <w:rPr>
        <w:rFonts w:ascii="Symbol" w:hAnsi="Symbol" w:hint="default"/>
      </w:rPr>
    </w:lvl>
    <w:lvl w:ilvl="7" w:tplc="31A4DAB2" w:tentative="1">
      <w:start w:val="1"/>
      <w:numFmt w:val="bullet"/>
      <w:lvlText w:val=""/>
      <w:lvlPicBulletId w:val="0"/>
      <w:lvlJc w:val="left"/>
      <w:pPr>
        <w:tabs>
          <w:tab w:val="num" w:pos="5760"/>
        </w:tabs>
        <w:ind w:left="5760" w:hanging="360"/>
      </w:pPr>
      <w:rPr>
        <w:rFonts w:ascii="Symbol" w:hAnsi="Symbol" w:hint="default"/>
      </w:rPr>
    </w:lvl>
    <w:lvl w:ilvl="8" w:tplc="9B64B6AE" w:tentative="1">
      <w:start w:val="1"/>
      <w:numFmt w:val="bullet"/>
      <w:lvlText w:val=""/>
      <w:lvlPicBulletId w:val="0"/>
      <w:lvlJc w:val="left"/>
      <w:pPr>
        <w:tabs>
          <w:tab w:val="num" w:pos="6480"/>
        </w:tabs>
        <w:ind w:left="6480" w:hanging="360"/>
      </w:pPr>
      <w:rPr>
        <w:rFonts w:ascii="Symbol" w:hAnsi="Symbol" w:hint="default"/>
      </w:rPr>
    </w:lvl>
  </w:abstractNum>
  <w:num w:numId="1">
    <w:abstractNumId w:val="16"/>
  </w:num>
  <w:num w:numId="2">
    <w:abstractNumId w:val="0"/>
    <w:lvlOverride w:ilvl="0">
      <w:lvl w:ilvl="0">
        <w:start w:val="1"/>
        <w:numFmt w:val="bullet"/>
        <w:pStyle w:val="ListBullet"/>
        <w:lvlText w:val=""/>
        <w:legacy w:legacy="1" w:legacySpace="0" w:legacyIndent="360"/>
        <w:lvlJc w:val="left"/>
        <w:pPr>
          <w:ind w:left="1440" w:hanging="360"/>
        </w:pPr>
        <w:rPr>
          <w:rFonts w:ascii="Tms Rmn" w:hAnsi="Tms Rmn" w:hint="default"/>
          <w:sz w:val="16"/>
        </w:rPr>
      </w:lvl>
    </w:lvlOverride>
  </w:num>
  <w:num w:numId="3">
    <w:abstractNumId w:val="5"/>
  </w:num>
  <w:num w:numId="4">
    <w:abstractNumId w:val="11"/>
  </w:num>
  <w:num w:numId="5">
    <w:abstractNumId w:val="9"/>
  </w:num>
  <w:num w:numId="6">
    <w:abstractNumId w:val="7"/>
  </w:num>
  <w:num w:numId="7">
    <w:abstractNumId w:val="12"/>
  </w:num>
  <w:num w:numId="8">
    <w:abstractNumId w:val="3"/>
  </w:num>
  <w:num w:numId="9">
    <w:abstractNumId w:val="10"/>
  </w:num>
  <w:num w:numId="10">
    <w:abstractNumId w:val="17"/>
  </w:num>
  <w:num w:numId="11">
    <w:abstractNumId w:val="2"/>
  </w:num>
  <w:num w:numId="12">
    <w:abstractNumId w:val="15"/>
  </w:num>
  <w:num w:numId="13">
    <w:abstractNumId w:val="1"/>
  </w:num>
  <w:num w:numId="14">
    <w:abstractNumId w:val="14"/>
  </w:num>
  <w:num w:numId="15">
    <w:abstractNumId w:val="6"/>
  </w:num>
  <w:num w:numId="16">
    <w:abstractNumId w:val="8"/>
  </w:num>
  <w:num w:numId="17">
    <w:abstractNumId w:val="4"/>
  </w:num>
  <w:num w:numId="18">
    <w:abstractNumId w:val="1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embedSystemFonts/>
  <w:stylePaneFormatFilter w:val="3001"/>
  <w:defaultTabStop w:val="720"/>
  <w:noPunctuationKerning/>
  <w:characterSpacingControl w:val="doNotCompress"/>
  <w:footnotePr>
    <w:footnote w:id="0"/>
    <w:footnote w:id="1"/>
  </w:footnotePr>
  <w:endnotePr>
    <w:endnote w:id="0"/>
    <w:endnote w:id="1"/>
  </w:endnotePr>
  <w:compat/>
  <w:rsids>
    <w:rsidRoot w:val="001845D3"/>
    <w:rsid w:val="000000A2"/>
    <w:rsid w:val="000005C8"/>
    <w:rsid w:val="000011AE"/>
    <w:rsid w:val="000011F3"/>
    <w:rsid w:val="00001A2A"/>
    <w:rsid w:val="00001E48"/>
    <w:rsid w:val="00002398"/>
    <w:rsid w:val="000023C7"/>
    <w:rsid w:val="000023F7"/>
    <w:rsid w:val="00002613"/>
    <w:rsid w:val="000034CC"/>
    <w:rsid w:val="0000353A"/>
    <w:rsid w:val="0000361D"/>
    <w:rsid w:val="00003B70"/>
    <w:rsid w:val="00003F06"/>
    <w:rsid w:val="00003F22"/>
    <w:rsid w:val="00004489"/>
    <w:rsid w:val="00004895"/>
    <w:rsid w:val="000048DB"/>
    <w:rsid w:val="00004B34"/>
    <w:rsid w:val="00004D95"/>
    <w:rsid w:val="000058F2"/>
    <w:rsid w:val="0000597C"/>
    <w:rsid w:val="000059FC"/>
    <w:rsid w:val="00005BC2"/>
    <w:rsid w:val="00005C14"/>
    <w:rsid w:val="00006003"/>
    <w:rsid w:val="00006A91"/>
    <w:rsid w:val="00006BBB"/>
    <w:rsid w:val="00006E93"/>
    <w:rsid w:val="00006FB4"/>
    <w:rsid w:val="000075DB"/>
    <w:rsid w:val="00007616"/>
    <w:rsid w:val="00007A61"/>
    <w:rsid w:val="00007C24"/>
    <w:rsid w:val="00007E73"/>
    <w:rsid w:val="0001046F"/>
    <w:rsid w:val="0001056D"/>
    <w:rsid w:val="00011158"/>
    <w:rsid w:val="0001139C"/>
    <w:rsid w:val="00011501"/>
    <w:rsid w:val="00011A5E"/>
    <w:rsid w:val="00011B55"/>
    <w:rsid w:val="00011C2E"/>
    <w:rsid w:val="000124C7"/>
    <w:rsid w:val="000129FE"/>
    <w:rsid w:val="00012DBB"/>
    <w:rsid w:val="00012DC3"/>
    <w:rsid w:val="00012E3A"/>
    <w:rsid w:val="00013011"/>
    <w:rsid w:val="00013090"/>
    <w:rsid w:val="000130C5"/>
    <w:rsid w:val="000133B2"/>
    <w:rsid w:val="000133C9"/>
    <w:rsid w:val="000134B4"/>
    <w:rsid w:val="000139A5"/>
    <w:rsid w:val="00014769"/>
    <w:rsid w:val="00014949"/>
    <w:rsid w:val="00014A72"/>
    <w:rsid w:val="00015024"/>
    <w:rsid w:val="0001524B"/>
    <w:rsid w:val="000154D3"/>
    <w:rsid w:val="000156A9"/>
    <w:rsid w:val="00015740"/>
    <w:rsid w:val="00015B0A"/>
    <w:rsid w:val="00015C40"/>
    <w:rsid w:val="00015D0F"/>
    <w:rsid w:val="00015FF7"/>
    <w:rsid w:val="0001670D"/>
    <w:rsid w:val="000167A8"/>
    <w:rsid w:val="000167C2"/>
    <w:rsid w:val="00016C85"/>
    <w:rsid w:val="000171B2"/>
    <w:rsid w:val="00017BEC"/>
    <w:rsid w:val="000203C1"/>
    <w:rsid w:val="000207CB"/>
    <w:rsid w:val="00020C4D"/>
    <w:rsid w:val="00021288"/>
    <w:rsid w:val="000214DC"/>
    <w:rsid w:val="00021642"/>
    <w:rsid w:val="00021738"/>
    <w:rsid w:val="000217FC"/>
    <w:rsid w:val="00021BD0"/>
    <w:rsid w:val="00022511"/>
    <w:rsid w:val="000227AA"/>
    <w:rsid w:val="00022B04"/>
    <w:rsid w:val="00022C8D"/>
    <w:rsid w:val="00022FC9"/>
    <w:rsid w:val="000230BD"/>
    <w:rsid w:val="00023330"/>
    <w:rsid w:val="000234E1"/>
    <w:rsid w:val="00023870"/>
    <w:rsid w:val="00023B1C"/>
    <w:rsid w:val="00023D44"/>
    <w:rsid w:val="0002432F"/>
    <w:rsid w:val="000247C9"/>
    <w:rsid w:val="0002492D"/>
    <w:rsid w:val="00024B1F"/>
    <w:rsid w:val="00024DD2"/>
    <w:rsid w:val="00024FF5"/>
    <w:rsid w:val="000252B5"/>
    <w:rsid w:val="000258A2"/>
    <w:rsid w:val="00026333"/>
    <w:rsid w:val="000266FF"/>
    <w:rsid w:val="000268C8"/>
    <w:rsid w:val="00027846"/>
    <w:rsid w:val="00027C2A"/>
    <w:rsid w:val="00027F7B"/>
    <w:rsid w:val="000301AB"/>
    <w:rsid w:val="000303FB"/>
    <w:rsid w:val="0003040A"/>
    <w:rsid w:val="000306AF"/>
    <w:rsid w:val="00030720"/>
    <w:rsid w:val="0003073E"/>
    <w:rsid w:val="000307E2"/>
    <w:rsid w:val="000308AB"/>
    <w:rsid w:val="00030FCB"/>
    <w:rsid w:val="00031101"/>
    <w:rsid w:val="00031629"/>
    <w:rsid w:val="00031C21"/>
    <w:rsid w:val="00031E0F"/>
    <w:rsid w:val="00032A82"/>
    <w:rsid w:val="00032FC7"/>
    <w:rsid w:val="0003314E"/>
    <w:rsid w:val="00033303"/>
    <w:rsid w:val="000333BC"/>
    <w:rsid w:val="000333DF"/>
    <w:rsid w:val="00033AFD"/>
    <w:rsid w:val="00033B37"/>
    <w:rsid w:val="00033C23"/>
    <w:rsid w:val="00033F9C"/>
    <w:rsid w:val="00034801"/>
    <w:rsid w:val="00034A90"/>
    <w:rsid w:val="00034B3B"/>
    <w:rsid w:val="00034D8D"/>
    <w:rsid w:val="00035130"/>
    <w:rsid w:val="00035553"/>
    <w:rsid w:val="00035881"/>
    <w:rsid w:val="00035FBF"/>
    <w:rsid w:val="0003603E"/>
    <w:rsid w:val="00036202"/>
    <w:rsid w:val="0003653A"/>
    <w:rsid w:val="00036623"/>
    <w:rsid w:val="00037561"/>
    <w:rsid w:val="00037888"/>
    <w:rsid w:val="00037DD8"/>
    <w:rsid w:val="00037E00"/>
    <w:rsid w:val="0004021A"/>
    <w:rsid w:val="00040299"/>
    <w:rsid w:val="00040804"/>
    <w:rsid w:val="00040A1D"/>
    <w:rsid w:val="00041876"/>
    <w:rsid w:val="0004196E"/>
    <w:rsid w:val="00041B3D"/>
    <w:rsid w:val="00041C60"/>
    <w:rsid w:val="000420A0"/>
    <w:rsid w:val="00042400"/>
    <w:rsid w:val="00042695"/>
    <w:rsid w:val="00042CD3"/>
    <w:rsid w:val="00043CD7"/>
    <w:rsid w:val="00044E4C"/>
    <w:rsid w:val="00045077"/>
    <w:rsid w:val="000455F9"/>
    <w:rsid w:val="000458AB"/>
    <w:rsid w:val="00045FBB"/>
    <w:rsid w:val="000460C1"/>
    <w:rsid w:val="00046293"/>
    <w:rsid w:val="00046493"/>
    <w:rsid w:val="00046FB9"/>
    <w:rsid w:val="0004715A"/>
    <w:rsid w:val="00047515"/>
    <w:rsid w:val="00047931"/>
    <w:rsid w:val="000479FF"/>
    <w:rsid w:val="00047A26"/>
    <w:rsid w:val="00050093"/>
    <w:rsid w:val="00050561"/>
    <w:rsid w:val="000505B9"/>
    <w:rsid w:val="00050AB5"/>
    <w:rsid w:val="00050E22"/>
    <w:rsid w:val="000513B0"/>
    <w:rsid w:val="00051E00"/>
    <w:rsid w:val="0005237A"/>
    <w:rsid w:val="000523DA"/>
    <w:rsid w:val="0005259A"/>
    <w:rsid w:val="00052669"/>
    <w:rsid w:val="0005288F"/>
    <w:rsid w:val="00052B73"/>
    <w:rsid w:val="000532DF"/>
    <w:rsid w:val="000532E5"/>
    <w:rsid w:val="00053D1F"/>
    <w:rsid w:val="00053D4D"/>
    <w:rsid w:val="00053F55"/>
    <w:rsid w:val="000542AD"/>
    <w:rsid w:val="000545C5"/>
    <w:rsid w:val="000548F1"/>
    <w:rsid w:val="00054A3C"/>
    <w:rsid w:val="00054D85"/>
    <w:rsid w:val="00055188"/>
    <w:rsid w:val="0005532C"/>
    <w:rsid w:val="000555CD"/>
    <w:rsid w:val="000557C7"/>
    <w:rsid w:val="000558FD"/>
    <w:rsid w:val="00055B01"/>
    <w:rsid w:val="00055B02"/>
    <w:rsid w:val="00055B9C"/>
    <w:rsid w:val="00055CC4"/>
    <w:rsid w:val="00055EA9"/>
    <w:rsid w:val="000561BF"/>
    <w:rsid w:val="00056391"/>
    <w:rsid w:val="00056A00"/>
    <w:rsid w:val="000572C1"/>
    <w:rsid w:val="000575EA"/>
    <w:rsid w:val="00057709"/>
    <w:rsid w:val="00057A03"/>
    <w:rsid w:val="00057EF6"/>
    <w:rsid w:val="00060ED8"/>
    <w:rsid w:val="000612A4"/>
    <w:rsid w:val="00061340"/>
    <w:rsid w:val="00061B0D"/>
    <w:rsid w:val="00061CB8"/>
    <w:rsid w:val="000629E6"/>
    <w:rsid w:val="00062EFD"/>
    <w:rsid w:val="00062F8E"/>
    <w:rsid w:val="0006311B"/>
    <w:rsid w:val="00063137"/>
    <w:rsid w:val="0006316A"/>
    <w:rsid w:val="0006351D"/>
    <w:rsid w:val="00063F67"/>
    <w:rsid w:val="00064A15"/>
    <w:rsid w:val="00064E2A"/>
    <w:rsid w:val="00064E3B"/>
    <w:rsid w:val="00064F10"/>
    <w:rsid w:val="00065168"/>
    <w:rsid w:val="00065BAB"/>
    <w:rsid w:val="00066825"/>
    <w:rsid w:val="0006686D"/>
    <w:rsid w:val="00067089"/>
    <w:rsid w:val="00067311"/>
    <w:rsid w:val="000678BB"/>
    <w:rsid w:val="000678C3"/>
    <w:rsid w:val="0006797B"/>
    <w:rsid w:val="00067AD2"/>
    <w:rsid w:val="0007015B"/>
    <w:rsid w:val="000708E8"/>
    <w:rsid w:val="00070C66"/>
    <w:rsid w:val="00071392"/>
    <w:rsid w:val="000717CD"/>
    <w:rsid w:val="000717F7"/>
    <w:rsid w:val="0007189E"/>
    <w:rsid w:val="00071C8F"/>
    <w:rsid w:val="00071CE0"/>
    <w:rsid w:val="00072862"/>
    <w:rsid w:val="00073142"/>
    <w:rsid w:val="000735C1"/>
    <w:rsid w:val="0007360D"/>
    <w:rsid w:val="00073855"/>
    <w:rsid w:val="00073A4C"/>
    <w:rsid w:val="00073B14"/>
    <w:rsid w:val="00073D95"/>
    <w:rsid w:val="00073DBE"/>
    <w:rsid w:val="00073EA1"/>
    <w:rsid w:val="0007469B"/>
    <w:rsid w:val="0007477A"/>
    <w:rsid w:val="00074D98"/>
    <w:rsid w:val="000753A2"/>
    <w:rsid w:val="000754FD"/>
    <w:rsid w:val="00075769"/>
    <w:rsid w:val="00075ADF"/>
    <w:rsid w:val="0007608D"/>
    <w:rsid w:val="00076613"/>
    <w:rsid w:val="000769F9"/>
    <w:rsid w:val="00076B6D"/>
    <w:rsid w:val="00076C36"/>
    <w:rsid w:val="00076D01"/>
    <w:rsid w:val="00077070"/>
    <w:rsid w:val="00077B75"/>
    <w:rsid w:val="00077E83"/>
    <w:rsid w:val="00080532"/>
    <w:rsid w:val="00080ED1"/>
    <w:rsid w:val="00080F1C"/>
    <w:rsid w:val="000813F4"/>
    <w:rsid w:val="00081604"/>
    <w:rsid w:val="00082070"/>
    <w:rsid w:val="00082D98"/>
    <w:rsid w:val="000832A7"/>
    <w:rsid w:val="000835BD"/>
    <w:rsid w:val="00083A56"/>
    <w:rsid w:val="00083C16"/>
    <w:rsid w:val="00084EAA"/>
    <w:rsid w:val="00084F97"/>
    <w:rsid w:val="000856BC"/>
    <w:rsid w:val="00086356"/>
    <w:rsid w:val="000863E6"/>
    <w:rsid w:val="00087161"/>
    <w:rsid w:val="000871F8"/>
    <w:rsid w:val="000873D1"/>
    <w:rsid w:val="000873E9"/>
    <w:rsid w:val="000877C8"/>
    <w:rsid w:val="00090400"/>
    <w:rsid w:val="00090B43"/>
    <w:rsid w:val="00090D1A"/>
    <w:rsid w:val="00090DEF"/>
    <w:rsid w:val="00090E96"/>
    <w:rsid w:val="00091016"/>
    <w:rsid w:val="0009175D"/>
    <w:rsid w:val="00091826"/>
    <w:rsid w:val="00092122"/>
    <w:rsid w:val="00093294"/>
    <w:rsid w:val="0009342B"/>
    <w:rsid w:val="000937CC"/>
    <w:rsid w:val="00093BB2"/>
    <w:rsid w:val="000941DC"/>
    <w:rsid w:val="0009454B"/>
    <w:rsid w:val="0009473E"/>
    <w:rsid w:val="00094751"/>
    <w:rsid w:val="00094C87"/>
    <w:rsid w:val="000951A4"/>
    <w:rsid w:val="000954CE"/>
    <w:rsid w:val="00095818"/>
    <w:rsid w:val="00095CBF"/>
    <w:rsid w:val="00095DE9"/>
    <w:rsid w:val="00096583"/>
    <w:rsid w:val="000969C0"/>
    <w:rsid w:val="00096A7A"/>
    <w:rsid w:val="00096D07"/>
    <w:rsid w:val="00097C8C"/>
    <w:rsid w:val="00097E4D"/>
    <w:rsid w:val="000A0368"/>
    <w:rsid w:val="000A05E7"/>
    <w:rsid w:val="000A074B"/>
    <w:rsid w:val="000A0B66"/>
    <w:rsid w:val="000A0C91"/>
    <w:rsid w:val="000A1D92"/>
    <w:rsid w:val="000A20AE"/>
    <w:rsid w:val="000A2805"/>
    <w:rsid w:val="000A36A3"/>
    <w:rsid w:val="000A392D"/>
    <w:rsid w:val="000A411B"/>
    <w:rsid w:val="000A447C"/>
    <w:rsid w:val="000A4505"/>
    <w:rsid w:val="000A4D7C"/>
    <w:rsid w:val="000A5261"/>
    <w:rsid w:val="000A54DE"/>
    <w:rsid w:val="000A5627"/>
    <w:rsid w:val="000A5E07"/>
    <w:rsid w:val="000A621F"/>
    <w:rsid w:val="000A622E"/>
    <w:rsid w:val="000A6555"/>
    <w:rsid w:val="000A6B27"/>
    <w:rsid w:val="000A6B48"/>
    <w:rsid w:val="000A6D1D"/>
    <w:rsid w:val="000A6ED0"/>
    <w:rsid w:val="000A703A"/>
    <w:rsid w:val="000A73D7"/>
    <w:rsid w:val="000A76A3"/>
    <w:rsid w:val="000A76FF"/>
    <w:rsid w:val="000A7D70"/>
    <w:rsid w:val="000A7D7C"/>
    <w:rsid w:val="000B02E9"/>
    <w:rsid w:val="000B04FB"/>
    <w:rsid w:val="000B0EF4"/>
    <w:rsid w:val="000B0F2E"/>
    <w:rsid w:val="000B10A5"/>
    <w:rsid w:val="000B1939"/>
    <w:rsid w:val="000B19FE"/>
    <w:rsid w:val="000B1DF8"/>
    <w:rsid w:val="000B1F17"/>
    <w:rsid w:val="000B2149"/>
    <w:rsid w:val="000B2CE6"/>
    <w:rsid w:val="000B2EB8"/>
    <w:rsid w:val="000B2F30"/>
    <w:rsid w:val="000B2FF5"/>
    <w:rsid w:val="000B3D60"/>
    <w:rsid w:val="000B3F99"/>
    <w:rsid w:val="000B4155"/>
    <w:rsid w:val="000B42BA"/>
    <w:rsid w:val="000B48C4"/>
    <w:rsid w:val="000B4D87"/>
    <w:rsid w:val="000B5340"/>
    <w:rsid w:val="000B58A4"/>
    <w:rsid w:val="000B58A5"/>
    <w:rsid w:val="000B5C92"/>
    <w:rsid w:val="000B6112"/>
    <w:rsid w:val="000B6137"/>
    <w:rsid w:val="000B6360"/>
    <w:rsid w:val="000B67FF"/>
    <w:rsid w:val="000B6874"/>
    <w:rsid w:val="000B6D82"/>
    <w:rsid w:val="000B6E06"/>
    <w:rsid w:val="000B764E"/>
    <w:rsid w:val="000B7A4A"/>
    <w:rsid w:val="000B7BE5"/>
    <w:rsid w:val="000B7C7F"/>
    <w:rsid w:val="000C065B"/>
    <w:rsid w:val="000C0A8A"/>
    <w:rsid w:val="000C0E7D"/>
    <w:rsid w:val="000C0F17"/>
    <w:rsid w:val="000C0FD4"/>
    <w:rsid w:val="000C1024"/>
    <w:rsid w:val="000C1094"/>
    <w:rsid w:val="000C11BD"/>
    <w:rsid w:val="000C155E"/>
    <w:rsid w:val="000C156A"/>
    <w:rsid w:val="000C2231"/>
    <w:rsid w:val="000C2570"/>
    <w:rsid w:val="000C299A"/>
    <w:rsid w:val="000C2D33"/>
    <w:rsid w:val="000C2DA9"/>
    <w:rsid w:val="000C36BC"/>
    <w:rsid w:val="000C38B3"/>
    <w:rsid w:val="000C3E82"/>
    <w:rsid w:val="000C43B6"/>
    <w:rsid w:val="000C480E"/>
    <w:rsid w:val="000C4B05"/>
    <w:rsid w:val="000C4BD4"/>
    <w:rsid w:val="000C4ECF"/>
    <w:rsid w:val="000C5267"/>
    <w:rsid w:val="000C540C"/>
    <w:rsid w:val="000C5713"/>
    <w:rsid w:val="000C5F03"/>
    <w:rsid w:val="000C702C"/>
    <w:rsid w:val="000C721B"/>
    <w:rsid w:val="000C7670"/>
    <w:rsid w:val="000C768C"/>
    <w:rsid w:val="000C79E5"/>
    <w:rsid w:val="000C7F28"/>
    <w:rsid w:val="000D0491"/>
    <w:rsid w:val="000D04C0"/>
    <w:rsid w:val="000D05D1"/>
    <w:rsid w:val="000D0B2D"/>
    <w:rsid w:val="000D0F93"/>
    <w:rsid w:val="000D11A5"/>
    <w:rsid w:val="000D11F0"/>
    <w:rsid w:val="000D14B2"/>
    <w:rsid w:val="000D14D5"/>
    <w:rsid w:val="000D159B"/>
    <w:rsid w:val="000D181E"/>
    <w:rsid w:val="000D1994"/>
    <w:rsid w:val="000D3705"/>
    <w:rsid w:val="000D3C1E"/>
    <w:rsid w:val="000D41A3"/>
    <w:rsid w:val="000D4856"/>
    <w:rsid w:val="000D4956"/>
    <w:rsid w:val="000D4AE3"/>
    <w:rsid w:val="000D4CFF"/>
    <w:rsid w:val="000D4D0E"/>
    <w:rsid w:val="000D4DF6"/>
    <w:rsid w:val="000D4F20"/>
    <w:rsid w:val="000D5151"/>
    <w:rsid w:val="000D567E"/>
    <w:rsid w:val="000D63F1"/>
    <w:rsid w:val="000D64B0"/>
    <w:rsid w:val="000D668F"/>
    <w:rsid w:val="000D6D7E"/>
    <w:rsid w:val="000D7205"/>
    <w:rsid w:val="000D7658"/>
    <w:rsid w:val="000D7A9A"/>
    <w:rsid w:val="000D7B37"/>
    <w:rsid w:val="000D7F84"/>
    <w:rsid w:val="000E0127"/>
    <w:rsid w:val="000E02BF"/>
    <w:rsid w:val="000E0505"/>
    <w:rsid w:val="000E0831"/>
    <w:rsid w:val="000E0B1F"/>
    <w:rsid w:val="000E137A"/>
    <w:rsid w:val="000E15E9"/>
    <w:rsid w:val="000E1A2D"/>
    <w:rsid w:val="000E2097"/>
    <w:rsid w:val="000E2260"/>
    <w:rsid w:val="000E2457"/>
    <w:rsid w:val="000E258C"/>
    <w:rsid w:val="000E30DA"/>
    <w:rsid w:val="000E30EE"/>
    <w:rsid w:val="000E3440"/>
    <w:rsid w:val="000E3699"/>
    <w:rsid w:val="000E3708"/>
    <w:rsid w:val="000E39B5"/>
    <w:rsid w:val="000E4378"/>
    <w:rsid w:val="000E439A"/>
    <w:rsid w:val="000E488C"/>
    <w:rsid w:val="000E49B6"/>
    <w:rsid w:val="000E4CA6"/>
    <w:rsid w:val="000E4F72"/>
    <w:rsid w:val="000E5645"/>
    <w:rsid w:val="000E653D"/>
    <w:rsid w:val="000E6591"/>
    <w:rsid w:val="000E6709"/>
    <w:rsid w:val="000E6826"/>
    <w:rsid w:val="000E6D5A"/>
    <w:rsid w:val="000E7298"/>
    <w:rsid w:val="000E7699"/>
    <w:rsid w:val="000E7C63"/>
    <w:rsid w:val="000E7D35"/>
    <w:rsid w:val="000F0214"/>
    <w:rsid w:val="000F0A08"/>
    <w:rsid w:val="000F0FB4"/>
    <w:rsid w:val="000F1332"/>
    <w:rsid w:val="000F1AF7"/>
    <w:rsid w:val="000F1C8B"/>
    <w:rsid w:val="000F1E37"/>
    <w:rsid w:val="000F220B"/>
    <w:rsid w:val="000F2415"/>
    <w:rsid w:val="000F2614"/>
    <w:rsid w:val="000F2799"/>
    <w:rsid w:val="000F2985"/>
    <w:rsid w:val="000F2C05"/>
    <w:rsid w:val="000F2CC3"/>
    <w:rsid w:val="000F2DE9"/>
    <w:rsid w:val="000F2E61"/>
    <w:rsid w:val="000F2EA1"/>
    <w:rsid w:val="000F2F16"/>
    <w:rsid w:val="000F311E"/>
    <w:rsid w:val="000F34E2"/>
    <w:rsid w:val="000F35E4"/>
    <w:rsid w:val="000F375B"/>
    <w:rsid w:val="000F3863"/>
    <w:rsid w:val="000F3C90"/>
    <w:rsid w:val="000F3E3A"/>
    <w:rsid w:val="000F3E5B"/>
    <w:rsid w:val="000F3E68"/>
    <w:rsid w:val="000F4270"/>
    <w:rsid w:val="000F440D"/>
    <w:rsid w:val="000F47F5"/>
    <w:rsid w:val="000F4E67"/>
    <w:rsid w:val="000F50CE"/>
    <w:rsid w:val="000F52C2"/>
    <w:rsid w:val="000F5D1E"/>
    <w:rsid w:val="000F6282"/>
    <w:rsid w:val="000F6586"/>
    <w:rsid w:val="000F697F"/>
    <w:rsid w:val="000F6BC9"/>
    <w:rsid w:val="000F6D77"/>
    <w:rsid w:val="000F6F6C"/>
    <w:rsid w:val="000F7489"/>
    <w:rsid w:val="000F766F"/>
    <w:rsid w:val="000F7DFE"/>
    <w:rsid w:val="001004D6"/>
    <w:rsid w:val="001007C8"/>
    <w:rsid w:val="00100808"/>
    <w:rsid w:val="00100ADE"/>
    <w:rsid w:val="00100C9C"/>
    <w:rsid w:val="00100DA8"/>
    <w:rsid w:val="00101354"/>
    <w:rsid w:val="0010161D"/>
    <w:rsid w:val="0010165C"/>
    <w:rsid w:val="001016E8"/>
    <w:rsid w:val="00101A74"/>
    <w:rsid w:val="00101C34"/>
    <w:rsid w:val="00101E79"/>
    <w:rsid w:val="0010202E"/>
    <w:rsid w:val="001022E1"/>
    <w:rsid w:val="0010263E"/>
    <w:rsid w:val="001026EF"/>
    <w:rsid w:val="0010301D"/>
    <w:rsid w:val="00103945"/>
    <w:rsid w:val="001039D5"/>
    <w:rsid w:val="001039F4"/>
    <w:rsid w:val="00103D72"/>
    <w:rsid w:val="00103F58"/>
    <w:rsid w:val="001043AB"/>
    <w:rsid w:val="001046D2"/>
    <w:rsid w:val="00104889"/>
    <w:rsid w:val="00104EEF"/>
    <w:rsid w:val="00104FC0"/>
    <w:rsid w:val="001050D9"/>
    <w:rsid w:val="00105139"/>
    <w:rsid w:val="001051ED"/>
    <w:rsid w:val="0010548A"/>
    <w:rsid w:val="00105529"/>
    <w:rsid w:val="00105A00"/>
    <w:rsid w:val="00105BA7"/>
    <w:rsid w:val="00105C69"/>
    <w:rsid w:val="00105FCC"/>
    <w:rsid w:val="001060FE"/>
    <w:rsid w:val="001062E4"/>
    <w:rsid w:val="00107480"/>
    <w:rsid w:val="001074C6"/>
    <w:rsid w:val="001074FA"/>
    <w:rsid w:val="00107A2B"/>
    <w:rsid w:val="00107D33"/>
    <w:rsid w:val="001100B1"/>
    <w:rsid w:val="001103B2"/>
    <w:rsid w:val="00110622"/>
    <w:rsid w:val="00110FB1"/>
    <w:rsid w:val="00111754"/>
    <w:rsid w:val="00111A52"/>
    <w:rsid w:val="0011232F"/>
    <w:rsid w:val="00112369"/>
    <w:rsid w:val="001123FC"/>
    <w:rsid w:val="0011243A"/>
    <w:rsid w:val="00112964"/>
    <w:rsid w:val="00112AA0"/>
    <w:rsid w:val="00112B70"/>
    <w:rsid w:val="00112D0E"/>
    <w:rsid w:val="00112E0E"/>
    <w:rsid w:val="00113308"/>
    <w:rsid w:val="0011330A"/>
    <w:rsid w:val="00113527"/>
    <w:rsid w:val="001138F1"/>
    <w:rsid w:val="00113A18"/>
    <w:rsid w:val="00113C78"/>
    <w:rsid w:val="001140AF"/>
    <w:rsid w:val="00114350"/>
    <w:rsid w:val="001146BA"/>
    <w:rsid w:val="001148CC"/>
    <w:rsid w:val="00114D42"/>
    <w:rsid w:val="00114F4B"/>
    <w:rsid w:val="0011534F"/>
    <w:rsid w:val="00115D47"/>
    <w:rsid w:val="00116442"/>
    <w:rsid w:val="001169A8"/>
    <w:rsid w:val="00116F85"/>
    <w:rsid w:val="001171A7"/>
    <w:rsid w:val="0011726A"/>
    <w:rsid w:val="0011739F"/>
    <w:rsid w:val="001175F3"/>
    <w:rsid w:val="00117CFB"/>
    <w:rsid w:val="001208A4"/>
    <w:rsid w:val="00120CFC"/>
    <w:rsid w:val="001211C1"/>
    <w:rsid w:val="001211CA"/>
    <w:rsid w:val="001218A5"/>
    <w:rsid w:val="001219BB"/>
    <w:rsid w:val="00121BCD"/>
    <w:rsid w:val="00122576"/>
    <w:rsid w:val="00122602"/>
    <w:rsid w:val="001228F9"/>
    <w:rsid w:val="00123AE0"/>
    <w:rsid w:val="00123D5E"/>
    <w:rsid w:val="00123E60"/>
    <w:rsid w:val="00124511"/>
    <w:rsid w:val="001247F8"/>
    <w:rsid w:val="00124CD2"/>
    <w:rsid w:val="001253BC"/>
    <w:rsid w:val="0012541C"/>
    <w:rsid w:val="00125B67"/>
    <w:rsid w:val="0012617A"/>
    <w:rsid w:val="00126405"/>
    <w:rsid w:val="001266D6"/>
    <w:rsid w:val="00126849"/>
    <w:rsid w:val="0012690C"/>
    <w:rsid w:val="00126F21"/>
    <w:rsid w:val="00127581"/>
    <w:rsid w:val="00127874"/>
    <w:rsid w:val="00127C8B"/>
    <w:rsid w:val="00127CCC"/>
    <w:rsid w:val="0013034B"/>
    <w:rsid w:val="0013161C"/>
    <w:rsid w:val="00131AD8"/>
    <w:rsid w:val="00131D68"/>
    <w:rsid w:val="00131E5E"/>
    <w:rsid w:val="00132068"/>
    <w:rsid w:val="00132285"/>
    <w:rsid w:val="00132535"/>
    <w:rsid w:val="00132737"/>
    <w:rsid w:val="00132B7D"/>
    <w:rsid w:val="00132C4A"/>
    <w:rsid w:val="00132EC6"/>
    <w:rsid w:val="00133570"/>
    <w:rsid w:val="001336A5"/>
    <w:rsid w:val="00134253"/>
    <w:rsid w:val="001342FB"/>
    <w:rsid w:val="00134361"/>
    <w:rsid w:val="0013456E"/>
    <w:rsid w:val="00134975"/>
    <w:rsid w:val="00134CFD"/>
    <w:rsid w:val="00134EE0"/>
    <w:rsid w:val="00134F93"/>
    <w:rsid w:val="00135251"/>
    <w:rsid w:val="001352F4"/>
    <w:rsid w:val="00135800"/>
    <w:rsid w:val="00135AED"/>
    <w:rsid w:val="00135F48"/>
    <w:rsid w:val="00135F53"/>
    <w:rsid w:val="00135F57"/>
    <w:rsid w:val="00136CA0"/>
    <w:rsid w:val="00136CE0"/>
    <w:rsid w:val="00137531"/>
    <w:rsid w:val="00137806"/>
    <w:rsid w:val="00137976"/>
    <w:rsid w:val="00137B77"/>
    <w:rsid w:val="00137C6D"/>
    <w:rsid w:val="00137D6B"/>
    <w:rsid w:val="00137F6B"/>
    <w:rsid w:val="00140F45"/>
    <w:rsid w:val="00141170"/>
    <w:rsid w:val="00141588"/>
    <w:rsid w:val="00141931"/>
    <w:rsid w:val="001419B1"/>
    <w:rsid w:val="00141BED"/>
    <w:rsid w:val="00141D1D"/>
    <w:rsid w:val="001424E8"/>
    <w:rsid w:val="001427E9"/>
    <w:rsid w:val="00142BC7"/>
    <w:rsid w:val="0014305F"/>
    <w:rsid w:val="001431B1"/>
    <w:rsid w:val="00143454"/>
    <w:rsid w:val="0014346F"/>
    <w:rsid w:val="001436FE"/>
    <w:rsid w:val="00143D4F"/>
    <w:rsid w:val="00144652"/>
    <w:rsid w:val="0014469A"/>
    <w:rsid w:val="00144B37"/>
    <w:rsid w:val="001450D7"/>
    <w:rsid w:val="001453A6"/>
    <w:rsid w:val="00145CD0"/>
    <w:rsid w:val="00145EF0"/>
    <w:rsid w:val="00146E32"/>
    <w:rsid w:val="00147045"/>
    <w:rsid w:val="00147108"/>
    <w:rsid w:val="001475D0"/>
    <w:rsid w:val="001475D1"/>
    <w:rsid w:val="00147725"/>
    <w:rsid w:val="00147B01"/>
    <w:rsid w:val="00147F90"/>
    <w:rsid w:val="00150607"/>
    <w:rsid w:val="00150A9C"/>
    <w:rsid w:val="00150AD9"/>
    <w:rsid w:val="00150CBF"/>
    <w:rsid w:val="00150FCD"/>
    <w:rsid w:val="0015116B"/>
    <w:rsid w:val="0015129A"/>
    <w:rsid w:val="00151366"/>
    <w:rsid w:val="00151592"/>
    <w:rsid w:val="0015162B"/>
    <w:rsid w:val="001517CC"/>
    <w:rsid w:val="00151BCE"/>
    <w:rsid w:val="00151FCD"/>
    <w:rsid w:val="001520B4"/>
    <w:rsid w:val="001522C9"/>
    <w:rsid w:val="00152599"/>
    <w:rsid w:val="00152655"/>
    <w:rsid w:val="00152BDA"/>
    <w:rsid w:val="00152C3F"/>
    <w:rsid w:val="00153179"/>
    <w:rsid w:val="001534FE"/>
    <w:rsid w:val="00153979"/>
    <w:rsid w:val="00153981"/>
    <w:rsid w:val="00153C17"/>
    <w:rsid w:val="00154181"/>
    <w:rsid w:val="001545EF"/>
    <w:rsid w:val="001556E5"/>
    <w:rsid w:val="00155A19"/>
    <w:rsid w:val="00155A4B"/>
    <w:rsid w:val="00156030"/>
    <w:rsid w:val="001564AA"/>
    <w:rsid w:val="00156896"/>
    <w:rsid w:val="001568CF"/>
    <w:rsid w:val="00156995"/>
    <w:rsid w:val="00156AB0"/>
    <w:rsid w:val="00156ECE"/>
    <w:rsid w:val="00157393"/>
    <w:rsid w:val="001574B5"/>
    <w:rsid w:val="001574D5"/>
    <w:rsid w:val="00157512"/>
    <w:rsid w:val="00157599"/>
    <w:rsid w:val="001575A9"/>
    <w:rsid w:val="00157EC0"/>
    <w:rsid w:val="001600A6"/>
    <w:rsid w:val="001601BB"/>
    <w:rsid w:val="00160896"/>
    <w:rsid w:val="00161419"/>
    <w:rsid w:val="00162196"/>
    <w:rsid w:val="001623E3"/>
    <w:rsid w:val="00162405"/>
    <w:rsid w:val="00162D26"/>
    <w:rsid w:val="00162DDC"/>
    <w:rsid w:val="00163237"/>
    <w:rsid w:val="00163335"/>
    <w:rsid w:val="00163BE9"/>
    <w:rsid w:val="00163E10"/>
    <w:rsid w:val="00163E48"/>
    <w:rsid w:val="00164631"/>
    <w:rsid w:val="0016478B"/>
    <w:rsid w:val="00164C26"/>
    <w:rsid w:val="00164C88"/>
    <w:rsid w:val="00165001"/>
    <w:rsid w:val="001650B4"/>
    <w:rsid w:val="001651DA"/>
    <w:rsid w:val="00165547"/>
    <w:rsid w:val="0016554E"/>
    <w:rsid w:val="00165670"/>
    <w:rsid w:val="001656A1"/>
    <w:rsid w:val="00165861"/>
    <w:rsid w:val="00165944"/>
    <w:rsid w:val="0016598C"/>
    <w:rsid w:val="001659EE"/>
    <w:rsid w:val="0016661F"/>
    <w:rsid w:val="00166AAD"/>
    <w:rsid w:val="00167128"/>
    <w:rsid w:val="00167339"/>
    <w:rsid w:val="001675B0"/>
    <w:rsid w:val="00167643"/>
    <w:rsid w:val="00167706"/>
    <w:rsid w:val="00167A7B"/>
    <w:rsid w:val="001705BD"/>
    <w:rsid w:val="0017072E"/>
    <w:rsid w:val="00170D5E"/>
    <w:rsid w:val="00170F1A"/>
    <w:rsid w:val="001714DC"/>
    <w:rsid w:val="00171554"/>
    <w:rsid w:val="0017170F"/>
    <w:rsid w:val="00171865"/>
    <w:rsid w:val="00171BC2"/>
    <w:rsid w:val="0017247D"/>
    <w:rsid w:val="00172680"/>
    <w:rsid w:val="001727DC"/>
    <w:rsid w:val="00172942"/>
    <w:rsid w:val="00172A0B"/>
    <w:rsid w:val="00172ABB"/>
    <w:rsid w:val="00172DA4"/>
    <w:rsid w:val="00173035"/>
    <w:rsid w:val="0017383C"/>
    <w:rsid w:val="00173EF0"/>
    <w:rsid w:val="001741C1"/>
    <w:rsid w:val="00174204"/>
    <w:rsid w:val="0017424C"/>
    <w:rsid w:val="00174488"/>
    <w:rsid w:val="00174A3B"/>
    <w:rsid w:val="00174C4A"/>
    <w:rsid w:val="00174F28"/>
    <w:rsid w:val="001753AB"/>
    <w:rsid w:val="00175450"/>
    <w:rsid w:val="00175583"/>
    <w:rsid w:val="00175746"/>
    <w:rsid w:val="00175941"/>
    <w:rsid w:val="00175D11"/>
    <w:rsid w:val="00176576"/>
    <w:rsid w:val="001767FD"/>
    <w:rsid w:val="00176876"/>
    <w:rsid w:val="00176C10"/>
    <w:rsid w:val="00176C75"/>
    <w:rsid w:val="00176FBA"/>
    <w:rsid w:val="001771CF"/>
    <w:rsid w:val="00177538"/>
    <w:rsid w:val="00177AC9"/>
    <w:rsid w:val="00177BAE"/>
    <w:rsid w:val="00177D97"/>
    <w:rsid w:val="0018028E"/>
    <w:rsid w:val="00180438"/>
    <w:rsid w:val="001804BA"/>
    <w:rsid w:val="00180550"/>
    <w:rsid w:val="00180E7E"/>
    <w:rsid w:val="0018104A"/>
    <w:rsid w:val="00181288"/>
    <w:rsid w:val="0018164B"/>
    <w:rsid w:val="00182A66"/>
    <w:rsid w:val="00182AE3"/>
    <w:rsid w:val="00182CA7"/>
    <w:rsid w:val="00182D98"/>
    <w:rsid w:val="00183C0F"/>
    <w:rsid w:val="00183E18"/>
    <w:rsid w:val="001841A6"/>
    <w:rsid w:val="00184372"/>
    <w:rsid w:val="001845D3"/>
    <w:rsid w:val="001847EB"/>
    <w:rsid w:val="00184C03"/>
    <w:rsid w:val="00185096"/>
    <w:rsid w:val="0018554E"/>
    <w:rsid w:val="00185898"/>
    <w:rsid w:val="00186648"/>
    <w:rsid w:val="00186672"/>
    <w:rsid w:val="001869B1"/>
    <w:rsid w:val="00186F86"/>
    <w:rsid w:val="0018739C"/>
    <w:rsid w:val="001875D1"/>
    <w:rsid w:val="00187B35"/>
    <w:rsid w:val="00187C67"/>
    <w:rsid w:val="001900A9"/>
    <w:rsid w:val="001900EC"/>
    <w:rsid w:val="001907A6"/>
    <w:rsid w:val="00190BE7"/>
    <w:rsid w:val="00190E2D"/>
    <w:rsid w:val="00190F8F"/>
    <w:rsid w:val="00191DB2"/>
    <w:rsid w:val="00191E89"/>
    <w:rsid w:val="00192021"/>
    <w:rsid w:val="00192A6A"/>
    <w:rsid w:val="00192A92"/>
    <w:rsid w:val="00192CFA"/>
    <w:rsid w:val="00192EC9"/>
    <w:rsid w:val="00193323"/>
    <w:rsid w:val="001933D5"/>
    <w:rsid w:val="00193A0A"/>
    <w:rsid w:val="0019441E"/>
    <w:rsid w:val="00194859"/>
    <w:rsid w:val="00194D8A"/>
    <w:rsid w:val="00195233"/>
    <w:rsid w:val="0019534C"/>
    <w:rsid w:val="00195470"/>
    <w:rsid w:val="00195828"/>
    <w:rsid w:val="001958D9"/>
    <w:rsid w:val="00195EA2"/>
    <w:rsid w:val="001961D9"/>
    <w:rsid w:val="00196680"/>
    <w:rsid w:val="001966F8"/>
    <w:rsid w:val="001977CE"/>
    <w:rsid w:val="00197E1B"/>
    <w:rsid w:val="00197F00"/>
    <w:rsid w:val="001A155E"/>
    <w:rsid w:val="001A1815"/>
    <w:rsid w:val="001A1AC4"/>
    <w:rsid w:val="001A218C"/>
    <w:rsid w:val="001A2B5E"/>
    <w:rsid w:val="001A32A0"/>
    <w:rsid w:val="001A340B"/>
    <w:rsid w:val="001A38E4"/>
    <w:rsid w:val="001A3B39"/>
    <w:rsid w:val="001A3BDF"/>
    <w:rsid w:val="001A3F4F"/>
    <w:rsid w:val="001A3F98"/>
    <w:rsid w:val="001A3FD6"/>
    <w:rsid w:val="001A48A2"/>
    <w:rsid w:val="001A534C"/>
    <w:rsid w:val="001A546E"/>
    <w:rsid w:val="001A56CC"/>
    <w:rsid w:val="001A57A7"/>
    <w:rsid w:val="001A57C4"/>
    <w:rsid w:val="001A5975"/>
    <w:rsid w:val="001A59FD"/>
    <w:rsid w:val="001A621D"/>
    <w:rsid w:val="001A68FA"/>
    <w:rsid w:val="001A6C7E"/>
    <w:rsid w:val="001A6CF4"/>
    <w:rsid w:val="001A6E1A"/>
    <w:rsid w:val="001A7091"/>
    <w:rsid w:val="001A70AF"/>
    <w:rsid w:val="001A70CF"/>
    <w:rsid w:val="001A71DA"/>
    <w:rsid w:val="001A74C5"/>
    <w:rsid w:val="001A7DF7"/>
    <w:rsid w:val="001B02AC"/>
    <w:rsid w:val="001B0504"/>
    <w:rsid w:val="001B07FA"/>
    <w:rsid w:val="001B0ABD"/>
    <w:rsid w:val="001B0ADE"/>
    <w:rsid w:val="001B1B16"/>
    <w:rsid w:val="001B1C58"/>
    <w:rsid w:val="001B25D8"/>
    <w:rsid w:val="001B2AE0"/>
    <w:rsid w:val="001B2BC0"/>
    <w:rsid w:val="001B3196"/>
    <w:rsid w:val="001B33E2"/>
    <w:rsid w:val="001B348B"/>
    <w:rsid w:val="001B36B9"/>
    <w:rsid w:val="001B3C7F"/>
    <w:rsid w:val="001B3D28"/>
    <w:rsid w:val="001B4090"/>
    <w:rsid w:val="001B467C"/>
    <w:rsid w:val="001B4A1C"/>
    <w:rsid w:val="001B4A59"/>
    <w:rsid w:val="001B4D02"/>
    <w:rsid w:val="001B4F29"/>
    <w:rsid w:val="001B50A7"/>
    <w:rsid w:val="001B5246"/>
    <w:rsid w:val="001B583C"/>
    <w:rsid w:val="001B593F"/>
    <w:rsid w:val="001B5A40"/>
    <w:rsid w:val="001B5A5E"/>
    <w:rsid w:val="001B5C03"/>
    <w:rsid w:val="001B672A"/>
    <w:rsid w:val="001B727E"/>
    <w:rsid w:val="001B7501"/>
    <w:rsid w:val="001B796F"/>
    <w:rsid w:val="001B7AC4"/>
    <w:rsid w:val="001B7AF6"/>
    <w:rsid w:val="001B7C02"/>
    <w:rsid w:val="001B7EC7"/>
    <w:rsid w:val="001C0A2C"/>
    <w:rsid w:val="001C1317"/>
    <w:rsid w:val="001C15DF"/>
    <w:rsid w:val="001C1AAD"/>
    <w:rsid w:val="001C1F1F"/>
    <w:rsid w:val="001C233A"/>
    <w:rsid w:val="001C28DA"/>
    <w:rsid w:val="001C29EA"/>
    <w:rsid w:val="001C2F61"/>
    <w:rsid w:val="001C3597"/>
    <w:rsid w:val="001C359D"/>
    <w:rsid w:val="001C37A2"/>
    <w:rsid w:val="001C3AC7"/>
    <w:rsid w:val="001C41F6"/>
    <w:rsid w:val="001C443D"/>
    <w:rsid w:val="001C4572"/>
    <w:rsid w:val="001C4722"/>
    <w:rsid w:val="001C48F1"/>
    <w:rsid w:val="001C52B3"/>
    <w:rsid w:val="001C535B"/>
    <w:rsid w:val="001C582D"/>
    <w:rsid w:val="001C583A"/>
    <w:rsid w:val="001C597D"/>
    <w:rsid w:val="001C5EF8"/>
    <w:rsid w:val="001C5FDA"/>
    <w:rsid w:val="001C652A"/>
    <w:rsid w:val="001C6C24"/>
    <w:rsid w:val="001C6E95"/>
    <w:rsid w:val="001C70A5"/>
    <w:rsid w:val="001C7220"/>
    <w:rsid w:val="001C7928"/>
    <w:rsid w:val="001C79DE"/>
    <w:rsid w:val="001C7C8D"/>
    <w:rsid w:val="001C7F3F"/>
    <w:rsid w:val="001D0068"/>
    <w:rsid w:val="001D02F4"/>
    <w:rsid w:val="001D0FA9"/>
    <w:rsid w:val="001D11C7"/>
    <w:rsid w:val="001D1850"/>
    <w:rsid w:val="001D18F6"/>
    <w:rsid w:val="001D1C5E"/>
    <w:rsid w:val="001D1D17"/>
    <w:rsid w:val="001D2B24"/>
    <w:rsid w:val="001D2BC6"/>
    <w:rsid w:val="001D2BEC"/>
    <w:rsid w:val="001D2C1B"/>
    <w:rsid w:val="001D2C37"/>
    <w:rsid w:val="001D2E10"/>
    <w:rsid w:val="001D365A"/>
    <w:rsid w:val="001D3C1D"/>
    <w:rsid w:val="001D4221"/>
    <w:rsid w:val="001D4558"/>
    <w:rsid w:val="001D4764"/>
    <w:rsid w:val="001D4875"/>
    <w:rsid w:val="001D4C9B"/>
    <w:rsid w:val="001D588B"/>
    <w:rsid w:val="001D5AF1"/>
    <w:rsid w:val="001D5B36"/>
    <w:rsid w:val="001D5D18"/>
    <w:rsid w:val="001D605F"/>
    <w:rsid w:val="001D6083"/>
    <w:rsid w:val="001D638F"/>
    <w:rsid w:val="001D64A1"/>
    <w:rsid w:val="001D677C"/>
    <w:rsid w:val="001D6826"/>
    <w:rsid w:val="001D6909"/>
    <w:rsid w:val="001D6A16"/>
    <w:rsid w:val="001D6AAB"/>
    <w:rsid w:val="001D6B4F"/>
    <w:rsid w:val="001D6CCF"/>
    <w:rsid w:val="001D7978"/>
    <w:rsid w:val="001D7994"/>
    <w:rsid w:val="001D7BE0"/>
    <w:rsid w:val="001D7C65"/>
    <w:rsid w:val="001E0776"/>
    <w:rsid w:val="001E0A38"/>
    <w:rsid w:val="001E0EDC"/>
    <w:rsid w:val="001E1071"/>
    <w:rsid w:val="001E1726"/>
    <w:rsid w:val="001E17D3"/>
    <w:rsid w:val="001E1CC2"/>
    <w:rsid w:val="001E20EF"/>
    <w:rsid w:val="001E2218"/>
    <w:rsid w:val="001E2328"/>
    <w:rsid w:val="001E241D"/>
    <w:rsid w:val="001E287F"/>
    <w:rsid w:val="001E28C6"/>
    <w:rsid w:val="001E291A"/>
    <w:rsid w:val="001E29F2"/>
    <w:rsid w:val="001E2AFC"/>
    <w:rsid w:val="001E2CB8"/>
    <w:rsid w:val="001E3182"/>
    <w:rsid w:val="001E326A"/>
    <w:rsid w:val="001E32D9"/>
    <w:rsid w:val="001E33E9"/>
    <w:rsid w:val="001E456A"/>
    <w:rsid w:val="001E4B23"/>
    <w:rsid w:val="001E4D1F"/>
    <w:rsid w:val="001E4DD8"/>
    <w:rsid w:val="001E52B4"/>
    <w:rsid w:val="001E5453"/>
    <w:rsid w:val="001E56F9"/>
    <w:rsid w:val="001E5BF7"/>
    <w:rsid w:val="001E5F54"/>
    <w:rsid w:val="001E61CA"/>
    <w:rsid w:val="001E65BC"/>
    <w:rsid w:val="001E71E0"/>
    <w:rsid w:val="001E7902"/>
    <w:rsid w:val="001E7987"/>
    <w:rsid w:val="001E7B72"/>
    <w:rsid w:val="001E7D39"/>
    <w:rsid w:val="001E7D7D"/>
    <w:rsid w:val="001E7DE0"/>
    <w:rsid w:val="001E7F81"/>
    <w:rsid w:val="001F010D"/>
    <w:rsid w:val="001F0117"/>
    <w:rsid w:val="001F0193"/>
    <w:rsid w:val="001F0497"/>
    <w:rsid w:val="001F09FE"/>
    <w:rsid w:val="001F14CE"/>
    <w:rsid w:val="001F169E"/>
    <w:rsid w:val="001F179C"/>
    <w:rsid w:val="001F1A24"/>
    <w:rsid w:val="001F1B41"/>
    <w:rsid w:val="001F2058"/>
    <w:rsid w:val="001F232D"/>
    <w:rsid w:val="001F259D"/>
    <w:rsid w:val="001F292F"/>
    <w:rsid w:val="001F33F1"/>
    <w:rsid w:val="001F38AA"/>
    <w:rsid w:val="001F3DB2"/>
    <w:rsid w:val="001F3E3D"/>
    <w:rsid w:val="001F3EA5"/>
    <w:rsid w:val="001F4099"/>
    <w:rsid w:val="001F46C9"/>
    <w:rsid w:val="001F4839"/>
    <w:rsid w:val="001F532F"/>
    <w:rsid w:val="001F5DEA"/>
    <w:rsid w:val="001F6022"/>
    <w:rsid w:val="001F6AB4"/>
    <w:rsid w:val="001F6C72"/>
    <w:rsid w:val="001F6CE8"/>
    <w:rsid w:val="001F6D24"/>
    <w:rsid w:val="001F7044"/>
    <w:rsid w:val="001F714F"/>
    <w:rsid w:val="001F7389"/>
    <w:rsid w:val="001F769E"/>
    <w:rsid w:val="001F78D5"/>
    <w:rsid w:val="001F7C55"/>
    <w:rsid w:val="001F7DC1"/>
    <w:rsid w:val="0020006D"/>
    <w:rsid w:val="0020078F"/>
    <w:rsid w:val="00200937"/>
    <w:rsid w:val="00200A27"/>
    <w:rsid w:val="00200AEB"/>
    <w:rsid w:val="00201623"/>
    <w:rsid w:val="002016D1"/>
    <w:rsid w:val="00201870"/>
    <w:rsid w:val="00201ABD"/>
    <w:rsid w:val="00201C3B"/>
    <w:rsid w:val="002021CD"/>
    <w:rsid w:val="0020288C"/>
    <w:rsid w:val="0020296E"/>
    <w:rsid w:val="00202A90"/>
    <w:rsid w:val="002037AC"/>
    <w:rsid w:val="00203893"/>
    <w:rsid w:val="002039A9"/>
    <w:rsid w:val="00203B1C"/>
    <w:rsid w:val="00203E21"/>
    <w:rsid w:val="002043D1"/>
    <w:rsid w:val="00204C53"/>
    <w:rsid w:val="002051AB"/>
    <w:rsid w:val="0020558A"/>
    <w:rsid w:val="002056EE"/>
    <w:rsid w:val="002059CB"/>
    <w:rsid w:val="00205E0F"/>
    <w:rsid w:val="002062CE"/>
    <w:rsid w:val="002066CC"/>
    <w:rsid w:val="0020682B"/>
    <w:rsid w:val="002068E7"/>
    <w:rsid w:val="002069B1"/>
    <w:rsid w:val="00206AA0"/>
    <w:rsid w:val="00206ABE"/>
    <w:rsid w:val="0020714F"/>
    <w:rsid w:val="002077F4"/>
    <w:rsid w:val="00207871"/>
    <w:rsid w:val="002079F2"/>
    <w:rsid w:val="00207C7D"/>
    <w:rsid w:val="00207CC0"/>
    <w:rsid w:val="00210016"/>
    <w:rsid w:val="0021022F"/>
    <w:rsid w:val="002109A2"/>
    <w:rsid w:val="00210CBE"/>
    <w:rsid w:val="00210F3B"/>
    <w:rsid w:val="00211907"/>
    <w:rsid w:val="00211A7C"/>
    <w:rsid w:val="00211AA2"/>
    <w:rsid w:val="00211FE5"/>
    <w:rsid w:val="00211FED"/>
    <w:rsid w:val="002120B6"/>
    <w:rsid w:val="002125C9"/>
    <w:rsid w:val="00212E4A"/>
    <w:rsid w:val="00212EE0"/>
    <w:rsid w:val="00213150"/>
    <w:rsid w:val="0021356D"/>
    <w:rsid w:val="00213D74"/>
    <w:rsid w:val="00214756"/>
    <w:rsid w:val="00214D92"/>
    <w:rsid w:val="00214DD0"/>
    <w:rsid w:val="002151D3"/>
    <w:rsid w:val="0021521C"/>
    <w:rsid w:val="00215FC1"/>
    <w:rsid w:val="0021651C"/>
    <w:rsid w:val="0021672E"/>
    <w:rsid w:val="0021683D"/>
    <w:rsid w:val="00216872"/>
    <w:rsid w:val="002169FB"/>
    <w:rsid w:val="00216B54"/>
    <w:rsid w:val="00217055"/>
    <w:rsid w:val="002179A4"/>
    <w:rsid w:val="00217E48"/>
    <w:rsid w:val="002200DA"/>
    <w:rsid w:val="00220520"/>
    <w:rsid w:val="002206DB"/>
    <w:rsid w:val="00220BC3"/>
    <w:rsid w:val="00220E83"/>
    <w:rsid w:val="0022169A"/>
    <w:rsid w:val="0022184F"/>
    <w:rsid w:val="00221A60"/>
    <w:rsid w:val="00221F3D"/>
    <w:rsid w:val="0022211D"/>
    <w:rsid w:val="002222CE"/>
    <w:rsid w:val="002225DF"/>
    <w:rsid w:val="002226E7"/>
    <w:rsid w:val="00222915"/>
    <w:rsid w:val="00223282"/>
    <w:rsid w:val="002239F2"/>
    <w:rsid w:val="00223EF6"/>
    <w:rsid w:val="0022401F"/>
    <w:rsid w:val="0022423D"/>
    <w:rsid w:val="002245EE"/>
    <w:rsid w:val="0022502E"/>
    <w:rsid w:val="002251B3"/>
    <w:rsid w:val="002251EE"/>
    <w:rsid w:val="002254F3"/>
    <w:rsid w:val="002256CB"/>
    <w:rsid w:val="00225883"/>
    <w:rsid w:val="00225FB3"/>
    <w:rsid w:val="002267E9"/>
    <w:rsid w:val="00226EED"/>
    <w:rsid w:val="0022716D"/>
    <w:rsid w:val="002271F3"/>
    <w:rsid w:val="002277BD"/>
    <w:rsid w:val="002301E4"/>
    <w:rsid w:val="002302DC"/>
    <w:rsid w:val="00230DFA"/>
    <w:rsid w:val="00231265"/>
    <w:rsid w:val="0023167A"/>
    <w:rsid w:val="00232620"/>
    <w:rsid w:val="0023299E"/>
    <w:rsid w:val="00232CB1"/>
    <w:rsid w:val="0023304B"/>
    <w:rsid w:val="0023388A"/>
    <w:rsid w:val="00233B07"/>
    <w:rsid w:val="00233C95"/>
    <w:rsid w:val="002341DC"/>
    <w:rsid w:val="0023423D"/>
    <w:rsid w:val="002343B1"/>
    <w:rsid w:val="00234509"/>
    <w:rsid w:val="00234812"/>
    <w:rsid w:val="00234A1B"/>
    <w:rsid w:val="00235071"/>
    <w:rsid w:val="0023531D"/>
    <w:rsid w:val="00235C55"/>
    <w:rsid w:val="002361FD"/>
    <w:rsid w:val="002363A1"/>
    <w:rsid w:val="002363F3"/>
    <w:rsid w:val="002365D1"/>
    <w:rsid w:val="00236E42"/>
    <w:rsid w:val="00236FBE"/>
    <w:rsid w:val="002371D9"/>
    <w:rsid w:val="00237662"/>
    <w:rsid w:val="00237673"/>
    <w:rsid w:val="00237961"/>
    <w:rsid w:val="00237B76"/>
    <w:rsid w:val="00237DAB"/>
    <w:rsid w:val="00237F73"/>
    <w:rsid w:val="002405CB"/>
    <w:rsid w:val="00240891"/>
    <w:rsid w:val="00240D5D"/>
    <w:rsid w:val="00240DAF"/>
    <w:rsid w:val="00241370"/>
    <w:rsid w:val="0024180E"/>
    <w:rsid w:val="00241D20"/>
    <w:rsid w:val="00241F67"/>
    <w:rsid w:val="0024240A"/>
    <w:rsid w:val="00243859"/>
    <w:rsid w:val="0024393B"/>
    <w:rsid w:val="00243ACD"/>
    <w:rsid w:val="00244285"/>
    <w:rsid w:val="002442C0"/>
    <w:rsid w:val="002443CE"/>
    <w:rsid w:val="00244D9D"/>
    <w:rsid w:val="00245096"/>
    <w:rsid w:val="0024548A"/>
    <w:rsid w:val="00245998"/>
    <w:rsid w:val="00245DD9"/>
    <w:rsid w:val="002460F0"/>
    <w:rsid w:val="00246153"/>
    <w:rsid w:val="002464B9"/>
    <w:rsid w:val="0024679A"/>
    <w:rsid w:val="00246914"/>
    <w:rsid w:val="00246936"/>
    <w:rsid w:val="00247443"/>
    <w:rsid w:val="002474EA"/>
    <w:rsid w:val="002502B0"/>
    <w:rsid w:val="00250952"/>
    <w:rsid w:val="00251000"/>
    <w:rsid w:val="002512A2"/>
    <w:rsid w:val="00251661"/>
    <w:rsid w:val="00251732"/>
    <w:rsid w:val="00252105"/>
    <w:rsid w:val="002521CF"/>
    <w:rsid w:val="002524AB"/>
    <w:rsid w:val="00252C48"/>
    <w:rsid w:val="00252E7F"/>
    <w:rsid w:val="00253328"/>
    <w:rsid w:val="002541FC"/>
    <w:rsid w:val="002544E5"/>
    <w:rsid w:val="002546EB"/>
    <w:rsid w:val="00254A97"/>
    <w:rsid w:val="00254BC1"/>
    <w:rsid w:val="00254CE3"/>
    <w:rsid w:val="00255471"/>
    <w:rsid w:val="00255D0F"/>
    <w:rsid w:val="0025600C"/>
    <w:rsid w:val="00256197"/>
    <w:rsid w:val="0025680F"/>
    <w:rsid w:val="002571B2"/>
    <w:rsid w:val="002576E1"/>
    <w:rsid w:val="00257DD0"/>
    <w:rsid w:val="00257E03"/>
    <w:rsid w:val="00260020"/>
    <w:rsid w:val="00261078"/>
    <w:rsid w:val="002610A6"/>
    <w:rsid w:val="002612BE"/>
    <w:rsid w:val="002613FA"/>
    <w:rsid w:val="002627F1"/>
    <w:rsid w:val="00262AC6"/>
    <w:rsid w:val="00263616"/>
    <w:rsid w:val="00263BD6"/>
    <w:rsid w:val="0026473F"/>
    <w:rsid w:val="00264EC1"/>
    <w:rsid w:val="002650EE"/>
    <w:rsid w:val="00265137"/>
    <w:rsid w:val="0026521B"/>
    <w:rsid w:val="00265280"/>
    <w:rsid w:val="00265965"/>
    <w:rsid w:val="00265E14"/>
    <w:rsid w:val="00267484"/>
    <w:rsid w:val="00267AE4"/>
    <w:rsid w:val="00267C56"/>
    <w:rsid w:val="002702CA"/>
    <w:rsid w:val="002707EF"/>
    <w:rsid w:val="00270AC9"/>
    <w:rsid w:val="00270C17"/>
    <w:rsid w:val="00270DBA"/>
    <w:rsid w:val="00270E66"/>
    <w:rsid w:val="002710B5"/>
    <w:rsid w:val="002712B7"/>
    <w:rsid w:val="00271CEF"/>
    <w:rsid w:val="0027270A"/>
    <w:rsid w:val="002727F9"/>
    <w:rsid w:val="002727FE"/>
    <w:rsid w:val="00272888"/>
    <w:rsid w:val="00272B66"/>
    <w:rsid w:val="00272CF2"/>
    <w:rsid w:val="002734B2"/>
    <w:rsid w:val="0027437A"/>
    <w:rsid w:val="002744D0"/>
    <w:rsid w:val="00274B1C"/>
    <w:rsid w:val="00274DFE"/>
    <w:rsid w:val="00274ECE"/>
    <w:rsid w:val="00275152"/>
    <w:rsid w:val="00275B90"/>
    <w:rsid w:val="00276B90"/>
    <w:rsid w:val="00276BD8"/>
    <w:rsid w:val="00277347"/>
    <w:rsid w:val="0027775A"/>
    <w:rsid w:val="002779EF"/>
    <w:rsid w:val="00277E27"/>
    <w:rsid w:val="0028088E"/>
    <w:rsid w:val="00280F1B"/>
    <w:rsid w:val="00281EBA"/>
    <w:rsid w:val="00282A24"/>
    <w:rsid w:val="00282CA4"/>
    <w:rsid w:val="002839F6"/>
    <w:rsid w:val="00283BEF"/>
    <w:rsid w:val="00283E98"/>
    <w:rsid w:val="00283EEB"/>
    <w:rsid w:val="002842CA"/>
    <w:rsid w:val="00284495"/>
    <w:rsid w:val="00284EF5"/>
    <w:rsid w:val="00284F33"/>
    <w:rsid w:val="002850C4"/>
    <w:rsid w:val="0028534E"/>
    <w:rsid w:val="002859A6"/>
    <w:rsid w:val="00285D7C"/>
    <w:rsid w:val="00285F7E"/>
    <w:rsid w:val="00286C9B"/>
    <w:rsid w:val="002871A7"/>
    <w:rsid w:val="00287A3F"/>
    <w:rsid w:val="00290367"/>
    <w:rsid w:val="00290D3F"/>
    <w:rsid w:val="0029140F"/>
    <w:rsid w:val="002914B6"/>
    <w:rsid w:val="0029162B"/>
    <w:rsid w:val="00291738"/>
    <w:rsid w:val="00291A20"/>
    <w:rsid w:val="00291C7A"/>
    <w:rsid w:val="00291EFD"/>
    <w:rsid w:val="00292350"/>
    <w:rsid w:val="00293A4D"/>
    <w:rsid w:val="00294226"/>
    <w:rsid w:val="002945DC"/>
    <w:rsid w:val="0029467D"/>
    <w:rsid w:val="00294691"/>
    <w:rsid w:val="002949E0"/>
    <w:rsid w:val="00294A3F"/>
    <w:rsid w:val="00294E70"/>
    <w:rsid w:val="002955B8"/>
    <w:rsid w:val="00295A0E"/>
    <w:rsid w:val="00295A5D"/>
    <w:rsid w:val="00295DD3"/>
    <w:rsid w:val="002962EE"/>
    <w:rsid w:val="00296F58"/>
    <w:rsid w:val="00297376"/>
    <w:rsid w:val="0029791E"/>
    <w:rsid w:val="00297DCE"/>
    <w:rsid w:val="00297E89"/>
    <w:rsid w:val="00297FBF"/>
    <w:rsid w:val="002A0038"/>
    <w:rsid w:val="002A0BB9"/>
    <w:rsid w:val="002A11D1"/>
    <w:rsid w:val="002A13A3"/>
    <w:rsid w:val="002A18C1"/>
    <w:rsid w:val="002A1C29"/>
    <w:rsid w:val="002A2904"/>
    <w:rsid w:val="002A2C28"/>
    <w:rsid w:val="002A2F4E"/>
    <w:rsid w:val="002A2FD5"/>
    <w:rsid w:val="002A3304"/>
    <w:rsid w:val="002A369B"/>
    <w:rsid w:val="002A381A"/>
    <w:rsid w:val="002A3E64"/>
    <w:rsid w:val="002A4469"/>
    <w:rsid w:val="002A544B"/>
    <w:rsid w:val="002A555D"/>
    <w:rsid w:val="002A55C0"/>
    <w:rsid w:val="002A57CB"/>
    <w:rsid w:val="002A585C"/>
    <w:rsid w:val="002A6051"/>
    <w:rsid w:val="002A634E"/>
    <w:rsid w:val="002A650C"/>
    <w:rsid w:val="002A6A4D"/>
    <w:rsid w:val="002A6C4E"/>
    <w:rsid w:val="002A6C6D"/>
    <w:rsid w:val="002A6D66"/>
    <w:rsid w:val="002A7C3B"/>
    <w:rsid w:val="002A7EA9"/>
    <w:rsid w:val="002A7F36"/>
    <w:rsid w:val="002B036C"/>
    <w:rsid w:val="002B03FF"/>
    <w:rsid w:val="002B0557"/>
    <w:rsid w:val="002B0592"/>
    <w:rsid w:val="002B07D9"/>
    <w:rsid w:val="002B0C76"/>
    <w:rsid w:val="002B0E70"/>
    <w:rsid w:val="002B0F79"/>
    <w:rsid w:val="002B1107"/>
    <w:rsid w:val="002B1C61"/>
    <w:rsid w:val="002B1CC9"/>
    <w:rsid w:val="002B2DDB"/>
    <w:rsid w:val="002B324C"/>
    <w:rsid w:val="002B33E5"/>
    <w:rsid w:val="002B37A0"/>
    <w:rsid w:val="002B41E4"/>
    <w:rsid w:val="002B438F"/>
    <w:rsid w:val="002B44A6"/>
    <w:rsid w:val="002B4938"/>
    <w:rsid w:val="002B4A1E"/>
    <w:rsid w:val="002B4D79"/>
    <w:rsid w:val="002B5560"/>
    <w:rsid w:val="002B5874"/>
    <w:rsid w:val="002B5948"/>
    <w:rsid w:val="002B5B6C"/>
    <w:rsid w:val="002B5C31"/>
    <w:rsid w:val="002B735E"/>
    <w:rsid w:val="002B78BA"/>
    <w:rsid w:val="002C02A3"/>
    <w:rsid w:val="002C05B6"/>
    <w:rsid w:val="002C0CBE"/>
    <w:rsid w:val="002C0FD1"/>
    <w:rsid w:val="002C102B"/>
    <w:rsid w:val="002C162D"/>
    <w:rsid w:val="002C17D7"/>
    <w:rsid w:val="002C1F92"/>
    <w:rsid w:val="002C2240"/>
    <w:rsid w:val="002C24EA"/>
    <w:rsid w:val="002C2B1A"/>
    <w:rsid w:val="002C2CA8"/>
    <w:rsid w:val="002C3251"/>
    <w:rsid w:val="002C3E70"/>
    <w:rsid w:val="002C3ED7"/>
    <w:rsid w:val="002C490A"/>
    <w:rsid w:val="002C4A9C"/>
    <w:rsid w:val="002C5197"/>
    <w:rsid w:val="002C533F"/>
    <w:rsid w:val="002C5E8A"/>
    <w:rsid w:val="002C5FF5"/>
    <w:rsid w:val="002C62F1"/>
    <w:rsid w:val="002C693B"/>
    <w:rsid w:val="002C6A98"/>
    <w:rsid w:val="002C6EAB"/>
    <w:rsid w:val="002C7272"/>
    <w:rsid w:val="002C7669"/>
    <w:rsid w:val="002D03FB"/>
    <w:rsid w:val="002D1750"/>
    <w:rsid w:val="002D1809"/>
    <w:rsid w:val="002D1AD0"/>
    <w:rsid w:val="002D2010"/>
    <w:rsid w:val="002D221F"/>
    <w:rsid w:val="002D2572"/>
    <w:rsid w:val="002D2590"/>
    <w:rsid w:val="002D2879"/>
    <w:rsid w:val="002D2955"/>
    <w:rsid w:val="002D2D19"/>
    <w:rsid w:val="002D3424"/>
    <w:rsid w:val="002D3BBA"/>
    <w:rsid w:val="002D3D51"/>
    <w:rsid w:val="002D3F6D"/>
    <w:rsid w:val="002D4595"/>
    <w:rsid w:val="002D4BEB"/>
    <w:rsid w:val="002D4E0B"/>
    <w:rsid w:val="002D4F18"/>
    <w:rsid w:val="002D523D"/>
    <w:rsid w:val="002D524E"/>
    <w:rsid w:val="002D544D"/>
    <w:rsid w:val="002D56C2"/>
    <w:rsid w:val="002D5F9F"/>
    <w:rsid w:val="002D63C6"/>
    <w:rsid w:val="002D648D"/>
    <w:rsid w:val="002D6D7F"/>
    <w:rsid w:val="002D735B"/>
    <w:rsid w:val="002D754E"/>
    <w:rsid w:val="002D777E"/>
    <w:rsid w:val="002E00DB"/>
    <w:rsid w:val="002E00E7"/>
    <w:rsid w:val="002E1095"/>
    <w:rsid w:val="002E11FD"/>
    <w:rsid w:val="002E1A0C"/>
    <w:rsid w:val="002E1AED"/>
    <w:rsid w:val="002E1BE3"/>
    <w:rsid w:val="002E1E28"/>
    <w:rsid w:val="002E1E89"/>
    <w:rsid w:val="002E25BE"/>
    <w:rsid w:val="002E2D56"/>
    <w:rsid w:val="002E34E7"/>
    <w:rsid w:val="002E3A0C"/>
    <w:rsid w:val="002E3B1F"/>
    <w:rsid w:val="002E40EE"/>
    <w:rsid w:val="002E458D"/>
    <w:rsid w:val="002E496A"/>
    <w:rsid w:val="002E4A0C"/>
    <w:rsid w:val="002E4F81"/>
    <w:rsid w:val="002E5253"/>
    <w:rsid w:val="002E59C8"/>
    <w:rsid w:val="002E5EA2"/>
    <w:rsid w:val="002E6B4B"/>
    <w:rsid w:val="002E6F06"/>
    <w:rsid w:val="002E76EA"/>
    <w:rsid w:val="002E79D8"/>
    <w:rsid w:val="002E79FA"/>
    <w:rsid w:val="002E7AEB"/>
    <w:rsid w:val="002E7AF0"/>
    <w:rsid w:val="002E7B0C"/>
    <w:rsid w:val="002F03D1"/>
    <w:rsid w:val="002F0537"/>
    <w:rsid w:val="002F0BCA"/>
    <w:rsid w:val="002F0EBE"/>
    <w:rsid w:val="002F133F"/>
    <w:rsid w:val="002F2507"/>
    <w:rsid w:val="002F250F"/>
    <w:rsid w:val="002F2BF6"/>
    <w:rsid w:val="002F2E21"/>
    <w:rsid w:val="002F2F56"/>
    <w:rsid w:val="002F320E"/>
    <w:rsid w:val="002F359D"/>
    <w:rsid w:val="002F3B08"/>
    <w:rsid w:val="002F441D"/>
    <w:rsid w:val="002F449E"/>
    <w:rsid w:val="002F51FE"/>
    <w:rsid w:val="002F5368"/>
    <w:rsid w:val="002F59C0"/>
    <w:rsid w:val="002F5C9B"/>
    <w:rsid w:val="002F655D"/>
    <w:rsid w:val="002F65B1"/>
    <w:rsid w:val="002F6CC6"/>
    <w:rsid w:val="002F7649"/>
    <w:rsid w:val="0030013F"/>
    <w:rsid w:val="003005F6"/>
    <w:rsid w:val="003009B7"/>
    <w:rsid w:val="0030175E"/>
    <w:rsid w:val="003018CE"/>
    <w:rsid w:val="00301A4B"/>
    <w:rsid w:val="00301E38"/>
    <w:rsid w:val="00302190"/>
    <w:rsid w:val="00302474"/>
    <w:rsid w:val="00302A88"/>
    <w:rsid w:val="00303588"/>
    <w:rsid w:val="00303607"/>
    <w:rsid w:val="0030375C"/>
    <w:rsid w:val="003037CA"/>
    <w:rsid w:val="00303AFF"/>
    <w:rsid w:val="00303EFF"/>
    <w:rsid w:val="00303F9D"/>
    <w:rsid w:val="003048B0"/>
    <w:rsid w:val="0030491A"/>
    <w:rsid w:val="00304E75"/>
    <w:rsid w:val="0030509E"/>
    <w:rsid w:val="0030558B"/>
    <w:rsid w:val="003055D9"/>
    <w:rsid w:val="00306156"/>
    <w:rsid w:val="0030623D"/>
    <w:rsid w:val="00306772"/>
    <w:rsid w:val="00306782"/>
    <w:rsid w:val="003067E9"/>
    <w:rsid w:val="003074C7"/>
    <w:rsid w:val="003100E4"/>
    <w:rsid w:val="003102C5"/>
    <w:rsid w:val="0031082A"/>
    <w:rsid w:val="00310972"/>
    <w:rsid w:val="00310A8A"/>
    <w:rsid w:val="00310CB7"/>
    <w:rsid w:val="00311056"/>
    <w:rsid w:val="0031182C"/>
    <w:rsid w:val="00311AE3"/>
    <w:rsid w:val="00311ECD"/>
    <w:rsid w:val="00312531"/>
    <w:rsid w:val="00313820"/>
    <w:rsid w:val="003139F3"/>
    <w:rsid w:val="00313BDA"/>
    <w:rsid w:val="0031437B"/>
    <w:rsid w:val="003155BD"/>
    <w:rsid w:val="003156F9"/>
    <w:rsid w:val="0031582A"/>
    <w:rsid w:val="003159CE"/>
    <w:rsid w:val="00315C6D"/>
    <w:rsid w:val="00315E96"/>
    <w:rsid w:val="00316513"/>
    <w:rsid w:val="0031663A"/>
    <w:rsid w:val="0031683D"/>
    <w:rsid w:val="00316F6D"/>
    <w:rsid w:val="0031772B"/>
    <w:rsid w:val="00317CA1"/>
    <w:rsid w:val="00317E7C"/>
    <w:rsid w:val="00320470"/>
    <w:rsid w:val="003205E0"/>
    <w:rsid w:val="00320685"/>
    <w:rsid w:val="0032096E"/>
    <w:rsid w:val="00320ED0"/>
    <w:rsid w:val="00321234"/>
    <w:rsid w:val="0032187D"/>
    <w:rsid w:val="00321CCD"/>
    <w:rsid w:val="00322014"/>
    <w:rsid w:val="003220C5"/>
    <w:rsid w:val="003222B7"/>
    <w:rsid w:val="003227CF"/>
    <w:rsid w:val="00322AE5"/>
    <w:rsid w:val="0032371B"/>
    <w:rsid w:val="003238BF"/>
    <w:rsid w:val="00324446"/>
    <w:rsid w:val="003245C3"/>
    <w:rsid w:val="00324721"/>
    <w:rsid w:val="003254D7"/>
    <w:rsid w:val="003258E6"/>
    <w:rsid w:val="00325C53"/>
    <w:rsid w:val="00325E59"/>
    <w:rsid w:val="003262AC"/>
    <w:rsid w:val="00326846"/>
    <w:rsid w:val="0032696C"/>
    <w:rsid w:val="00327163"/>
    <w:rsid w:val="003272D7"/>
    <w:rsid w:val="0032769B"/>
    <w:rsid w:val="00327BBC"/>
    <w:rsid w:val="00327F25"/>
    <w:rsid w:val="0033002B"/>
    <w:rsid w:val="003303A2"/>
    <w:rsid w:val="00330A39"/>
    <w:rsid w:val="00330A47"/>
    <w:rsid w:val="00330A52"/>
    <w:rsid w:val="00330BD3"/>
    <w:rsid w:val="00330CFA"/>
    <w:rsid w:val="00330D5E"/>
    <w:rsid w:val="00330F81"/>
    <w:rsid w:val="003311DC"/>
    <w:rsid w:val="0033213E"/>
    <w:rsid w:val="00332499"/>
    <w:rsid w:val="003324EA"/>
    <w:rsid w:val="00332939"/>
    <w:rsid w:val="00332B72"/>
    <w:rsid w:val="00332EAC"/>
    <w:rsid w:val="003331D9"/>
    <w:rsid w:val="00333EB2"/>
    <w:rsid w:val="003345D3"/>
    <w:rsid w:val="003347BA"/>
    <w:rsid w:val="00334D2C"/>
    <w:rsid w:val="00334ED1"/>
    <w:rsid w:val="00334F16"/>
    <w:rsid w:val="0033552D"/>
    <w:rsid w:val="00335627"/>
    <w:rsid w:val="00335959"/>
    <w:rsid w:val="00335DA1"/>
    <w:rsid w:val="00335EFB"/>
    <w:rsid w:val="00336172"/>
    <w:rsid w:val="00336591"/>
    <w:rsid w:val="003365B6"/>
    <w:rsid w:val="00336A45"/>
    <w:rsid w:val="00336E3D"/>
    <w:rsid w:val="00336F20"/>
    <w:rsid w:val="0033788B"/>
    <w:rsid w:val="00337B53"/>
    <w:rsid w:val="0034088F"/>
    <w:rsid w:val="00341805"/>
    <w:rsid w:val="003419C4"/>
    <w:rsid w:val="00341B94"/>
    <w:rsid w:val="00343079"/>
    <w:rsid w:val="003430A9"/>
    <w:rsid w:val="0034334A"/>
    <w:rsid w:val="00343401"/>
    <w:rsid w:val="00343B5D"/>
    <w:rsid w:val="003440E3"/>
    <w:rsid w:val="0034422D"/>
    <w:rsid w:val="00344291"/>
    <w:rsid w:val="003449E3"/>
    <w:rsid w:val="00344C60"/>
    <w:rsid w:val="00345039"/>
    <w:rsid w:val="00345272"/>
    <w:rsid w:val="0034544E"/>
    <w:rsid w:val="00345683"/>
    <w:rsid w:val="003460F3"/>
    <w:rsid w:val="003461A0"/>
    <w:rsid w:val="0034637C"/>
    <w:rsid w:val="0034677A"/>
    <w:rsid w:val="00346FD8"/>
    <w:rsid w:val="00347016"/>
    <w:rsid w:val="003472A1"/>
    <w:rsid w:val="00347E3E"/>
    <w:rsid w:val="00350466"/>
    <w:rsid w:val="00350654"/>
    <w:rsid w:val="00351302"/>
    <w:rsid w:val="003519FE"/>
    <w:rsid w:val="00351B23"/>
    <w:rsid w:val="00351FB9"/>
    <w:rsid w:val="003523A6"/>
    <w:rsid w:val="0035244B"/>
    <w:rsid w:val="0035291B"/>
    <w:rsid w:val="00352E5A"/>
    <w:rsid w:val="00352FAC"/>
    <w:rsid w:val="003531E5"/>
    <w:rsid w:val="00353795"/>
    <w:rsid w:val="00353A70"/>
    <w:rsid w:val="00353B08"/>
    <w:rsid w:val="00353D32"/>
    <w:rsid w:val="00353D99"/>
    <w:rsid w:val="0035436E"/>
    <w:rsid w:val="003547A3"/>
    <w:rsid w:val="00354A4C"/>
    <w:rsid w:val="003557BE"/>
    <w:rsid w:val="003558FA"/>
    <w:rsid w:val="00355A1F"/>
    <w:rsid w:val="00355B1C"/>
    <w:rsid w:val="00355D6E"/>
    <w:rsid w:val="00356167"/>
    <w:rsid w:val="00356327"/>
    <w:rsid w:val="0035660F"/>
    <w:rsid w:val="00356BA4"/>
    <w:rsid w:val="00357700"/>
    <w:rsid w:val="00357B4E"/>
    <w:rsid w:val="00357C0A"/>
    <w:rsid w:val="00357E72"/>
    <w:rsid w:val="00357F64"/>
    <w:rsid w:val="0036005B"/>
    <w:rsid w:val="003600DB"/>
    <w:rsid w:val="0036157E"/>
    <w:rsid w:val="003616B5"/>
    <w:rsid w:val="003619D1"/>
    <w:rsid w:val="003619E1"/>
    <w:rsid w:val="00361B5C"/>
    <w:rsid w:val="00361C38"/>
    <w:rsid w:val="00361F3F"/>
    <w:rsid w:val="0036225A"/>
    <w:rsid w:val="00362619"/>
    <w:rsid w:val="00362767"/>
    <w:rsid w:val="003636E3"/>
    <w:rsid w:val="00363909"/>
    <w:rsid w:val="00363A78"/>
    <w:rsid w:val="00363ABA"/>
    <w:rsid w:val="00363C80"/>
    <w:rsid w:val="00363E05"/>
    <w:rsid w:val="00364033"/>
    <w:rsid w:val="00364194"/>
    <w:rsid w:val="00364516"/>
    <w:rsid w:val="0036489E"/>
    <w:rsid w:val="003649E0"/>
    <w:rsid w:val="00365601"/>
    <w:rsid w:val="00365C42"/>
    <w:rsid w:val="00365F98"/>
    <w:rsid w:val="00366446"/>
    <w:rsid w:val="003667CB"/>
    <w:rsid w:val="0036684B"/>
    <w:rsid w:val="003669EC"/>
    <w:rsid w:val="00366A03"/>
    <w:rsid w:val="003670C7"/>
    <w:rsid w:val="003670DE"/>
    <w:rsid w:val="0036782C"/>
    <w:rsid w:val="00367B3F"/>
    <w:rsid w:val="00367BC7"/>
    <w:rsid w:val="00367C9A"/>
    <w:rsid w:val="00370140"/>
    <w:rsid w:val="00370B65"/>
    <w:rsid w:val="00370C5B"/>
    <w:rsid w:val="00371185"/>
    <w:rsid w:val="0037122E"/>
    <w:rsid w:val="003718EF"/>
    <w:rsid w:val="0037200D"/>
    <w:rsid w:val="00372875"/>
    <w:rsid w:val="00372C3C"/>
    <w:rsid w:val="00373881"/>
    <w:rsid w:val="00373B47"/>
    <w:rsid w:val="00373CEC"/>
    <w:rsid w:val="00373D57"/>
    <w:rsid w:val="00374FAC"/>
    <w:rsid w:val="00374FEB"/>
    <w:rsid w:val="003750D7"/>
    <w:rsid w:val="00375116"/>
    <w:rsid w:val="003758DB"/>
    <w:rsid w:val="00375924"/>
    <w:rsid w:val="00376F54"/>
    <w:rsid w:val="00377048"/>
    <w:rsid w:val="00377374"/>
    <w:rsid w:val="003773BB"/>
    <w:rsid w:val="00377688"/>
    <w:rsid w:val="00377891"/>
    <w:rsid w:val="00377B75"/>
    <w:rsid w:val="00377CC7"/>
    <w:rsid w:val="00380550"/>
    <w:rsid w:val="003808A9"/>
    <w:rsid w:val="00380C73"/>
    <w:rsid w:val="00380D21"/>
    <w:rsid w:val="00380FC6"/>
    <w:rsid w:val="003819A5"/>
    <w:rsid w:val="00381A50"/>
    <w:rsid w:val="00381A7A"/>
    <w:rsid w:val="00381DD6"/>
    <w:rsid w:val="00381F3E"/>
    <w:rsid w:val="003823A4"/>
    <w:rsid w:val="00382561"/>
    <w:rsid w:val="003826D5"/>
    <w:rsid w:val="00382733"/>
    <w:rsid w:val="00382ACD"/>
    <w:rsid w:val="00382B11"/>
    <w:rsid w:val="00382E0A"/>
    <w:rsid w:val="00382F3F"/>
    <w:rsid w:val="00383667"/>
    <w:rsid w:val="00383815"/>
    <w:rsid w:val="003838E4"/>
    <w:rsid w:val="00383C08"/>
    <w:rsid w:val="00383E38"/>
    <w:rsid w:val="0038403B"/>
    <w:rsid w:val="00384187"/>
    <w:rsid w:val="00384377"/>
    <w:rsid w:val="0038482A"/>
    <w:rsid w:val="00384924"/>
    <w:rsid w:val="00384CD6"/>
    <w:rsid w:val="00385DC2"/>
    <w:rsid w:val="00385DE7"/>
    <w:rsid w:val="003865F6"/>
    <w:rsid w:val="00386604"/>
    <w:rsid w:val="003869ED"/>
    <w:rsid w:val="00386F30"/>
    <w:rsid w:val="003875A7"/>
    <w:rsid w:val="00387BCD"/>
    <w:rsid w:val="00387D11"/>
    <w:rsid w:val="003902D6"/>
    <w:rsid w:val="003903B6"/>
    <w:rsid w:val="003909D0"/>
    <w:rsid w:val="00390C6B"/>
    <w:rsid w:val="00391157"/>
    <w:rsid w:val="0039125E"/>
    <w:rsid w:val="0039177B"/>
    <w:rsid w:val="003919FA"/>
    <w:rsid w:val="00391D58"/>
    <w:rsid w:val="00391FEC"/>
    <w:rsid w:val="00392443"/>
    <w:rsid w:val="003926A7"/>
    <w:rsid w:val="00392764"/>
    <w:rsid w:val="00392A35"/>
    <w:rsid w:val="00392C6F"/>
    <w:rsid w:val="0039307B"/>
    <w:rsid w:val="00393AB9"/>
    <w:rsid w:val="00393AFC"/>
    <w:rsid w:val="00393E95"/>
    <w:rsid w:val="00394B9A"/>
    <w:rsid w:val="00395244"/>
    <w:rsid w:val="00395321"/>
    <w:rsid w:val="00395A04"/>
    <w:rsid w:val="00395E11"/>
    <w:rsid w:val="00395F22"/>
    <w:rsid w:val="003961FE"/>
    <w:rsid w:val="0039621A"/>
    <w:rsid w:val="00396293"/>
    <w:rsid w:val="00396C35"/>
    <w:rsid w:val="0039711B"/>
    <w:rsid w:val="003977CF"/>
    <w:rsid w:val="00397C3E"/>
    <w:rsid w:val="003A0024"/>
    <w:rsid w:val="003A04C3"/>
    <w:rsid w:val="003A0665"/>
    <w:rsid w:val="003A0960"/>
    <w:rsid w:val="003A0AAF"/>
    <w:rsid w:val="003A0C8F"/>
    <w:rsid w:val="003A0E27"/>
    <w:rsid w:val="003A0F4A"/>
    <w:rsid w:val="003A0F87"/>
    <w:rsid w:val="003A14F5"/>
    <w:rsid w:val="003A1537"/>
    <w:rsid w:val="003A17C2"/>
    <w:rsid w:val="003A1EF1"/>
    <w:rsid w:val="003A2076"/>
    <w:rsid w:val="003A22EA"/>
    <w:rsid w:val="003A2316"/>
    <w:rsid w:val="003A2572"/>
    <w:rsid w:val="003A27D6"/>
    <w:rsid w:val="003A2AB2"/>
    <w:rsid w:val="003A2CA1"/>
    <w:rsid w:val="003A3522"/>
    <w:rsid w:val="003A3FD2"/>
    <w:rsid w:val="003A431D"/>
    <w:rsid w:val="003A46D1"/>
    <w:rsid w:val="003A4A79"/>
    <w:rsid w:val="003A4CD0"/>
    <w:rsid w:val="003A50A6"/>
    <w:rsid w:val="003A5103"/>
    <w:rsid w:val="003A541C"/>
    <w:rsid w:val="003A5541"/>
    <w:rsid w:val="003A588B"/>
    <w:rsid w:val="003A58BF"/>
    <w:rsid w:val="003A5D86"/>
    <w:rsid w:val="003A6206"/>
    <w:rsid w:val="003A62D6"/>
    <w:rsid w:val="003A69DE"/>
    <w:rsid w:val="003A6D40"/>
    <w:rsid w:val="003A7157"/>
    <w:rsid w:val="003A726F"/>
    <w:rsid w:val="003A7461"/>
    <w:rsid w:val="003A748A"/>
    <w:rsid w:val="003A7C09"/>
    <w:rsid w:val="003A7F98"/>
    <w:rsid w:val="003B0157"/>
    <w:rsid w:val="003B0819"/>
    <w:rsid w:val="003B0BE4"/>
    <w:rsid w:val="003B0E74"/>
    <w:rsid w:val="003B16DE"/>
    <w:rsid w:val="003B1795"/>
    <w:rsid w:val="003B36AD"/>
    <w:rsid w:val="003B3ACF"/>
    <w:rsid w:val="003B4916"/>
    <w:rsid w:val="003B4A6E"/>
    <w:rsid w:val="003B4B99"/>
    <w:rsid w:val="003B52A5"/>
    <w:rsid w:val="003B556B"/>
    <w:rsid w:val="003B56D4"/>
    <w:rsid w:val="003B5A0D"/>
    <w:rsid w:val="003B5A73"/>
    <w:rsid w:val="003B5BF6"/>
    <w:rsid w:val="003B5C66"/>
    <w:rsid w:val="003B5D2B"/>
    <w:rsid w:val="003B5D8F"/>
    <w:rsid w:val="003B603B"/>
    <w:rsid w:val="003B655D"/>
    <w:rsid w:val="003B6584"/>
    <w:rsid w:val="003B65C9"/>
    <w:rsid w:val="003B660D"/>
    <w:rsid w:val="003B6C4D"/>
    <w:rsid w:val="003B711B"/>
    <w:rsid w:val="003B7815"/>
    <w:rsid w:val="003B7EDC"/>
    <w:rsid w:val="003C06EB"/>
    <w:rsid w:val="003C085E"/>
    <w:rsid w:val="003C0B1F"/>
    <w:rsid w:val="003C1034"/>
    <w:rsid w:val="003C10CD"/>
    <w:rsid w:val="003C163A"/>
    <w:rsid w:val="003C240F"/>
    <w:rsid w:val="003C24B5"/>
    <w:rsid w:val="003C28BC"/>
    <w:rsid w:val="003C2C80"/>
    <w:rsid w:val="003C345C"/>
    <w:rsid w:val="003C35BD"/>
    <w:rsid w:val="003C38A6"/>
    <w:rsid w:val="003C3A96"/>
    <w:rsid w:val="003C4243"/>
    <w:rsid w:val="003C45CA"/>
    <w:rsid w:val="003C51FC"/>
    <w:rsid w:val="003C5562"/>
    <w:rsid w:val="003C5789"/>
    <w:rsid w:val="003C5A45"/>
    <w:rsid w:val="003C5E67"/>
    <w:rsid w:val="003C6398"/>
    <w:rsid w:val="003C6D7E"/>
    <w:rsid w:val="003D0690"/>
    <w:rsid w:val="003D06A2"/>
    <w:rsid w:val="003D0C40"/>
    <w:rsid w:val="003D0E6E"/>
    <w:rsid w:val="003D1606"/>
    <w:rsid w:val="003D17FF"/>
    <w:rsid w:val="003D1BEB"/>
    <w:rsid w:val="003D2BFE"/>
    <w:rsid w:val="003D2DAF"/>
    <w:rsid w:val="003D2E06"/>
    <w:rsid w:val="003D31AC"/>
    <w:rsid w:val="003D356A"/>
    <w:rsid w:val="003D35A2"/>
    <w:rsid w:val="003D4703"/>
    <w:rsid w:val="003D489A"/>
    <w:rsid w:val="003D496C"/>
    <w:rsid w:val="003D49FB"/>
    <w:rsid w:val="003D4CBB"/>
    <w:rsid w:val="003D4D54"/>
    <w:rsid w:val="003D4DA5"/>
    <w:rsid w:val="003D5203"/>
    <w:rsid w:val="003D53EF"/>
    <w:rsid w:val="003D574F"/>
    <w:rsid w:val="003D5B1F"/>
    <w:rsid w:val="003D607F"/>
    <w:rsid w:val="003D648B"/>
    <w:rsid w:val="003D6D85"/>
    <w:rsid w:val="003D6E28"/>
    <w:rsid w:val="003D701A"/>
    <w:rsid w:val="003D7960"/>
    <w:rsid w:val="003D7CF2"/>
    <w:rsid w:val="003D7F92"/>
    <w:rsid w:val="003D7FF6"/>
    <w:rsid w:val="003E01D7"/>
    <w:rsid w:val="003E0200"/>
    <w:rsid w:val="003E02F4"/>
    <w:rsid w:val="003E0C22"/>
    <w:rsid w:val="003E0CCD"/>
    <w:rsid w:val="003E1402"/>
    <w:rsid w:val="003E1898"/>
    <w:rsid w:val="003E1F11"/>
    <w:rsid w:val="003E2BBF"/>
    <w:rsid w:val="003E2CA3"/>
    <w:rsid w:val="003E337E"/>
    <w:rsid w:val="003E3457"/>
    <w:rsid w:val="003E349A"/>
    <w:rsid w:val="003E36B3"/>
    <w:rsid w:val="003E3C1F"/>
    <w:rsid w:val="003E4470"/>
    <w:rsid w:val="003E4486"/>
    <w:rsid w:val="003E542A"/>
    <w:rsid w:val="003E5892"/>
    <w:rsid w:val="003E5956"/>
    <w:rsid w:val="003E5E3B"/>
    <w:rsid w:val="003E5E7C"/>
    <w:rsid w:val="003E6934"/>
    <w:rsid w:val="003E6CC7"/>
    <w:rsid w:val="003E6F80"/>
    <w:rsid w:val="003E72F4"/>
    <w:rsid w:val="003E7BF3"/>
    <w:rsid w:val="003E7DF2"/>
    <w:rsid w:val="003E7F40"/>
    <w:rsid w:val="003F0434"/>
    <w:rsid w:val="003F07DD"/>
    <w:rsid w:val="003F136C"/>
    <w:rsid w:val="003F19AD"/>
    <w:rsid w:val="003F1BC1"/>
    <w:rsid w:val="003F1CA4"/>
    <w:rsid w:val="003F1E87"/>
    <w:rsid w:val="003F2356"/>
    <w:rsid w:val="003F2763"/>
    <w:rsid w:val="003F2890"/>
    <w:rsid w:val="003F3262"/>
    <w:rsid w:val="003F37FA"/>
    <w:rsid w:val="003F38A9"/>
    <w:rsid w:val="003F3C1C"/>
    <w:rsid w:val="003F3CB6"/>
    <w:rsid w:val="003F4AB6"/>
    <w:rsid w:val="003F4DE7"/>
    <w:rsid w:val="003F5040"/>
    <w:rsid w:val="003F5660"/>
    <w:rsid w:val="003F56F4"/>
    <w:rsid w:val="003F5791"/>
    <w:rsid w:val="003F5ED0"/>
    <w:rsid w:val="003F5F77"/>
    <w:rsid w:val="003F6566"/>
    <w:rsid w:val="003F7AB2"/>
    <w:rsid w:val="003F7E28"/>
    <w:rsid w:val="003F7F18"/>
    <w:rsid w:val="00400028"/>
    <w:rsid w:val="00400220"/>
    <w:rsid w:val="00400925"/>
    <w:rsid w:val="00400974"/>
    <w:rsid w:val="00400CC9"/>
    <w:rsid w:val="0040138C"/>
    <w:rsid w:val="004018E4"/>
    <w:rsid w:val="00401A7A"/>
    <w:rsid w:val="00401D95"/>
    <w:rsid w:val="00401F30"/>
    <w:rsid w:val="004033BB"/>
    <w:rsid w:val="00403446"/>
    <w:rsid w:val="004034EA"/>
    <w:rsid w:val="004036A6"/>
    <w:rsid w:val="004038B7"/>
    <w:rsid w:val="0040390C"/>
    <w:rsid w:val="00403A40"/>
    <w:rsid w:val="00403A68"/>
    <w:rsid w:val="0040415B"/>
    <w:rsid w:val="00404215"/>
    <w:rsid w:val="004043BE"/>
    <w:rsid w:val="004048DA"/>
    <w:rsid w:val="00404942"/>
    <w:rsid w:val="00404BEC"/>
    <w:rsid w:val="00404CBA"/>
    <w:rsid w:val="00405432"/>
    <w:rsid w:val="004056C7"/>
    <w:rsid w:val="00406692"/>
    <w:rsid w:val="00406CA5"/>
    <w:rsid w:val="00406E5F"/>
    <w:rsid w:val="004072DA"/>
    <w:rsid w:val="004077D3"/>
    <w:rsid w:val="00407F5E"/>
    <w:rsid w:val="00407F89"/>
    <w:rsid w:val="00410454"/>
    <w:rsid w:val="00411583"/>
    <w:rsid w:val="004115F3"/>
    <w:rsid w:val="00411843"/>
    <w:rsid w:val="00411CD6"/>
    <w:rsid w:val="00411D9D"/>
    <w:rsid w:val="00412240"/>
    <w:rsid w:val="0041239D"/>
    <w:rsid w:val="004124E0"/>
    <w:rsid w:val="00412A9A"/>
    <w:rsid w:val="00412D5C"/>
    <w:rsid w:val="00413066"/>
    <w:rsid w:val="0041333A"/>
    <w:rsid w:val="00413481"/>
    <w:rsid w:val="004134C9"/>
    <w:rsid w:val="00413521"/>
    <w:rsid w:val="004135F6"/>
    <w:rsid w:val="00413BC6"/>
    <w:rsid w:val="0041425B"/>
    <w:rsid w:val="004145E0"/>
    <w:rsid w:val="0041472B"/>
    <w:rsid w:val="004148D9"/>
    <w:rsid w:val="00414AFD"/>
    <w:rsid w:val="00414ECE"/>
    <w:rsid w:val="0041512F"/>
    <w:rsid w:val="00415304"/>
    <w:rsid w:val="0041582A"/>
    <w:rsid w:val="00415DDB"/>
    <w:rsid w:val="00415F46"/>
    <w:rsid w:val="004161B6"/>
    <w:rsid w:val="00416239"/>
    <w:rsid w:val="00416270"/>
    <w:rsid w:val="00416651"/>
    <w:rsid w:val="00416EF1"/>
    <w:rsid w:val="00416F86"/>
    <w:rsid w:val="00420443"/>
    <w:rsid w:val="004207DA"/>
    <w:rsid w:val="004208FB"/>
    <w:rsid w:val="00420B0E"/>
    <w:rsid w:val="00420BAE"/>
    <w:rsid w:val="00420BC5"/>
    <w:rsid w:val="00420D2A"/>
    <w:rsid w:val="00420ED2"/>
    <w:rsid w:val="00420F1A"/>
    <w:rsid w:val="00421055"/>
    <w:rsid w:val="00421261"/>
    <w:rsid w:val="00421643"/>
    <w:rsid w:val="0042175E"/>
    <w:rsid w:val="00421986"/>
    <w:rsid w:val="00421FF5"/>
    <w:rsid w:val="0042251F"/>
    <w:rsid w:val="004228CA"/>
    <w:rsid w:val="00422979"/>
    <w:rsid w:val="00422B60"/>
    <w:rsid w:val="00422BC6"/>
    <w:rsid w:val="00422D35"/>
    <w:rsid w:val="00422D7F"/>
    <w:rsid w:val="004235F8"/>
    <w:rsid w:val="0042376E"/>
    <w:rsid w:val="004241B0"/>
    <w:rsid w:val="004242D8"/>
    <w:rsid w:val="00424D2B"/>
    <w:rsid w:val="004251BE"/>
    <w:rsid w:val="004255F1"/>
    <w:rsid w:val="00425946"/>
    <w:rsid w:val="00425AF0"/>
    <w:rsid w:val="00425CBB"/>
    <w:rsid w:val="00426065"/>
    <w:rsid w:val="00426100"/>
    <w:rsid w:val="0042619C"/>
    <w:rsid w:val="0042636E"/>
    <w:rsid w:val="004265C9"/>
    <w:rsid w:val="00426654"/>
    <w:rsid w:val="00427017"/>
    <w:rsid w:val="00427430"/>
    <w:rsid w:val="00430185"/>
    <w:rsid w:val="00430376"/>
    <w:rsid w:val="00430ED7"/>
    <w:rsid w:val="004310EB"/>
    <w:rsid w:val="0043123D"/>
    <w:rsid w:val="004312FD"/>
    <w:rsid w:val="0043171F"/>
    <w:rsid w:val="00431B9A"/>
    <w:rsid w:val="004322BC"/>
    <w:rsid w:val="004337AC"/>
    <w:rsid w:val="00433A81"/>
    <w:rsid w:val="0043410C"/>
    <w:rsid w:val="00434300"/>
    <w:rsid w:val="0043444A"/>
    <w:rsid w:val="0043466D"/>
    <w:rsid w:val="00434DB9"/>
    <w:rsid w:val="00434E9B"/>
    <w:rsid w:val="00435082"/>
    <w:rsid w:val="004351CE"/>
    <w:rsid w:val="0043529F"/>
    <w:rsid w:val="0043547D"/>
    <w:rsid w:val="00435A9F"/>
    <w:rsid w:val="00435C89"/>
    <w:rsid w:val="00435D9A"/>
    <w:rsid w:val="00436147"/>
    <w:rsid w:val="004362BA"/>
    <w:rsid w:val="0043646D"/>
    <w:rsid w:val="004368BA"/>
    <w:rsid w:val="00436B6F"/>
    <w:rsid w:val="00437022"/>
    <w:rsid w:val="004378F4"/>
    <w:rsid w:val="004379B4"/>
    <w:rsid w:val="00437C94"/>
    <w:rsid w:val="004401B1"/>
    <w:rsid w:val="00440756"/>
    <w:rsid w:val="00440A9C"/>
    <w:rsid w:val="00440BB5"/>
    <w:rsid w:val="004413AB"/>
    <w:rsid w:val="004413C0"/>
    <w:rsid w:val="00441C16"/>
    <w:rsid w:val="00442106"/>
    <w:rsid w:val="004421E8"/>
    <w:rsid w:val="00442894"/>
    <w:rsid w:val="004432C2"/>
    <w:rsid w:val="00443353"/>
    <w:rsid w:val="00443655"/>
    <w:rsid w:val="004437D3"/>
    <w:rsid w:val="0044387C"/>
    <w:rsid w:val="00443A1D"/>
    <w:rsid w:val="00444639"/>
    <w:rsid w:val="004446C3"/>
    <w:rsid w:val="00444816"/>
    <w:rsid w:val="00444B50"/>
    <w:rsid w:val="00444B7E"/>
    <w:rsid w:val="004454FD"/>
    <w:rsid w:val="00445522"/>
    <w:rsid w:val="00445D6E"/>
    <w:rsid w:val="00446172"/>
    <w:rsid w:val="004461BD"/>
    <w:rsid w:val="004465BA"/>
    <w:rsid w:val="004467DA"/>
    <w:rsid w:val="00446940"/>
    <w:rsid w:val="00446C09"/>
    <w:rsid w:val="00446D57"/>
    <w:rsid w:val="00447A1E"/>
    <w:rsid w:val="00450049"/>
    <w:rsid w:val="00450622"/>
    <w:rsid w:val="004508B2"/>
    <w:rsid w:val="0045166D"/>
    <w:rsid w:val="0045174B"/>
    <w:rsid w:val="0045210E"/>
    <w:rsid w:val="00452702"/>
    <w:rsid w:val="00452C47"/>
    <w:rsid w:val="00452E3C"/>
    <w:rsid w:val="004533D9"/>
    <w:rsid w:val="00453758"/>
    <w:rsid w:val="00453D9C"/>
    <w:rsid w:val="00454023"/>
    <w:rsid w:val="004541EC"/>
    <w:rsid w:val="0045425B"/>
    <w:rsid w:val="004548A9"/>
    <w:rsid w:val="00454F29"/>
    <w:rsid w:val="00455287"/>
    <w:rsid w:val="00455327"/>
    <w:rsid w:val="00455FCA"/>
    <w:rsid w:val="004566FF"/>
    <w:rsid w:val="004576F8"/>
    <w:rsid w:val="00457820"/>
    <w:rsid w:val="00457C30"/>
    <w:rsid w:val="00457E30"/>
    <w:rsid w:val="004601F5"/>
    <w:rsid w:val="00460A1D"/>
    <w:rsid w:val="00460AB4"/>
    <w:rsid w:val="00460F20"/>
    <w:rsid w:val="004612E2"/>
    <w:rsid w:val="00461462"/>
    <w:rsid w:val="0046183A"/>
    <w:rsid w:val="004621BE"/>
    <w:rsid w:val="004622AF"/>
    <w:rsid w:val="004627FE"/>
    <w:rsid w:val="0046294D"/>
    <w:rsid w:val="00462A08"/>
    <w:rsid w:val="00462A21"/>
    <w:rsid w:val="00462AB4"/>
    <w:rsid w:val="00462ECB"/>
    <w:rsid w:val="00463617"/>
    <w:rsid w:val="0046366D"/>
    <w:rsid w:val="004637E5"/>
    <w:rsid w:val="00464C30"/>
    <w:rsid w:val="00465127"/>
    <w:rsid w:val="0046514D"/>
    <w:rsid w:val="00465172"/>
    <w:rsid w:val="004651AC"/>
    <w:rsid w:val="00465A6D"/>
    <w:rsid w:val="00465CE5"/>
    <w:rsid w:val="00466127"/>
    <w:rsid w:val="00466222"/>
    <w:rsid w:val="00466544"/>
    <w:rsid w:val="0046667F"/>
    <w:rsid w:val="00466920"/>
    <w:rsid w:val="00467091"/>
    <w:rsid w:val="0046720C"/>
    <w:rsid w:val="00467468"/>
    <w:rsid w:val="00467DBE"/>
    <w:rsid w:val="00467F19"/>
    <w:rsid w:val="004702CA"/>
    <w:rsid w:val="00470479"/>
    <w:rsid w:val="00470900"/>
    <w:rsid w:val="0047099E"/>
    <w:rsid w:val="00470A96"/>
    <w:rsid w:val="00470D70"/>
    <w:rsid w:val="0047123F"/>
    <w:rsid w:val="004713A6"/>
    <w:rsid w:val="00471507"/>
    <w:rsid w:val="00471C21"/>
    <w:rsid w:val="00471FCF"/>
    <w:rsid w:val="004728CA"/>
    <w:rsid w:val="0047316C"/>
    <w:rsid w:val="004735A7"/>
    <w:rsid w:val="00473651"/>
    <w:rsid w:val="00473A05"/>
    <w:rsid w:val="00473F0F"/>
    <w:rsid w:val="00473F55"/>
    <w:rsid w:val="00473FD0"/>
    <w:rsid w:val="00474C00"/>
    <w:rsid w:val="00474EE9"/>
    <w:rsid w:val="00475210"/>
    <w:rsid w:val="004759DC"/>
    <w:rsid w:val="00475A95"/>
    <w:rsid w:val="00475B90"/>
    <w:rsid w:val="00475F68"/>
    <w:rsid w:val="0047606D"/>
    <w:rsid w:val="00476EA3"/>
    <w:rsid w:val="00476F23"/>
    <w:rsid w:val="004775BC"/>
    <w:rsid w:val="004776DE"/>
    <w:rsid w:val="00477744"/>
    <w:rsid w:val="00477816"/>
    <w:rsid w:val="004778A4"/>
    <w:rsid w:val="00477BEA"/>
    <w:rsid w:val="00477C08"/>
    <w:rsid w:val="00477C38"/>
    <w:rsid w:val="00480095"/>
    <w:rsid w:val="00480197"/>
    <w:rsid w:val="0048021B"/>
    <w:rsid w:val="00480246"/>
    <w:rsid w:val="0048037F"/>
    <w:rsid w:val="00480759"/>
    <w:rsid w:val="00480810"/>
    <w:rsid w:val="00480B4F"/>
    <w:rsid w:val="00480CA4"/>
    <w:rsid w:val="00480F65"/>
    <w:rsid w:val="00481138"/>
    <w:rsid w:val="00481165"/>
    <w:rsid w:val="004816AE"/>
    <w:rsid w:val="00481EBF"/>
    <w:rsid w:val="0048204A"/>
    <w:rsid w:val="0048250B"/>
    <w:rsid w:val="004826CD"/>
    <w:rsid w:val="004829C5"/>
    <w:rsid w:val="00482B3C"/>
    <w:rsid w:val="00482C55"/>
    <w:rsid w:val="00482E84"/>
    <w:rsid w:val="00483001"/>
    <w:rsid w:val="00483064"/>
    <w:rsid w:val="0048320B"/>
    <w:rsid w:val="00483B04"/>
    <w:rsid w:val="00483CB0"/>
    <w:rsid w:val="00483CE0"/>
    <w:rsid w:val="00484177"/>
    <w:rsid w:val="0048421D"/>
    <w:rsid w:val="0048441C"/>
    <w:rsid w:val="00484554"/>
    <w:rsid w:val="00484A53"/>
    <w:rsid w:val="00484DDC"/>
    <w:rsid w:val="00485455"/>
    <w:rsid w:val="004855B8"/>
    <w:rsid w:val="004857B1"/>
    <w:rsid w:val="00485A56"/>
    <w:rsid w:val="00485ADA"/>
    <w:rsid w:val="00486131"/>
    <w:rsid w:val="004868D9"/>
    <w:rsid w:val="004869FA"/>
    <w:rsid w:val="00486A21"/>
    <w:rsid w:val="00486ACE"/>
    <w:rsid w:val="00486B1E"/>
    <w:rsid w:val="00486BF2"/>
    <w:rsid w:val="00486D1C"/>
    <w:rsid w:val="00486E0E"/>
    <w:rsid w:val="00487397"/>
    <w:rsid w:val="004874AA"/>
    <w:rsid w:val="0048769C"/>
    <w:rsid w:val="004876A1"/>
    <w:rsid w:val="0048776D"/>
    <w:rsid w:val="00487AF9"/>
    <w:rsid w:val="00487DF9"/>
    <w:rsid w:val="00487FD6"/>
    <w:rsid w:val="004900BD"/>
    <w:rsid w:val="0049046D"/>
    <w:rsid w:val="00490508"/>
    <w:rsid w:val="004909EA"/>
    <w:rsid w:val="00491FFB"/>
    <w:rsid w:val="00492196"/>
    <w:rsid w:val="00492482"/>
    <w:rsid w:val="004929C7"/>
    <w:rsid w:val="004929DF"/>
    <w:rsid w:val="00492A2E"/>
    <w:rsid w:val="00492B80"/>
    <w:rsid w:val="004930E3"/>
    <w:rsid w:val="0049369E"/>
    <w:rsid w:val="004938A6"/>
    <w:rsid w:val="00493A33"/>
    <w:rsid w:val="00493E86"/>
    <w:rsid w:val="0049402B"/>
    <w:rsid w:val="004942F7"/>
    <w:rsid w:val="0049458F"/>
    <w:rsid w:val="00494704"/>
    <w:rsid w:val="00494AC8"/>
    <w:rsid w:val="004954FC"/>
    <w:rsid w:val="00495786"/>
    <w:rsid w:val="00495939"/>
    <w:rsid w:val="00495A69"/>
    <w:rsid w:val="00495B59"/>
    <w:rsid w:val="00496334"/>
    <w:rsid w:val="0049640A"/>
    <w:rsid w:val="00496470"/>
    <w:rsid w:val="00496A79"/>
    <w:rsid w:val="00496B7E"/>
    <w:rsid w:val="00496BB7"/>
    <w:rsid w:val="004970F5"/>
    <w:rsid w:val="004976DC"/>
    <w:rsid w:val="004A0290"/>
    <w:rsid w:val="004A038A"/>
    <w:rsid w:val="004A0A3C"/>
    <w:rsid w:val="004A14C2"/>
    <w:rsid w:val="004A1E93"/>
    <w:rsid w:val="004A2695"/>
    <w:rsid w:val="004A2BDE"/>
    <w:rsid w:val="004A34CB"/>
    <w:rsid w:val="004A3BDA"/>
    <w:rsid w:val="004A5096"/>
    <w:rsid w:val="004A5299"/>
    <w:rsid w:val="004A57E0"/>
    <w:rsid w:val="004A5C57"/>
    <w:rsid w:val="004A6C38"/>
    <w:rsid w:val="004A6E85"/>
    <w:rsid w:val="004A76F2"/>
    <w:rsid w:val="004A78A1"/>
    <w:rsid w:val="004B0741"/>
    <w:rsid w:val="004B08D1"/>
    <w:rsid w:val="004B0A20"/>
    <w:rsid w:val="004B124C"/>
    <w:rsid w:val="004B1577"/>
    <w:rsid w:val="004B1ADC"/>
    <w:rsid w:val="004B22B3"/>
    <w:rsid w:val="004B23E5"/>
    <w:rsid w:val="004B2762"/>
    <w:rsid w:val="004B2888"/>
    <w:rsid w:val="004B28D0"/>
    <w:rsid w:val="004B2B17"/>
    <w:rsid w:val="004B2CAD"/>
    <w:rsid w:val="004B2D24"/>
    <w:rsid w:val="004B326A"/>
    <w:rsid w:val="004B3417"/>
    <w:rsid w:val="004B3B24"/>
    <w:rsid w:val="004B3D34"/>
    <w:rsid w:val="004B4137"/>
    <w:rsid w:val="004B4548"/>
    <w:rsid w:val="004B467D"/>
    <w:rsid w:val="004B4A40"/>
    <w:rsid w:val="004B4B3B"/>
    <w:rsid w:val="004B5447"/>
    <w:rsid w:val="004B5663"/>
    <w:rsid w:val="004B58F0"/>
    <w:rsid w:val="004B60B5"/>
    <w:rsid w:val="004B61CA"/>
    <w:rsid w:val="004B64F0"/>
    <w:rsid w:val="004B654B"/>
    <w:rsid w:val="004B656C"/>
    <w:rsid w:val="004B67AA"/>
    <w:rsid w:val="004B6B52"/>
    <w:rsid w:val="004B6C22"/>
    <w:rsid w:val="004B6C27"/>
    <w:rsid w:val="004B70DB"/>
    <w:rsid w:val="004B757F"/>
    <w:rsid w:val="004B7667"/>
    <w:rsid w:val="004B79FC"/>
    <w:rsid w:val="004B7CA6"/>
    <w:rsid w:val="004B7F8A"/>
    <w:rsid w:val="004B7F8F"/>
    <w:rsid w:val="004C0163"/>
    <w:rsid w:val="004C0391"/>
    <w:rsid w:val="004C03DA"/>
    <w:rsid w:val="004C059E"/>
    <w:rsid w:val="004C0B78"/>
    <w:rsid w:val="004C0CE4"/>
    <w:rsid w:val="004C13AF"/>
    <w:rsid w:val="004C13F9"/>
    <w:rsid w:val="004C166C"/>
    <w:rsid w:val="004C184F"/>
    <w:rsid w:val="004C191C"/>
    <w:rsid w:val="004C1AFC"/>
    <w:rsid w:val="004C1C87"/>
    <w:rsid w:val="004C21A4"/>
    <w:rsid w:val="004C24B4"/>
    <w:rsid w:val="004C2B3F"/>
    <w:rsid w:val="004C3290"/>
    <w:rsid w:val="004C32C6"/>
    <w:rsid w:val="004C3338"/>
    <w:rsid w:val="004C34DE"/>
    <w:rsid w:val="004C3B6D"/>
    <w:rsid w:val="004C3E11"/>
    <w:rsid w:val="004C3FFD"/>
    <w:rsid w:val="004C423C"/>
    <w:rsid w:val="004C4719"/>
    <w:rsid w:val="004C4866"/>
    <w:rsid w:val="004C4937"/>
    <w:rsid w:val="004C4984"/>
    <w:rsid w:val="004C4E82"/>
    <w:rsid w:val="004C5004"/>
    <w:rsid w:val="004C505A"/>
    <w:rsid w:val="004C5A84"/>
    <w:rsid w:val="004C5B34"/>
    <w:rsid w:val="004C6227"/>
    <w:rsid w:val="004C62F9"/>
    <w:rsid w:val="004C6534"/>
    <w:rsid w:val="004C723E"/>
    <w:rsid w:val="004C7379"/>
    <w:rsid w:val="004C757E"/>
    <w:rsid w:val="004C7F62"/>
    <w:rsid w:val="004C7F92"/>
    <w:rsid w:val="004D056A"/>
    <w:rsid w:val="004D0638"/>
    <w:rsid w:val="004D083E"/>
    <w:rsid w:val="004D08BF"/>
    <w:rsid w:val="004D0C6E"/>
    <w:rsid w:val="004D0D89"/>
    <w:rsid w:val="004D1455"/>
    <w:rsid w:val="004D1F99"/>
    <w:rsid w:val="004D2586"/>
    <w:rsid w:val="004D2809"/>
    <w:rsid w:val="004D2CA8"/>
    <w:rsid w:val="004D3401"/>
    <w:rsid w:val="004D3424"/>
    <w:rsid w:val="004D35B2"/>
    <w:rsid w:val="004D3CA1"/>
    <w:rsid w:val="004D3E89"/>
    <w:rsid w:val="004D4132"/>
    <w:rsid w:val="004D47CF"/>
    <w:rsid w:val="004D4809"/>
    <w:rsid w:val="004D4B1C"/>
    <w:rsid w:val="004D521D"/>
    <w:rsid w:val="004D54E7"/>
    <w:rsid w:val="004D5A6B"/>
    <w:rsid w:val="004D5D43"/>
    <w:rsid w:val="004D5D80"/>
    <w:rsid w:val="004D6BB1"/>
    <w:rsid w:val="004D71B2"/>
    <w:rsid w:val="004D79DB"/>
    <w:rsid w:val="004D7CFA"/>
    <w:rsid w:val="004D7D61"/>
    <w:rsid w:val="004E00BA"/>
    <w:rsid w:val="004E0271"/>
    <w:rsid w:val="004E03AE"/>
    <w:rsid w:val="004E03BB"/>
    <w:rsid w:val="004E0407"/>
    <w:rsid w:val="004E09D0"/>
    <w:rsid w:val="004E0F4B"/>
    <w:rsid w:val="004E1342"/>
    <w:rsid w:val="004E13CF"/>
    <w:rsid w:val="004E1612"/>
    <w:rsid w:val="004E18EF"/>
    <w:rsid w:val="004E1F47"/>
    <w:rsid w:val="004E2165"/>
    <w:rsid w:val="004E25BC"/>
    <w:rsid w:val="004E2676"/>
    <w:rsid w:val="004E2CF8"/>
    <w:rsid w:val="004E2F07"/>
    <w:rsid w:val="004E2F17"/>
    <w:rsid w:val="004E2FE9"/>
    <w:rsid w:val="004E3187"/>
    <w:rsid w:val="004E34DF"/>
    <w:rsid w:val="004E3929"/>
    <w:rsid w:val="004E3B0A"/>
    <w:rsid w:val="004E3BE2"/>
    <w:rsid w:val="004E3E02"/>
    <w:rsid w:val="004E3F51"/>
    <w:rsid w:val="004E41A2"/>
    <w:rsid w:val="004E45A0"/>
    <w:rsid w:val="004E4C02"/>
    <w:rsid w:val="004E539D"/>
    <w:rsid w:val="004E5A78"/>
    <w:rsid w:val="004E5A9A"/>
    <w:rsid w:val="004E5B85"/>
    <w:rsid w:val="004E5C38"/>
    <w:rsid w:val="004E6894"/>
    <w:rsid w:val="004E6B9E"/>
    <w:rsid w:val="004E6F4D"/>
    <w:rsid w:val="004E7339"/>
    <w:rsid w:val="004E7E19"/>
    <w:rsid w:val="004E7E93"/>
    <w:rsid w:val="004F06DA"/>
    <w:rsid w:val="004F10B4"/>
    <w:rsid w:val="004F14A7"/>
    <w:rsid w:val="004F173D"/>
    <w:rsid w:val="004F1CE4"/>
    <w:rsid w:val="004F1E28"/>
    <w:rsid w:val="004F20DD"/>
    <w:rsid w:val="004F239E"/>
    <w:rsid w:val="004F25F6"/>
    <w:rsid w:val="004F292D"/>
    <w:rsid w:val="004F2967"/>
    <w:rsid w:val="004F2B4F"/>
    <w:rsid w:val="004F2C9E"/>
    <w:rsid w:val="004F3B32"/>
    <w:rsid w:val="004F3B52"/>
    <w:rsid w:val="004F48CE"/>
    <w:rsid w:val="004F4F6D"/>
    <w:rsid w:val="004F544A"/>
    <w:rsid w:val="004F57EC"/>
    <w:rsid w:val="004F5DC5"/>
    <w:rsid w:val="004F6644"/>
    <w:rsid w:val="004F681C"/>
    <w:rsid w:val="004F6A44"/>
    <w:rsid w:val="004F75CC"/>
    <w:rsid w:val="004F76E6"/>
    <w:rsid w:val="004F795C"/>
    <w:rsid w:val="004F7A0F"/>
    <w:rsid w:val="004F7F54"/>
    <w:rsid w:val="00500340"/>
    <w:rsid w:val="00500980"/>
    <w:rsid w:val="00500CDA"/>
    <w:rsid w:val="00500DA6"/>
    <w:rsid w:val="00500DF2"/>
    <w:rsid w:val="00500EDA"/>
    <w:rsid w:val="005011E2"/>
    <w:rsid w:val="00501203"/>
    <w:rsid w:val="005012C1"/>
    <w:rsid w:val="00501429"/>
    <w:rsid w:val="00501499"/>
    <w:rsid w:val="005016EA"/>
    <w:rsid w:val="0050192C"/>
    <w:rsid w:val="005019D5"/>
    <w:rsid w:val="00501B65"/>
    <w:rsid w:val="005021E5"/>
    <w:rsid w:val="00502321"/>
    <w:rsid w:val="00502975"/>
    <w:rsid w:val="005029A6"/>
    <w:rsid w:val="00502DB5"/>
    <w:rsid w:val="00502FFB"/>
    <w:rsid w:val="00504338"/>
    <w:rsid w:val="00504AB9"/>
    <w:rsid w:val="00504AF7"/>
    <w:rsid w:val="00504C72"/>
    <w:rsid w:val="00504D8D"/>
    <w:rsid w:val="00504F94"/>
    <w:rsid w:val="00505537"/>
    <w:rsid w:val="00505A1B"/>
    <w:rsid w:val="00505DDC"/>
    <w:rsid w:val="0050602A"/>
    <w:rsid w:val="005063EA"/>
    <w:rsid w:val="00506AB8"/>
    <w:rsid w:val="00506B9F"/>
    <w:rsid w:val="005077FE"/>
    <w:rsid w:val="00507852"/>
    <w:rsid w:val="00507CDF"/>
    <w:rsid w:val="00507D38"/>
    <w:rsid w:val="00507E9F"/>
    <w:rsid w:val="00507EB0"/>
    <w:rsid w:val="005100B5"/>
    <w:rsid w:val="005103FA"/>
    <w:rsid w:val="00510824"/>
    <w:rsid w:val="0051098A"/>
    <w:rsid w:val="00510A1D"/>
    <w:rsid w:val="00510B22"/>
    <w:rsid w:val="00510C92"/>
    <w:rsid w:val="00510D23"/>
    <w:rsid w:val="00510DF7"/>
    <w:rsid w:val="00510F5F"/>
    <w:rsid w:val="0051133A"/>
    <w:rsid w:val="00511672"/>
    <w:rsid w:val="005118DC"/>
    <w:rsid w:val="00511DF5"/>
    <w:rsid w:val="005122A6"/>
    <w:rsid w:val="00512C16"/>
    <w:rsid w:val="0051327C"/>
    <w:rsid w:val="005132F6"/>
    <w:rsid w:val="005133B5"/>
    <w:rsid w:val="0051347C"/>
    <w:rsid w:val="00513BC2"/>
    <w:rsid w:val="00513CBE"/>
    <w:rsid w:val="0051410D"/>
    <w:rsid w:val="005144E4"/>
    <w:rsid w:val="00514866"/>
    <w:rsid w:val="00514A0B"/>
    <w:rsid w:val="00514E3F"/>
    <w:rsid w:val="0051528E"/>
    <w:rsid w:val="005153A9"/>
    <w:rsid w:val="0051544C"/>
    <w:rsid w:val="0051554E"/>
    <w:rsid w:val="005155E9"/>
    <w:rsid w:val="00515B10"/>
    <w:rsid w:val="00515F3C"/>
    <w:rsid w:val="00516753"/>
    <w:rsid w:val="005170B3"/>
    <w:rsid w:val="0051722F"/>
    <w:rsid w:val="005172CF"/>
    <w:rsid w:val="00517445"/>
    <w:rsid w:val="00517777"/>
    <w:rsid w:val="00517C17"/>
    <w:rsid w:val="00517ECF"/>
    <w:rsid w:val="005207C2"/>
    <w:rsid w:val="00521BD3"/>
    <w:rsid w:val="005220F2"/>
    <w:rsid w:val="005224E2"/>
    <w:rsid w:val="0052251E"/>
    <w:rsid w:val="00522AEB"/>
    <w:rsid w:val="005230BA"/>
    <w:rsid w:val="005230C3"/>
    <w:rsid w:val="005230C8"/>
    <w:rsid w:val="00523179"/>
    <w:rsid w:val="00523698"/>
    <w:rsid w:val="00523A7B"/>
    <w:rsid w:val="00523EC3"/>
    <w:rsid w:val="00524212"/>
    <w:rsid w:val="0052434C"/>
    <w:rsid w:val="00524EE3"/>
    <w:rsid w:val="005251EF"/>
    <w:rsid w:val="00525412"/>
    <w:rsid w:val="00525A87"/>
    <w:rsid w:val="00525D47"/>
    <w:rsid w:val="00525F64"/>
    <w:rsid w:val="00526447"/>
    <w:rsid w:val="0052644F"/>
    <w:rsid w:val="0052666F"/>
    <w:rsid w:val="00526EDC"/>
    <w:rsid w:val="0052701B"/>
    <w:rsid w:val="005275BB"/>
    <w:rsid w:val="00527727"/>
    <w:rsid w:val="00527A37"/>
    <w:rsid w:val="00530277"/>
    <w:rsid w:val="005307E6"/>
    <w:rsid w:val="005313B8"/>
    <w:rsid w:val="00531757"/>
    <w:rsid w:val="005317FC"/>
    <w:rsid w:val="00532238"/>
    <w:rsid w:val="00532692"/>
    <w:rsid w:val="005327FB"/>
    <w:rsid w:val="00532CFC"/>
    <w:rsid w:val="00533355"/>
    <w:rsid w:val="005337C2"/>
    <w:rsid w:val="00533818"/>
    <w:rsid w:val="00533842"/>
    <w:rsid w:val="00533922"/>
    <w:rsid w:val="0053394B"/>
    <w:rsid w:val="005339AB"/>
    <w:rsid w:val="00533B9F"/>
    <w:rsid w:val="00533D26"/>
    <w:rsid w:val="00534851"/>
    <w:rsid w:val="00534D33"/>
    <w:rsid w:val="0053505D"/>
    <w:rsid w:val="00535375"/>
    <w:rsid w:val="00535BE2"/>
    <w:rsid w:val="00535F3F"/>
    <w:rsid w:val="005362D2"/>
    <w:rsid w:val="005363AD"/>
    <w:rsid w:val="005364F9"/>
    <w:rsid w:val="00536C5C"/>
    <w:rsid w:val="00536E4B"/>
    <w:rsid w:val="005371C9"/>
    <w:rsid w:val="005371E4"/>
    <w:rsid w:val="00537269"/>
    <w:rsid w:val="00537324"/>
    <w:rsid w:val="00537376"/>
    <w:rsid w:val="00537537"/>
    <w:rsid w:val="005376E2"/>
    <w:rsid w:val="005379A0"/>
    <w:rsid w:val="00537BF3"/>
    <w:rsid w:val="00537C57"/>
    <w:rsid w:val="00537F76"/>
    <w:rsid w:val="00540085"/>
    <w:rsid w:val="005404CB"/>
    <w:rsid w:val="00540542"/>
    <w:rsid w:val="00540754"/>
    <w:rsid w:val="00540C63"/>
    <w:rsid w:val="00541329"/>
    <w:rsid w:val="00541480"/>
    <w:rsid w:val="0054193F"/>
    <w:rsid w:val="00541C57"/>
    <w:rsid w:val="0054240F"/>
    <w:rsid w:val="0054272B"/>
    <w:rsid w:val="0054294E"/>
    <w:rsid w:val="00542971"/>
    <w:rsid w:val="00542AAD"/>
    <w:rsid w:val="00543024"/>
    <w:rsid w:val="00543687"/>
    <w:rsid w:val="00543EF7"/>
    <w:rsid w:val="00543F9F"/>
    <w:rsid w:val="00544624"/>
    <w:rsid w:val="0054487A"/>
    <w:rsid w:val="005448E4"/>
    <w:rsid w:val="00544A2A"/>
    <w:rsid w:val="00544B22"/>
    <w:rsid w:val="005452A9"/>
    <w:rsid w:val="00545B25"/>
    <w:rsid w:val="00546B58"/>
    <w:rsid w:val="00546BFC"/>
    <w:rsid w:val="00546EF8"/>
    <w:rsid w:val="00547115"/>
    <w:rsid w:val="00547B47"/>
    <w:rsid w:val="00547FD8"/>
    <w:rsid w:val="00550874"/>
    <w:rsid w:val="00551288"/>
    <w:rsid w:val="00551369"/>
    <w:rsid w:val="00551FB0"/>
    <w:rsid w:val="0055232C"/>
    <w:rsid w:val="00552658"/>
    <w:rsid w:val="005528EF"/>
    <w:rsid w:val="00552A2D"/>
    <w:rsid w:val="00552EA1"/>
    <w:rsid w:val="00552FC3"/>
    <w:rsid w:val="005533FC"/>
    <w:rsid w:val="00553914"/>
    <w:rsid w:val="00553A1A"/>
    <w:rsid w:val="00554878"/>
    <w:rsid w:val="005548FA"/>
    <w:rsid w:val="0055490F"/>
    <w:rsid w:val="00554DD5"/>
    <w:rsid w:val="00554F72"/>
    <w:rsid w:val="0055501B"/>
    <w:rsid w:val="0055501E"/>
    <w:rsid w:val="00555A6E"/>
    <w:rsid w:val="005567EA"/>
    <w:rsid w:val="005571E4"/>
    <w:rsid w:val="00557831"/>
    <w:rsid w:val="00557E29"/>
    <w:rsid w:val="00557F70"/>
    <w:rsid w:val="00560109"/>
    <w:rsid w:val="005601DE"/>
    <w:rsid w:val="00560248"/>
    <w:rsid w:val="0056027C"/>
    <w:rsid w:val="0056050D"/>
    <w:rsid w:val="00560683"/>
    <w:rsid w:val="00560F0F"/>
    <w:rsid w:val="00561410"/>
    <w:rsid w:val="00561770"/>
    <w:rsid w:val="005617F2"/>
    <w:rsid w:val="00561B87"/>
    <w:rsid w:val="00561DE0"/>
    <w:rsid w:val="005620BF"/>
    <w:rsid w:val="005622F0"/>
    <w:rsid w:val="005624D4"/>
    <w:rsid w:val="005625C9"/>
    <w:rsid w:val="0056276D"/>
    <w:rsid w:val="005629D3"/>
    <w:rsid w:val="00562A9D"/>
    <w:rsid w:val="00562E3D"/>
    <w:rsid w:val="00562F39"/>
    <w:rsid w:val="00563372"/>
    <w:rsid w:val="0056366B"/>
    <w:rsid w:val="00563679"/>
    <w:rsid w:val="00563A41"/>
    <w:rsid w:val="00563A58"/>
    <w:rsid w:val="00563A62"/>
    <w:rsid w:val="00563A87"/>
    <w:rsid w:val="00564097"/>
    <w:rsid w:val="0056417B"/>
    <w:rsid w:val="005643CB"/>
    <w:rsid w:val="00564780"/>
    <w:rsid w:val="00564B0E"/>
    <w:rsid w:val="00564E10"/>
    <w:rsid w:val="005651BB"/>
    <w:rsid w:val="0056520C"/>
    <w:rsid w:val="00565C13"/>
    <w:rsid w:val="00565DDB"/>
    <w:rsid w:val="00565E6F"/>
    <w:rsid w:val="00565EC2"/>
    <w:rsid w:val="00565F4C"/>
    <w:rsid w:val="005665A5"/>
    <w:rsid w:val="005668F1"/>
    <w:rsid w:val="00566B08"/>
    <w:rsid w:val="00567271"/>
    <w:rsid w:val="00567907"/>
    <w:rsid w:val="00567994"/>
    <w:rsid w:val="005679BB"/>
    <w:rsid w:val="00567C48"/>
    <w:rsid w:val="005707AC"/>
    <w:rsid w:val="00570997"/>
    <w:rsid w:val="00570BE7"/>
    <w:rsid w:val="00570E1C"/>
    <w:rsid w:val="00570E5A"/>
    <w:rsid w:val="0057136B"/>
    <w:rsid w:val="005714A9"/>
    <w:rsid w:val="0057162D"/>
    <w:rsid w:val="00571D1C"/>
    <w:rsid w:val="0057203F"/>
    <w:rsid w:val="00572645"/>
    <w:rsid w:val="005726FF"/>
    <w:rsid w:val="005727A3"/>
    <w:rsid w:val="005727B5"/>
    <w:rsid w:val="00572E37"/>
    <w:rsid w:val="00572E85"/>
    <w:rsid w:val="00572FDE"/>
    <w:rsid w:val="005732AA"/>
    <w:rsid w:val="005738A6"/>
    <w:rsid w:val="00573FA7"/>
    <w:rsid w:val="00574B6C"/>
    <w:rsid w:val="00574ED6"/>
    <w:rsid w:val="0057537E"/>
    <w:rsid w:val="0057581E"/>
    <w:rsid w:val="00576058"/>
    <w:rsid w:val="0057684D"/>
    <w:rsid w:val="005769B3"/>
    <w:rsid w:val="00577228"/>
    <w:rsid w:val="005778FF"/>
    <w:rsid w:val="0058022E"/>
    <w:rsid w:val="0058028B"/>
    <w:rsid w:val="00580416"/>
    <w:rsid w:val="005804D4"/>
    <w:rsid w:val="005817FE"/>
    <w:rsid w:val="00581A5B"/>
    <w:rsid w:val="00582DA9"/>
    <w:rsid w:val="005836AD"/>
    <w:rsid w:val="005838D7"/>
    <w:rsid w:val="00583D81"/>
    <w:rsid w:val="00583F47"/>
    <w:rsid w:val="00583FFD"/>
    <w:rsid w:val="00584006"/>
    <w:rsid w:val="005842BE"/>
    <w:rsid w:val="005845B9"/>
    <w:rsid w:val="005849DB"/>
    <w:rsid w:val="00584AC0"/>
    <w:rsid w:val="00584B52"/>
    <w:rsid w:val="005855E6"/>
    <w:rsid w:val="00585C4E"/>
    <w:rsid w:val="00585C8E"/>
    <w:rsid w:val="00585F99"/>
    <w:rsid w:val="00586253"/>
    <w:rsid w:val="005866B1"/>
    <w:rsid w:val="00586BCD"/>
    <w:rsid w:val="00586BE4"/>
    <w:rsid w:val="00586F9A"/>
    <w:rsid w:val="00587051"/>
    <w:rsid w:val="00587097"/>
    <w:rsid w:val="0058752C"/>
    <w:rsid w:val="0058752E"/>
    <w:rsid w:val="0058768F"/>
    <w:rsid w:val="00587A8B"/>
    <w:rsid w:val="005900E7"/>
    <w:rsid w:val="00590173"/>
    <w:rsid w:val="005903A2"/>
    <w:rsid w:val="00590D61"/>
    <w:rsid w:val="00590EF2"/>
    <w:rsid w:val="005915C4"/>
    <w:rsid w:val="005923A1"/>
    <w:rsid w:val="00592721"/>
    <w:rsid w:val="00592C7E"/>
    <w:rsid w:val="00592DA1"/>
    <w:rsid w:val="0059364A"/>
    <w:rsid w:val="005940D5"/>
    <w:rsid w:val="0059410C"/>
    <w:rsid w:val="005943CF"/>
    <w:rsid w:val="00594587"/>
    <w:rsid w:val="005945AE"/>
    <w:rsid w:val="00594790"/>
    <w:rsid w:val="00594844"/>
    <w:rsid w:val="00594845"/>
    <w:rsid w:val="00594FAE"/>
    <w:rsid w:val="005952FC"/>
    <w:rsid w:val="0059545A"/>
    <w:rsid w:val="00595946"/>
    <w:rsid w:val="00596694"/>
    <w:rsid w:val="00596C06"/>
    <w:rsid w:val="00596C65"/>
    <w:rsid w:val="005978D9"/>
    <w:rsid w:val="00597B6B"/>
    <w:rsid w:val="005A05E8"/>
    <w:rsid w:val="005A1701"/>
    <w:rsid w:val="005A1E15"/>
    <w:rsid w:val="005A1FCB"/>
    <w:rsid w:val="005A265F"/>
    <w:rsid w:val="005A296D"/>
    <w:rsid w:val="005A2AD0"/>
    <w:rsid w:val="005A2C13"/>
    <w:rsid w:val="005A2E59"/>
    <w:rsid w:val="005A2E82"/>
    <w:rsid w:val="005A30BB"/>
    <w:rsid w:val="005A3579"/>
    <w:rsid w:val="005A3678"/>
    <w:rsid w:val="005A3BF7"/>
    <w:rsid w:val="005A3D8D"/>
    <w:rsid w:val="005A3F2C"/>
    <w:rsid w:val="005A406E"/>
    <w:rsid w:val="005A415D"/>
    <w:rsid w:val="005A4293"/>
    <w:rsid w:val="005A48ED"/>
    <w:rsid w:val="005A4922"/>
    <w:rsid w:val="005A4F9C"/>
    <w:rsid w:val="005A5196"/>
    <w:rsid w:val="005A54B2"/>
    <w:rsid w:val="005A587A"/>
    <w:rsid w:val="005A5C4C"/>
    <w:rsid w:val="005A5CAA"/>
    <w:rsid w:val="005A5CCB"/>
    <w:rsid w:val="005A61DD"/>
    <w:rsid w:val="005A61EB"/>
    <w:rsid w:val="005A62AE"/>
    <w:rsid w:val="005A6996"/>
    <w:rsid w:val="005A6DC6"/>
    <w:rsid w:val="005A6E9F"/>
    <w:rsid w:val="005A6F89"/>
    <w:rsid w:val="005A75CF"/>
    <w:rsid w:val="005A7661"/>
    <w:rsid w:val="005A790E"/>
    <w:rsid w:val="005A7AFF"/>
    <w:rsid w:val="005B01D8"/>
    <w:rsid w:val="005B01F9"/>
    <w:rsid w:val="005B0346"/>
    <w:rsid w:val="005B04AE"/>
    <w:rsid w:val="005B0B6A"/>
    <w:rsid w:val="005B0CCB"/>
    <w:rsid w:val="005B1A58"/>
    <w:rsid w:val="005B2077"/>
    <w:rsid w:val="005B2961"/>
    <w:rsid w:val="005B2A5E"/>
    <w:rsid w:val="005B2D90"/>
    <w:rsid w:val="005B386A"/>
    <w:rsid w:val="005B3972"/>
    <w:rsid w:val="005B39D7"/>
    <w:rsid w:val="005B3AF8"/>
    <w:rsid w:val="005B3B24"/>
    <w:rsid w:val="005B3DFE"/>
    <w:rsid w:val="005B3E1C"/>
    <w:rsid w:val="005B4126"/>
    <w:rsid w:val="005B466F"/>
    <w:rsid w:val="005B4B2A"/>
    <w:rsid w:val="005B4EA8"/>
    <w:rsid w:val="005B5675"/>
    <w:rsid w:val="005B59A0"/>
    <w:rsid w:val="005B6238"/>
    <w:rsid w:val="005B63A5"/>
    <w:rsid w:val="005B65E9"/>
    <w:rsid w:val="005B686E"/>
    <w:rsid w:val="005B6907"/>
    <w:rsid w:val="005B6BD6"/>
    <w:rsid w:val="005B6EC1"/>
    <w:rsid w:val="005B7004"/>
    <w:rsid w:val="005B7629"/>
    <w:rsid w:val="005B7914"/>
    <w:rsid w:val="005B7A04"/>
    <w:rsid w:val="005C000F"/>
    <w:rsid w:val="005C06D3"/>
    <w:rsid w:val="005C0A12"/>
    <w:rsid w:val="005C0CA5"/>
    <w:rsid w:val="005C0D6D"/>
    <w:rsid w:val="005C0E61"/>
    <w:rsid w:val="005C0F27"/>
    <w:rsid w:val="005C12A1"/>
    <w:rsid w:val="005C160A"/>
    <w:rsid w:val="005C165F"/>
    <w:rsid w:val="005C1738"/>
    <w:rsid w:val="005C17B4"/>
    <w:rsid w:val="005C1AD4"/>
    <w:rsid w:val="005C20AB"/>
    <w:rsid w:val="005C2BB3"/>
    <w:rsid w:val="005C3025"/>
    <w:rsid w:val="005C3202"/>
    <w:rsid w:val="005C331F"/>
    <w:rsid w:val="005C3704"/>
    <w:rsid w:val="005C391E"/>
    <w:rsid w:val="005C39F8"/>
    <w:rsid w:val="005C3B3B"/>
    <w:rsid w:val="005C3C54"/>
    <w:rsid w:val="005C3D7D"/>
    <w:rsid w:val="005C3D9D"/>
    <w:rsid w:val="005C3EB9"/>
    <w:rsid w:val="005C3F10"/>
    <w:rsid w:val="005C42CA"/>
    <w:rsid w:val="005C4A7F"/>
    <w:rsid w:val="005C4EDB"/>
    <w:rsid w:val="005C50D4"/>
    <w:rsid w:val="005C53D2"/>
    <w:rsid w:val="005C596F"/>
    <w:rsid w:val="005C59DC"/>
    <w:rsid w:val="005C5E08"/>
    <w:rsid w:val="005C5EFC"/>
    <w:rsid w:val="005C5F82"/>
    <w:rsid w:val="005C6503"/>
    <w:rsid w:val="005C6A83"/>
    <w:rsid w:val="005C6FE1"/>
    <w:rsid w:val="005C712A"/>
    <w:rsid w:val="005C73F7"/>
    <w:rsid w:val="005C7AC6"/>
    <w:rsid w:val="005C7C0C"/>
    <w:rsid w:val="005C7E35"/>
    <w:rsid w:val="005D0111"/>
    <w:rsid w:val="005D0704"/>
    <w:rsid w:val="005D12F6"/>
    <w:rsid w:val="005D1341"/>
    <w:rsid w:val="005D1572"/>
    <w:rsid w:val="005D17DB"/>
    <w:rsid w:val="005D26CB"/>
    <w:rsid w:val="005D2885"/>
    <w:rsid w:val="005D2D5F"/>
    <w:rsid w:val="005D368F"/>
    <w:rsid w:val="005D3879"/>
    <w:rsid w:val="005D38CB"/>
    <w:rsid w:val="005D3A46"/>
    <w:rsid w:val="005D4130"/>
    <w:rsid w:val="005D449F"/>
    <w:rsid w:val="005D4524"/>
    <w:rsid w:val="005D457F"/>
    <w:rsid w:val="005D4BC2"/>
    <w:rsid w:val="005D590B"/>
    <w:rsid w:val="005D62C7"/>
    <w:rsid w:val="005D6527"/>
    <w:rsid w:val="005D67FF"/>
    <w:rsid w:val="005D684D"/>
    <w:rsid w:val="005D6D06"/>
    <w:rsid w:val="005D70F4"/>
    <w:rsid w:val="005D719F"/>
    <w:rsid w:val="005D7313"/>
    <w:rsid w:val="005D73A7"/>
    <w:rsid w:val="005D7549"/>
    <w:rsid w:val="005D7646"/>
    <w:rsid w:val="005D7B71"/>
    <w:rsid w:val="005D7B8A"/>
    <w:rsid w:val="005D7E41"/>
    <w:rsid w:val="005E0536"/>
    <w:rsid w:val="005E11CB"/>
    <w:rsid w:val="005E2660"/>
    <w:rsid w:val="005E268F"/>
    <w:rsid w:val="005E270D"/>
    <w:rsid w:val="005E322C"/>
    <w:rsid w:val="005E3240"/>
    <w:rsid w:val="005E3478"/>
    <w:rsid w:val="005E358A"/>
    <w:rsid w:val="005E3C73"/>
    <w:rsid w:val="005E3E90"/>
    <w:rsid w:val="005E4043"/>
    <w:rsid w:val="005E406C"/>
    <w:rsid w:val="005E418E"/>
    <w:rsid w:val="005E453B"/>
    <w:rsid w:val="005E4B89"/>
    <w:rsid w:val="005E4CAE"/>
    <w:rsid w:val="005E4D46"/>
    <w:rsid w:val="005E4FC5"/>
    <w:rsid w:val="005E5397"/>
    <w:rsid w:val="005E5598"/>
    <w:rsid w:val="005E5EB2"/>
    <w:rsid w:val="005E5ED2"/>
    <w:rsid w:val="005E61CA"/>
    <w:rsid w:val="005E64F8"/>
    <w:rsid w:val="005E682C"/>
    <w:rsid w:val="005E6862"/>
    <w:rsid w:val="005E6AA8"/>
    <w:rsid w:val="005E6F61"/>
    <w:rsid w:val="005E78CB"/>
    <w:rsid w:val="005E7B3D"/>
    <w:rsid w:val="005E7E69"/>
    <w:rsid w:val="005F00C8"/>
    <w:rsid w:val="005F0611"/>
    <w:rsid w:val="005F0A2F"/>
    <w:rsid w:val="005F0CEB"/>
    <w:rsid w:val="005F0E15"/>
    <w:rsid w:val="005F0EF8"/>
    <w:rsid w:val="005F139A"/>
    <w:rsid w:val="005F15B8"/>
    <w:rsid w:val="005F165E"/>
    <w:rsid w:val="005F1A31"/>
    <w:rsid w:val="005F2036"/>
    <w:rsid w:val="005F253E"/>
    <w:rsid w:val="005F27EA"/>
    <w:rsid w:val="005F2F51"/>
    <w:rsid w:val="005F457B"/>
    <w:rsid w:val="005F52B4"/>
    <w:rsid w:val="005F566A"/>
    <w:rsid w:val="005F6721"/>
    <w:rsid w:val="005F6B30"/>
    <w:rsid w:val="005F6E3F"/>
    <w:rsid w:val="005F70F7"/>
    <w:rsid w:val="005F7315"/>
    <w:rsid w:val="005F7321"/>
    <w:rsid w:val="005F75AC"/>
    <w:rsid w:val="005F7607"/>
    <w:rsid w:val="005F77C4"/>
    <w:rsid w:val="005F7EDE"/>
    <w:rsid w:val="005F7EE8"/>
    <w:rsid w:val="00600060"/>
    <w:rsid w:val="0060008C"/>
    <w:rsid w:val="00600162"/>
    <w:rsid w:val="00600354"/>
    <w:rsid w:val="00600637"/>
    <w:rsid w:val="006006D8"/>
    <w:rsid w:val="006009FF"/>
    <w:rsid w:val="006010A4"/>
    <w:rsid w:val="006014E8"/>
    <w:rsid w:val="006015E7"/>
    <w:rsid w:val="00601E1C"/>
    <w:rsid w:val="0060276B"/>
    <w:rsid w:val="0060280D"/>
    <w:rsid w:val="00602C21"/>
    <w:rsid w:val="00602E35"/>
    <w:rsid w:val="006030F3"/>
    <w:rsid w:val="006033C4"/>
    <w:rsid w:val="0060348E"/>
    <w:rsid w:val="00603A9D"/>
    <w:rsid w:val="00603D6F"/>
    <w:rsid w:val="006040B0"/>
    <w:rsid w:val="0060418B"/>
    <w:rsid w:val="006042BD"/>
    <w:rsid w:val="00604629"/>
    <w:rsid w:val="0060479F"/>
    <w:rsid w:val="006047E7"/>
    <w:rsid w:val="00604977"/>
    <w:rsid w:val="00605312"/>
    <w:rsid w:val="00605352"/>
    <w:rsid w:val="00605878"/>
    <w:rsid w:val="006058F4"/>
    <w:rsid w:val="006058FE"/>
    <w:rsid w:val="00605A2A"/>
    <w:rsid w:val="00605C75"/>
    <w:rsid w:val="00605E39"/>
    <w:rsid w:val="0060630D"/>
    <w:rsid w:val="006063A8"/>
    <w:rsid w:val="006073D7"/>
    <w:rsid w:val="00607615"/>
    <w:rsid w:val="0060776A"/>
    <w:rsid w:val="00607978"/>
    <w:rsid w:val="00610125"/>
    <w:rsid w:val="00610AB3"/>
    <w:rsid w:val="00610E09"/>
    <w:rsid w:val="00611069"/>
    <w:rsid w:val="00611220"/>
    <w:rsid w:val="006115E7"/>
    <w:rsid w:val="006117AA"/>
    <w:rsid w:val="00611F27"/>
    <w:rsid w:val="006123F2"/>
    <w:rsid w:val="00612856"/>
    <w:rsid w:val="00612D6B"/>
    <w:rsid w:val="006133A7"/>
    <w:rsid w:val="00613AB7"/>
    <w:rsid w:val="00613D48"/>
    <w:rsid w:val="00613F28"/>
    <w:rsid w:val="00613FD9"/>
    <w:rsid w:val="00614692"/>
    <w:rsid w:val="00614A46"/>
    <w:rsid w:val="00615028"/>
    <w:rsid w:val="00616024"/>
    <w:rsid w:val="0061656D"/>
    <w:rsid w:val="0061670F"/>
    <w:rsid w:val="00616BA2"/>
    <w:rsid w:val="00617028"/>
    <w:rsid w:val="006170A8"/>
    <w:rsid w:val="006178E6"/>
    <w:rsid w:val="006179E8"/>
    <w:rsid w:val="00617B73"/>
    <w:rsid w:val="00617CBC"/>
    <w:rsid w:val="00617E16"/>
    <w:rsid w:val="006202D4"/>
    <w:rsid w:val="00620585"/>
    <w:rsid w:val="0062065F"/>
    <w:rsid w:val="006206EF"/>
    <w:rsid w:val="00620855"/>
    <w:rsid w:val="00621372"/>
    <w:rsid w:val="006215ED"/>
    <w:rsid w:val="00621828"/>
    <w:rsid w:val="00621C50"/>
    <w:rsid w:val="00621D24"/>
    <w:rsid w:val="00621DE2"/>
    <w:rsid w:val="00622111"/>
    <w:rsid w:val="00622527"/>
    <w:rsid w:val="00622A8E"/>
    <w:rsid w:val="00622C62"/>
    <w:rsid w:val="006230FB"/>
    <w:rsid w:val="00623A04"/>
    <w:rsid w:val="00623F17"/>
    <w:rsid w:val="006240FA"/>
    <w:rsid w:val="00624151"/>
    <w:rsid w:val="006244A7"/>
    <w:rsid w:val="00624560"/>
    <w:rsid w:val="00624E27"/>
    <w:rsid w:val="00624EE0"/>
    <w:rsid w:val="00625067"/>
    <w:rsid w:val="0062536D"/>
    <w:rsid w:val="00625457"/>
    <w:rsid w:val="00626143"/>
    <w:rsid w:val="00626309"/>
    <w:rsid w:val="0062676D"/>
    <w:rsid w:val="00626958"/>
    <w:rsid w:val="00626A9D"/>
    <w:rsid w:val="00626F31"/>
    <w:rsid w:val="00627798"/>
    <w:rsid w:val="00627B22"/>
    <w:rsid w:val="00627B83"/>
    <w:rsid w:val="00627C38"/>
    <w:rsid w:val="006304FF"/>
    <w:rsid w:val="006305B0"/>
    <w:rsid w:val="00630C23"/>
    <w:rsid w:val="0063111B"/>
    <w:rsid w:val="00631BE0"/>
    <w:rsid w:val="00632242"/>
    <w:rsid w:val="0063257A"/>
    <w:rsid w:val="00632603"/>
    <w:rsid w:val="00632875"/>
    <w:rsid w:val="00632C56"/>
    <w:rsid w:val="0063322B"/>
    <w:rsid w:val="00633857"/>
    <w:rsid w:val="00633A9D"/>
    <w:rsid w:val="00633C2C"/>
    <w:rsid w:val="006341EE"/>
    <w:rsid w:val="0063453F"/>
    <w:rsid w:val="00635197"/>
    <w:rsid w:val="006353AA"/>
    <w:rsid w:val="006356D5"/>
    <w:rsid w:val="006357CD"/>
    <w:rsid w:val="00636D7D"/>
    <w:rsid w:val="0063702F"/>
    <w:rsid w:val="006376A7"/>
    <w:rsid w:val="006376D2"/>
    <w:rsid w:val="00637CA3"/>
    <w:rsid w:val="0064046E"/>
    <w:rsid w:val="006405DF"/>
    <w:rsid w:val="00640D23"/>
    <w:rsid w:val="00641575"/>
    <w:rsid w:val="0064158E"/>
    <w:rsid w:val="006416EA"/>
    <w:rsid w:val="00641BD1"/>
    <w:rsid w:val="00641E61"/>
    <w:rsid w:val="0064216C"/>
    <w:rsid w:val="006424A8"/>
    <w:rsid w:val="0064268A"/>
    <w:rsid w:val="006428CE"/>
    <w:rsid w:val="006429E6"/>
    <w:rsid w:val="00642B3D"/>
    <w:rsid w:val="00642E20"/>
    <w:rsid w:val="00642F5E"/>
    <w:rsid w:val="00643DED"/>
    <w:rsid w:val="00643DFB"/>
    <w:rsid w:val="00644051"/>
    <w:rsid w:val="006441D1"/>
    <w:rsid w:val="00644502"/>
    <w:rsid w:val="0064516E"/>
    <w:rsid w:val="00645570"/>
    <w:rsid w:val="006456C6"/>
    <w:rsid w:val="00645F17"/>
    <w:rsid w:val="00645F82"/>
    <w:rsid w:val="006467BE"/>
    <w:rsid w:val="00646ACF"/>
    <w:rsid w:val="00647148"/>
    <w:rsid w:val="00647734"/>
    <w:rsid w:val="00647816"/>
    <w:rsid w:val="0064784B"/>
    <w:rsid w:val="006504F9"/>
    <w:rsid w:val="00650521"/>
    <w:rsid w:val="006505BC"/>
    <w:rsid w:val="00650915"/>
    <w:rsid w:val="00650B37"/>
    <w:rsid w:val="00650B6C"/>
    <w:rsid w:val="00650CB5"/>
    <w:rsid w:val="00650EAC"/>
    <w:rsid w:val="00651396"/>
    <w:rsid w:val="0065149E"/>
    <w:rsid w:val="00651CB5"/>
    <w:rsid w:val="00652617"/>
    <w:rsid w:val="006528B3"/>
    <w:rsid w:val="00652E5E"/>
    <w:rsid w:val="0065451D"/>
    <w:rsid w:val="006548C2"/>
    <w:rsid w:val="00654F35"/>
    <w:rsid w:val="0065508B"/>
    <w:rsid w:val="00655188"/>
    <w:rsid w:val="006559A0"/>
    <w:rsid w:val="00656898"/>
    <w:rsid w:val="0065695A"/>
    <w:rsid w:val="00656A9A"/>
    <w:rsid w:val="00657C17"/>
    <w:rsid w:val="00660026"/>
    <w:rsid w:val="0066046E"/>
    <w:rsid w:val="00661B23"/>
    <w:rsid w:val="00661B6D"/>
    <w:rsid w:val="00661E12"/>
    <w:rsid w:val="00661F45"/>
    <w:rsid w:val="00662032"/>
    <w:rsid w:val="006620AC"/>
    <w:rsid w:val="006621E3"/>
    <w:rsid w:val="00662233"/>
    <w:rsid w:val="00662983"/>
    <w:rsid w:val="006629D4"/>
    <w:rsid w:val="00662DE8"/>
    <w:rsid w:val="006632C0"/>
    <w:rsid w:val="00663680"/>
    <w:rsid w:val="006637F8"/>
    <w:rsid w:val="0066386F"/>
    <w:rsid w:val="00663E25"/>
    <w:rsid w:val="006643F8"/>
    <w:rsid w:val="00664DB4"/>
    <w:rsid w:val="006653B8"/>
    <w:rsid w:val="00665865"/>
    <w:rsid w:val="00665C64"/>
    <w:rsid w:val="00666CBF"/>
    <w:rsid w:val="00666D0B"/>
    <w:rsid w:val="00667360"/>
    <w:rsid w:val="00667861"/>
    <w:rsid w:val="00670ABA"/>
    <w:rsid w:val="00670FF5"/>
    <w:rsid w:val="006711C8"/>
    <w:rsid w:val="006717C5"/>
    <w:rsid w:val="00671878"/>
    <w:rsid w:val="0067196E"/>
    <w:rsid w:val="00671BBB"/>
    <w:rsid w:val="00671BC7"/>
    <w:rsid w:val="00671F1F"/>
    <w:rsid w:val="00671FDF"/>
    <w:rsid w:val="0067218E"/>
    <w:rsid w:val="0067234C"/>
    <w:rsid w:val="0067278F"/>
    <w:rsid w:val="00672956"/>
    <w:rsid w:val="00672979"/>
    <w:rsid w:val="006729B4"/>
    <w:rsid w:val="00672C6D"/>
    <w:rsid w:val="00672D54"/>
    <w:rsid w:val="00672F5F"/>
    <w:rsid w:val="006730DC"/>
    <w:rsid w:val="006735B6"/>
    <w:rsid w:val="00673D52"/>
    <w:rsid w:val="0067424A"/>
    <w:rsid w:val="00674311"/>
    <w:rsid w:val="00674439"/>
    <w:rsid w:val="00674865"/>
    <w:rsid w:val="00674ABD"/>
    <w:rsid w:val="00674B52"/>
    <w:rsid w:val="00675491"/>
    <w:rsid w:val="00675598"/>
    <w:rsid w:val="006757B8"/>
    <w:rsid w:val="00675910"/>
    <w:rsid w:val="00675A68"/>
    <w:rsid w:val="006764E9"/>
    <w:rsid w:val="00676C76"/>
    <w:rsid w:val="00676CCD"/>
    <w:rsid w:val="00677105"/>
    <w:rsid w:val="006774F2"/>
    <w:rsid w:val="006778B6"/>
    <w:rsid w:val="00677C49"/>
    <w:rsid w:val="00677DC0"/>
    <w:rsid w:val="0068037E"/>
    <w:rsid w:val="00680A7D"/>
    <w:rsid w:val="00680ADD"/>
    <w:rsid w:val="00680C10"/>
    <w:rsid w:val="006812CF"/>
    <w:rsid w:val="006814AE"/>
    <w:rsid w:val="006819D2"/>
    <w:rsid w:val="00681B49"/>
    <w:rsid w:val="00681C5E"/>
    <w:rsid w:val="00682124"/>
    <w:rsid w:val="006821D4"/>
    <w:rsid w:val="00683063"/>
    <w:rsid w:val="00683160"/>
    <w:rsid w:val="00683AE7"/>
    <w:rsid w:val="00683D60"/>
    <w:rsid w:val="00683E64"/>
    <w:rsid w:val="006850C5"/>
    <w:rsid w:val="006850C9"/>
    <w:rsid w:val="0068577D"/>
    <w:rsid w:val="0068588D"/>
    <w:rsid w:val="006872B2"/>
    <w:rsid w:val="006874A6"/>
    <w:rsid w:val="00687693"/>
    <w:rsid w:val="0068784C"/>
    <w:rsid w:val="00687B99"/>
    <w:rsid w:val="00687EAB"/>
    <w:rsid w:val="00687ED9"/>
    <w:rsid w:val="006900C8"/>
    <w:rsid w:val="00690BB6"/>
    <w:rsid w:val="0069146F"/>
    <w:rsid w:val="006926FB"/>
    <w:rsid w:val="00692B9F"/>
    <w:rsid w:val="00693257"/>
    <w:rsid w:val="006933F1"/>
    <w:rsid w:val="00693447"/>
    <w:rsid w:val="00693450"/>
    <w:rsid w:val="00693B76"/>
    <w:rsid w:val="00693D06"/>
    <w:rsid w:val="006948A6"/>
    <w:rsid w:val="00694C3D"/>
    <w:rsid w:val="006968A3"/>
    <w:rsid w:val="0069697F"/>
    <w:rsid w:val="006969F5"/>
    <w:rsid w:val="00696E26"/>
    <w:rsid w:val="00697045"/>
    <w:rsid w:val="00697DFA"/>
    <w:rsid w:val="006A0301"/>
    <w:rsid w:val="006A07D9"/>
    <w:rsid w:val="006A0ABE"/>
    <w:rsid w:val="006A0AD1"/>
    <w:rsid w:val="006A16EF"/>
    <w:rsid w:val="006A2A9F"/>
    <w:rsid w:val="006A2DBC"/>
    <w:rsid w:val="006A2E41"/>
    <w:rsid w:val="006A32EE"/>
    <w:rsid w:val="006A3396"/>
    <w:rsid w:val="006A3721"/>
    <w:rsid w:val="006A3EDE"/>
    <w:rsid w:val="006A3F77"/>
    <w:rsid w:val="006A44BF"/>
    <w:rsid w:val="006A47A3"/>
    <w:rsid w:val="006A4A3B"/>
    <w:rsid w:val="006A4A7B"/>
    <w:rsid w:val="006A4ECA"/>
    <w:rsid w:val="006A4F8E"/>
    <w:rsid w:val="006A5359"/>
    <w:rsid w:val="006A55F3"/>
    <w:rsid w:val="006A58C2"/>
    <w:rsid w:val="006A637A"/>
    <w:rsid w:val="006A6382"/>
    <w:rsid w:val="006A65D7"/>
    <w:rsid w:val="006A67E0"/>
    <w:rsid w:val="006A6C3F"/>
    <w:rsid w:val="006A762B"/>
    <w:rsid w:val="006A7E14"/>
    <w:rsid w:val="006B00F4"/>
    <w:rsid w:val="006B0650"/>
    <w:rsid w:val="006B08DA"/>
    <w:rsid w:val="006B0BFC"/>
    <w:rsid w:val="006B0F3C"/>
    <w:rsid w:val="006B1662"/>
    <w:rsid w:val="006B2484"/>
    <w:rsid w:val="006B2854"/>
    <w:rsid w:val="006B2CF8"/>
    <w:rsid w:val="006B2E5E"/>
    <w:rsid w:val="006B3AFC"/>
    <w:rsid w:val="006B3DE4"/>
    <w:rsid w:val="006B406B"/>
    <w:rsid w:val="006B41B3"/>
    <w:rsid w:val="006B5292"/>
    <w:rsid w:val="006B557B"/>
    <w:rsid w:val="006B5A5E"/>
    <w:rsid w:val="006B5E81"/>
    <w:rsid w:val="006B5FEC"/>
    <w:rsid w:val="006B6B1A"/>
    <w:rsid w:val="006B6EDA"/>
    <w:rsid w:val="006B716B"/>
    <w:rsid w:val="006B73B2"/>
    <w:rsid w:val="006B76AC"/>
    <w:rsid w:val="006B7904"/>
    <w:rsid w:val="006B7FD5"/>
    <w:rsid w:val="006C00AD"/>
    <w:rsid w:val="006C03C8"/>
    <w:rsid w:val="006C055C"/>
    <w:rsid w:val="006C057B"/>
    <w:rsid w:val="006C0732"/>
    <w:rsid w:val="006C078C"/>
    <w:rsid w:val="006C0C04"/>
    <w:rsid w:val="006C1FB3"/>
    <w:rsid w:val="006C1FCD"/>
    <w:rsid w:val="006C2219"/>
    <w:rsid w:val="006C2624"/>
    <w:rsid w:val="006C2694"/>
    <w:rsid w:val="006C3440"/>
    <w:rsid w:val="006C35EF"/>
    <w:rsid w:val="006C3FB6"/>
    <w:rsid w:val="006C46DE"/>
    <w:rsid w:val="006C471B"/>
    <w:rsid w:val="006C4A69"/>
    <w:rsid w:val="006C4EFE"/>
    <w:rsid w:val="006C57CF"/>
    <w:rsid w:val="006C5977"/>
    <w:rsid w:val="006C5A55"/>
    <w:rsid w:val="006C5EF0"/>
    <w:rsid w:val="006C6287"/>
    <w:rsid w:val="006C66E5"/>
    <w:rsid w:val="006C67DC"/>
    <w:rsid w:val="006C699A"/>
    <w:rsid w:val="006C6F5E"/>
    <w:rsid w:val="006C70C9"/>
    <w:rsid w:val="006C7548"/>
    <w:rsid w:val="006C7693"/>
    <w:rsid w:val="006C76EB"/>
    <w:rsid w:val="006C77EC"/>
    <w:rsid w:val="006C7940"/>
    <w:rsid w:val="006C7ADD"/>
    <w:rsid w:val="006C7AEF"/>
    <w:rsid w:val="006D0187"/>
    <w:rsid w:val="006D0634"/>
    <w:rsid w:val="006D0834"/>
    <w:rsid w:val="006D0BBF"/>
    <w:rsid w:val="006D141B"/>
    <w:rsid w:val="006D1574"/>
    <w:rsid w:val="006D1582"/>
    <w:rsid w:val="006D1737"/>
    <w:rsid w:val="006D2408"/>
    <w:rsid w:val="006D2414"/>
    <w:rsid w:val="006D27A3"/>
    <w:rsid w:val="006D287F"/>
    <w:rsid w:val="006D2C1E"/>
    <w:rsid w:val="006D2C75"/>
    <w:rsid w:val="006D2C94"/>
    <w:rsid w:val="006D35C1"/>
    <w:rsid w:val="006D3850"/>
    <w:rsid w:val="006D3A4E"/>
    <w:rsid w:val="006D405B"/>
    <w:rsid w:val="006D4128"/>
    <w:rsid w:val="006D4148"/>
    <w:rsid w:val="006D420A"/>
    <w:rsid w:val="006D42E5"/>
    <w:rsid w:val="006D4787"/>
    <w:rsid w:val="006D48BB"/>
    <w:rsid w:val="006D48E5"/>
    <w:rsid w:val="006D4A33"/>
    <w:rsid w:val="006D4C5B"/>
    <w:rsid w:val="006D4DA9"/>
    <w:rsid w:val="006D4DB6"/>
    <w:rsid w:val="006D4DBE"/>
    <w:rsid w:val="006D50A1"/>
    <w:rsid w:val="006D525F"/>
    <w:rsid w:val="006D53AE"/>
    <w:rsid w:val="006D55A0"/>
    <w:rsid w:val="006D55E1"/>
    <w:rsid w:val="006D5B47"/>
    <w:rsid w:val="006D5D57"/>
    <w:rsid w:val="006D5EEC"/>
    <w:rsid w:val="006D6188"/>
    <w:rsid w:val="006D63C0"/>
    <w:rsid w:val="006D6785"/>
    <w:rsid w:val="006D6B02"/>
    <w:rsid w:val="006D6D67"/>
    <w:rsid w:val="006D7052"/>
    <w:rsid w:val="006D721F"/>
    <w:rsid w:val="006D791F"/>
    <w:rsid w:val="006D7AE4"/>
    <w:rsid w:val="006E0337"/>
    <w:rsid w:val="006E100D"/>
    <w:rsid w:val="006E1B35"/>
    <w:rsid w:val="006E1B5F"/>
    <w:rsid w:val="006E20D8"/>
    <w:rsid w:val="006E214A"/>
    <w:rsid w:val="006E21CC"/>
    <w:rsid w:val="006E2740"/>
    <w:rsid w:val="006E2795"/>
    <w:rsid w:val="006E2B1A"/>
    <w:rsid w:val="006E2BAC"/>
    <w:rsid w:val="006E2C26"/>
    <w:rsid w:val="006E3117"/>
    <w:rsid w:val="006E31C4"/>
    <w:rsid w:val="006E3435"/>
    <w:rsid w:val="006E38F7"/>
    <w:rsid w:val="006E3A39"/>
    <w:rsid w:val="006E3C9C"/>
    <w:rsid w:val="006E3EB2"/>
    <w:rsid w:val="006E3FE4"/>
    <w:rsid w:val="006E46C3"/>
    <w:rsid w:val="006E48F6"/>
    <w:rsid w:val="006E4E7E"/>
    <w:rsid w:val="006E4E94"/>
    <w:rsid w:val="006E507E"/>
    <w:rsid w:val="006E56B3"/>
    <w:rsid w:val="006E5733"/>
    <w:rsid w:val="006E5B82"/>
    <w:rsid w:val="006E61CF"/>
    <w:rsid w:val="006E622B"/>
    <w:rsid w:val="006E6457"/>
    <w:rsid w:val="006E64DB"/>
    <w:rsid w:val="006E6680"/>
    <w:rsid w:val="006E689A"/>
    <w:rsid w:val="006E6D27"/>
    <w:rsid w:val="006E6D70"/>
    <w:rsid w:val="006E6F7C"/>
    <w:rsid w:val="006E716D"/>
    <w:rsid w:val="006E7289"/>
    <w:rsid w:val="006E77F0"/>
    <w:rsid w:val="006E7F1B"/>
    <w:rsid w:val="006F047D"/>
    <w:rsid w:val="006F0AC4"/>
    <w:rsid w:val="006F0B35"/>
    <w:rsid w:val="006F1339"/>
    <w:rsid w:val="006F1682"/>
    <w:rsid w:val="006F196C"/>
    <w:rsid w:val="006F1D99"/>
    <w:rsid w:val="006F2613"/>
    <w:rsid w:val="006F2616"/>
    <w:rsid w:val="006F283C"/>
    <w:rsid w:val="006F2A8E"/>
    <w:rsid w:val="006F3269"/>
    <w:rsid w:val="006F3740"/>
    <w:rsid w:val="006F40C6"/>
    <w:rsid w:val="006F44B9"/>
    <w:rsid w:val="006F4C77"/>
    <w:rsid w:val="006F4E92"/>
    <w:rsid w:val="006F51D6"/>
    <w:rsid w:val="006F5BF0"/>
    <w:rsid w:val="006F6017"/>
    <w:rsid w:val="006F6180"/>
    <w:rsid w:val="006F6808"/>
    <w:rsid w:val="006F6E1C"/>
    <w:rsid w:val="006F7335"/>
    <w:rsid w:val="006F76DC"/>
    <w:rsid w:val="0070024D"/>
    <w:rsid w:val="00700499"/>
    <w:rsid w:val="00700729"/>
    <w:rsid w:val="00700816"/>
    <w:rsid w:val="007008BD"/>
    <w:rsid w:val="00700D2A"/>
    <w:rsid w:val="00701088"/>
    <w:rsid w:val="007018EF"/>
    <w:rsid w:val="00701AB7"/>
    <w:rsid w:val="00701F95"/>
    <w:rsid w:val="007023E2"/>
    <w:rsid w:val="00702D8D"/>
    <w:rsid w:val="007031FA"/>
    <w:rsid w:val="00703866"/>
    <w:rsid w:val="00703D58"/>
    <w:rsid w:val="00703E8A"/>
    <w:rsid w:val="007040B9"/>
    <w:rsid w:val="00704409"/>
    <w:rsid w:val="00704501"/>
    <w:rsid w:val="00704556"/>
    <w:rsid w:val="00704653"/>
    <w:rsid w:val="0070484D"/>
    <w:rsid w:val="00704C60"/>
    <w:rsid w:val="00704E34"/>
    <w:rsid w:val="00704FB8"/>
    <w:rsid w:val="00705124"/>
    <w:rsid w:val="00705442"/>
    <w:rsid w:val="00705919"/>
    <w:rsid w:val="00705AEE"/>
    <w:rsid w:val="00705C4A"/>
    <w:rsid w:val="00705CAE"/>
    <w:rsid w:val="00706151"/>
    <w:rsid w:val="0070649B"/>
    <w:rsid w:val="007066EB"/>
    <w:rsid w:val="00706785"/>
    <w:rsid w:val="0070695F"/>
    <w:rsid w:val="00706A40"/>
    <w:rsid w:val="00706CDA"/>
    <w:rsid w:val="00706DF7"/>
    <w:rsid w:val="00707065"/>
    <w:rsid w:val="007070B4"/>
    <w:rsid w:val="00707EB5"/>
    <w:rsid w:val="00710008"/>
    <w:rsid w:val="0071002B"/>
    <w:rsid w:val="0071046C"/>
    <w:rsid w:val="007106C8"/>
    <w:rsid w:val="00710F0C"/>
    <w:rsid w:val="007110DC"/>
    <w:rsid w:val="007111DC"/>
    <w:rsid w:val="007113FC"/>
    <w:rsid w:val="00711684"/>
    <w:rsid w:val="00711E52"/>
    <w:rsid w:val="0071204D"/>
    <w:rsid w:val="007121C4"/>
    <w:rsid w:val="007123C3"/>
    <w:rsid w:val="007125C6"/>
    <w:rsid w:val="0071274D"/>
    <w:rsid w:val="00712767"/>
    <w:rsid w:val="00712A30"/>
    <w:rsid w:val="00712C47"/>
    <w:rsid w:val="007131D4"/>
    <w:rsid w:val="00713274"/>
    <w:rsid w:val="00713AB0"/>
    <w:rsid w:val="00713D1B"/>
    <w:rsid w:val="00714013"/>
    <w:rsid w:val="00714234"/>
    <w:rsid w:val="0071477E"/>
    <w:rsid w:val="00714963"/>
    <w:rsid w:val="00714C33"/>
    <w:rsid w:val="00714F16"/>
    <w:rsid w:val="00714F32"/>
    <w:rsid w:val="00715DFD"/>
    <w:rsid w:val="00715EAA"/>
    <w:rsid w:val="00715EB7"/>
    <w:rsid w:val="00716592"/>
    <w:rsid w:val="007166F8"/>
    <w:rsid w:val="00716B81"/>
    <w:rsid w:val="00717051"/>
    <w:rsid w:val="00717D7A"/>
    <w:rsid w:val="00720A3C"/>
    <w:rsid w:val="00720B00"/>
    <w:rsid w:val="00720E94"/>
    <w:rsid w:val="00721217"/>
    <w:rsid w:val="00721242"/>
    <w:rsid w:val="0072128E"/>
    <w:rsid w:val="00721330"/>
    <w:rsid w:val="00721A64"/>
    <w:rsid w:val="00721CF8"/>
    <w:rsid w:val="00722283"/>
    <w:rsid w:val="007223F1"/>
    <w:rsid w:val="00723A62"/>
    <w:rsid w:val="00723C80"/>
    <w:rsid w:val="00723C95"/>
    <w:rsid w:val="00724143"/>
    <w:rsid w:val="0072424C"/>
    <w:rsid w:val="0072426F"/>
    <w:rsid w:val="00724358"/>
    <w:rsid w:val="0072462C"/>
    <w:rsid w:val="0072467C"/>
    <w:rsid w:val="00725057"/>
    <w:rsid w:val="007253A0"/>
    <w:rsid w:val="00725941"/>
    <w:rsid w:val="00725AA3"/>
    <w:rsid w:val="007260C4"/>
    <w:rsid w:val="00726163"/>
    <w:rsid w:val="007268ED"/>
    <w:rsid w:val="00726992"/>
    <w:rsid w:val="00726ADF"/>
    <w:rsid w:val="00726C9F"/>
    <w:rsid w:val="00726D76"/>
    <w:rsid w:val="0072738E"/>
    <w:rsid w:val="00727511"/>
    <w:rsid w:val="007276B4"/>
    <w:rsid w:val="00727721"/>
    <w:rsid w:val="00727CE1"/>
    <w:rsid w:val="00727DB5"/>
    <w:rsid w:val="0073008D"/>
    <w:rsid w:val="007300C4"/>
    <w:rsid w:val="007303FD"/>
    <w:rsid w:val="0073053B"/>
    <w:rsid w:val="00730AFE"/>
    <w:rsid w:val="00730EBF"/>
    <w:rsid w:val="00731792"/>
    <w:rsid w:val="00731AEC"/>
    <w:rsid w:val="007320CF"/>
    <w:rsid w:val="00732A61"/>
    <w:rsid w:val="00732A73"/>
    <w:rsid w:val="00732D3D"/>
    <w:rsid w:val="00732D3F"/>
    <w:rsid w:val="00732DD5"/>
    <w:rsid w:val="00732DD7"/>
    <w:rsid w:val="00733472"/>
    <w:rsid w:val="0073376D"/>
    <w:rsid w:val="007338FE"/>
    <w:rsid w:val="00733C01"/>
    <w:rsid w:val="0073408A"/>
    <w:rsid w:val="00734266"/>
    <w:rsid w:val="007344AD"/>
    <w:rsid w:val="007345A7"/>
    <w:rsid w:val="00734BF3"/>
    <w:rsid w:val="00734CCE"/>
    <w:rsid w:val="007352B7"/>
    <w:rsid w:val="00735384"/>
    <w:rsid w:val="007353FB"/>
    <w:rsid w:val="00735400"/>
    <w:rsid w:val="0073555D"/>
    <w:rsid w:val="007356E5"/>
    <w:rsid w:val="00735820"/>
    <w:rsid w:val="007359C1"/>
    <w:rsid w:val="00735BA1"/>
    <w:rsid w:val="007363DC"/>
    <w:rsid w:val="007363FA"/>
    <w:rsid w:val="007365BB"/>
    <w:rsid w:val="007365C8"/>
    <w:rsid w:val="00736966"/>
    <w:rsid w:val="00736C48"/>
    <w:rsid w:val="00736DFB"/>
    <w:rsid w:val="00737034"/>
    <w:rsid w:val="00737A69"/>
    <w:rsid w:val="00737AD1"/>
    <w:rsid w:val="00740038"/>
    <w:rsid w:val="007404DC"/>
    <w:rsid w:val="00740BB4"/>
    <w:rsid w:val="0074101A"/>
    <w:rsid w:val="0074115E"/>
    <w:rsid w:val="00742338"/>
    <w:rsid w:val="00742383"/>
    <w:rsid w:val="00742B88"/>
    <w:rsid w:val="00742D8B"/>
    <w:rsid w:val="00743380"/>
    <w:rsid w:val="0074338D"/>
    <w:rsid w:val="00743493"/>
    <w:rsid w:val="0074383F"/>
    <w:rsid w:val="007438EA"/>
    <w:rsid w:val="0074398D"/>
    <w:rsid w:val="007439BA"/>
    <w:rsid w:val="00743AC7"/>
    <w:rsid w:val="00743BD5"/>
    <w:rsid w:val="00743DA9"/>
    <w:rsid w:val="00743F92"/>
    <w:rsid w:val="00743FB9"/>
    <w:rsid w:val="00744549"/>
    <w:rsid w:val="0074463C"/>
    <w:rsid w:val="00744A8C"/>
    <w:rsid w:val="00744CBD"/>
    <w:rsid w:val="00745098"/>
    <w:rsid w:val="00745575"/>
    <w:rsid w:val="00745609"/>
    <w:rsid w:val="00745679"/>
    <w:rsid w:val="00745FD0"/>
    <w:rsid w:val="007461EB"/>
    <w:rsid w:val="007462C4"/>
    <w:rsid w:val="007465AD"/>
    <w:rsid w:val="00746811"/>
    <w:rsid w:val="0074697E"/>
    <w:rsid w:val="00746B04"/>
    <w:rsid w:val="00746B37"/>
    <w:rsid w:val="00746B74"/>
    <w:rsid w:val="00746DD6"/>
    <w:rsid w:val="00747056"/>
    <w:rsid w:val="00747117"/>
    <w:rsid w:val="00747235"/>
    <w:rsid w:val="007473AD"/>
    <w:rsid w:val="007474B9"/>
    <w:rsid w:val="00747B72"/>
    <w:rsid w:val="00747F82"/>
    <w:rsid w:val="00747FE2"/>
    <w:rsid w:val="00750391"/>
    <w:rsid w:val="007507D3"/>
    <w:rsid w:val="00750A2B"/>
    <w:rsid w:val="00750AF7"/>
    <w:rsid w:val="00750EB3"/>
    <w:rsid w:val="00751CE0"/>
    <w:rsid w:val="00751E79"/>
    <w:rsid w:val="00751F44"/>
    <w:rsid w:val="00752023"/>
    <w:rsid w:val="00752221"/>
    <w:rsid w:val="00752388"/>
    <w:rsid w:val="0075278A"/>
    <w:rsid w:val="00752C1F"/>
    <w:rsid w:val="00753136"/>
    <w:rsid w:val="007535A5"/>
    <w:rsid w:val="00753A48"/>
    <w:rsid w:val="00753B48"/>
    <w:rsid w:val="00753E15"/>
    <w:rsid w:val="00753E74"/>
    <w:rsid w:val="00754320"/>
    <w:rsid w:val="0075435D"/>
    <w:rsid w:val="00754AAE"/>
    <w:rsid w:val="00754ABE"/>
    <w:rsid w:val="00754E30"/>
    <w:rsid w:val="007551A2"/>
    <w:rsid w:val="0075544D"/>
    <w:rsid w:val="00755D85"/>
    <w:rsid w:val="00756057"/>
    <w:rsid w:val="007569DD"/>
    <w:rsid w:val="00757D92"/>
    <w:rsid w:val="00757F52"/>
    <w:rsid w:val="00760576"/>
    <w:rsid w:val="0076085E"/>
    <w:rsid w:val="00760B27"/>
    <w:rsid w:val="00760E01"/>
    <w:rsid w:val="00760F1D"/>
    <w:rsid w:val="00760F8C"/>
    <w:rsid w:val="0076143D"/>
    <w:rsid w:val="0076156D"/>
    <w:rsid w:val="00761978"/>
    <w:rsid w:val="007619F4"/>
    <w:rsid w:val="00761CA1"/>
    <w:rsid w:val="00761CC5"/>
    <w:rsid w:val="0076208F"/>
    <w:rsid w:val="007624CC"/>
    <w:rsid w:val="007624E2"/>
    <w:rsid w:val="007626B8"/>
    <w:rsid w:val="007627DA"/>
    <w:rsid w:val="007627F4"/>
    <w:rsid w:val="00763266"/>
    <w:rsid w:val="00763307"/>
    <w:rsid w:val="007635EE"/>
    <w:rsid w:val="0076409C"/>
    <w:rsid w:val="00764869"/>
    <w:rsid w:val="0076494F"/>
    <w:rsid w:val="00765350"/>
    <w:rsid w:val="0076566B"/>
    <w:rsid w:val="00766165"/>
    <w:rsid w:val="007662D5"/>
    <w:rsid w:val="007669CF"/>
    <w:rsid w:val="00766B80"/>
    <w:rsid w:val="00766BFC"/>
    <w:rsid w:val="00766C3B"/>
    <w:rsid w:val="00766CCE"/>
    <w:rsid w:val="0076711B"/>
    <w:rsid w:val="00767184"/>
    <w:rsid w:val="007675B6"/>
    <w:rsid w:val="00767D29"/>
    <w:rsid w:val="00770249"/>
    <w:rsid w:val="0077028A"/>
    <w:rsid w:val="0077057E"/>
    <w:rsid w:val="00770755"/>
    <w:rsid w:val="00770D31"/>
    <w:rsid w:val="00770DC4"/>
    <w:rsid w:val="00770DC6"/>
    <w:rsid w:val="00771011"/>
    <w:rsid w:val="00771583"/>
    <w:rsid w:val="007718A2"/>
    <w:rsid w:val="00772894"/>
    <w:rsid w:val="007728F0"/>
    <w:rsid w:val="0077302D"/>
    <w:rsid w:val="00773220"/>
    <w:rsid w:val="00773331"/>
    <w:rsid w:val="00773706"/>
    <w:rsid w:val="0077395B"/>
    <w:rsid w:val="007739A8"/>
    <w:rsid w:val="00773AAF"/>
    <w:rsid w:val="007741DF"/>
    <w:rsid w:val="007744A5"/>
    <w:rsid w:val="0077495B"/>
    <w:rsid w:val="00774AF7"/>
    <w:rsid w:val="00774CC9"/>
    <w:rsid w:val="00774E77"/>
    <w:rsid w:val="00774E83"/>
    <w:rsid w:val="00774EAF"/>
    <w:rsid w:val="007750A7"/>
    <w:rsid w:val="007756A5"/>
    <w:rsid w:val="00775783"/>
    <w:rsid w:val="00775A59"/>
    <w:rsid w:val="00775B2C"/>
    <w:rsid w:val="0077611B"/>
    <w:rsid w:val="00776323"/>
    <w:rsid w:val="00776464"/>
    <w:rsid w:val="00776466"/>
    <w:rsid w:val="00776547"/>
    <w:rsid w:val="00776758"/>
    <w:rsid w:val="007767C3"/>
    <w:rsid w:val="00776A9D"/>
    <w:rsid w:val="00776D95"/>
    <w:rsid w:val="007770D2"/>
    <w:rsid w:val="00777414"/>
    <w:rsid w:val="00777CCB"/>
    <w:rsid w:val="00777E91"/>
    <w:rsid w:val="0078039F"/>
    <w:rsid w:val="00780479"/>
    <w:rsid w:val="0078057F"/>
    <w:rsid w:val="0078077D"/>
    <w:rsid w:val="00781259"/>
    <w:rsid w:val="007816F5"/>
    <w:rsid w:val="00781A2B"/>
    <w:rsid w:val="00781C02"/>
    <w:rsid w:val="00781DB7"/>
    <w:rsid w:val="0078202B"/>
    <w:rsid w:val="00782169"/>
    <w:rsid w:val="007826E9"/>
    <w:rsid w:val="007827AB"/>
    <w:rsid w:val="00782A19"/>
    <w:rsid w:val="00782A4E"/>
    <w:rsid w:val="007835FC"/>
    <w:rsid w:val="00783E7E"/>
    <w:rsid w:val="00784557"/>
    <w:rsid w:val="007845B6"/>
    <w:rsid w:val="007850CC"/>
    <w:rsid w:val="00785753"/>
    <w:rsid w:val="0078577E"/>
    <w:rsid w:val="00785896"/>
    <w:rsid w:val="00785932"/>
    <w:rsid w:val="00785DBF"/>
    <w:rsid w:val="00786AF6"/>
    <w:rsid w:val="00786D5D"/>
    <w:rsid w:val="00787A41"/>
    <w:rsid w:val="00790099"/>
    <w:rsid w:val="0079017C"/>
    <w:rsid w:val="00790203"/>
    <w:rsid w:val="00790341"/>
    <w:rsid w:val="007909D2"/>
    <w:rsid w:val="00790AC0"/>
    <w:rsid w:val="00791125"/>
    <w:rsid w:val="00791312"/>
    <w:rsid w:val="00791669"/>
    <w:rsid w:val="00791CCB"/>
    <w:rsid w:val="0079203C"/>
    <w:rsid w:val="007931BA"/>
    <w:rsid w:val="00793216"/>
    <w:rsid w:val="007939B2"/>
    <w:rsid w:val="00793A0F"/>
    <w:rsid w:val="00793F89"/>
    <w:rsid w:val="00793FB1"/>
    <w:rsid w:val="0079410E"/>
    <w:rsid w:val="0079422E"/>
    <w:rsid w:val="0079455A"/>
    <w:rsid w:val="007949C1"/>
    <w:rsid w:val="00794B63"/>
    <w:rsid w:val="00794E07"/>
    <w:rsid w:val="007959F3"/>
    <w:rsid w:val="0079630E"/>
    <w:rsid w:val="007966A7"/>
    <w:rsid w:val="00796C55"/>
    <w:rsid w:val="00797B8A"/>
    <w:rsid w:val="00797DCF"/>
    <w:rsid w:val="00797FE0"/>
    <w:rsid w:val="007A0199"/>
    <w:rsid w:val="007A02D5"/>
    <w:rsid w:val="007A1377"/>
    <w:rsid w:val="007A212F"/>
    <w:rsid w:val="007A2201"/>
    <w:rsid w:val="007A29D9"/>
    <w:rsid w:val="007A2C21"/>
    <w:rsid w:val="007A2F8D"/>
    <w:rsid w:val="007A3533"/>
    <w:rsid w:val="007A3895"/>
    <w:rsid w:val="007A3D3E"/>
    <w:rsid w:val="007A40A2"/>
    <w:rsid w:val="007A43EF"/>
    <w:rsid w:val="007A46D3"/>
    <w:rsid w:val="007A4E76"/>
    <w:rsid w:val="007A51D9"/>
    <w:rsid w:val="007A5324"/>
    <w:rsid w:val="007A53DF"/>
    <w:rsid w:val="007A53E6"/>
    <w:rsid w:val="007A5A43"/>
    <w:rsid w:val="007A5CBF"/>
    <w:rsid w:val="007A5E0E"/>
    <w:rsid w:val="007A67C3"/>
    <w:rsid w:val="007A6A0A"/>
    <w:rsid w:val="007A6C04"/>
    <w:rsid w:val="007A6CBB"/>
    <w:rsid w:val="007A70F5"/>
    <w:rsid w:val="007A71EB"/>
    <w:rsid w:val="007A749F"/>
    <w:rsid w:val="007A75C5"/>
    <w:rsid w:val="007A7A07"/>
    <w:rsid w:val="007A7A26"/>
    <w:rsid w:val="007A7B92"/>
    <w:rsid w:val="007A7CF8"/>
    <w:rsid w:val="007B02A9"/>
    <w:rsid w:val="007B0AF1"/>
    <w:rsid w:val="007B113A"/>
    <w:rsid w:val="007B1543"/>
    <w:rsid w:val="007B1947"/>
    <w:rsid w:val="007B1CC8"/>
    <w:rsid w:val="007B1FD9"/>
    <w:rsid w:val="007B27E7"/>
    <w:rsid w:val="007B28F2"/>
    <w:rsid w:val="007B3116"/>
    <w:rsid w:val="007B332E"/>
    <w:rsid w:val="007B34F3"/>
    <w:rsid w:val="007B3E72"/>
    <w:rsid w:val="007B3EA4"/>
    <w:rsid w:val="007B4550"/>
    <w:rsid w:val="007B47CE"/>
    <w:rsid w:val="007B4B11"/>
    <w:rsid w:val="007B4CAA"/>
    <w:rsid w:val="007B4E77"/>
    <w:rsid w:val="007B56D2"/>
    <w:rsid w:val="007B5B19"/>
    <w:rsid w:val="007B5B38"/>
    <w:rsid w:val="007B5E5F"/>
    <w:rsid w:val="007B6955"/>
    <w:rsid w:val="007B6A9D"/>
    <w:rsid w:val="007B6B16"/>
    <w:rsid w:val="007B7372"/>
    <w:rsid w:val="007B7479"/>
    <w:rsid w:val="007B76AB"/>
    <w:rsid w:val="007B76F3"/>
    <w:rsid w:val="007B799C"/>
    <w:rsid w:val="007B7D8B"/>
    <w:rsid w:val="007B7DC2"/>
    <w:rsid w:val="007B7DF1"/>
    <w:rsid w:val="007C0060"/>
    <w:rsid w:val="007C038C"/>
    <w:rsid w:val="007C05F0"/>
    <w:rsid w:val="007C092F"/>
    <w:rsid w:val="007C0995"/>
    <w:rsid w:val="007C0FDB"/>
    <w:rsid w:val="007C1735"/>
    <w:rsid w:val="007C1BBB"/>
    <w:rsid w:val="007C23DE"/>
    <w:rsid w:val="007C2734"/>
    <w:rsid w:val="007C2B82"/>
    <w:rsid w:val="007C2E4C"/>
    <w:rsid w:val="007C3498"/>
    <w:rsid w:val="007C3601"/>
    <w:rsid w:val="007C45C6"/>
    <w:rsid w:val="007C46DE"/>
    <w:rsid w:val="007C47B6"/>
    <w:rsid w:val="007C483F"/>
    <w:rsid w:val="007C487D"/>
    <w:rsid w:val="007C4D31"/>
    <w:rsid w:val="007C51BD"/>
    <w:rsid w:val="007C543D"/>
    <w:rsid w:val="007C56A3"/>
    <w:rsid w:val="007C57ED"/>
    <w:rsid w:val="007C5C6D"/>
    <w:rsid w:val="007C6837"/>
    <w:rsid w:val="007C6C20"/>
    <w:rsid w:val="007C6FB9"/>
    <w:rsid w:val="007C72D7"/>
    <w:rsid w:val="007C7405"/>
    <w:rsid w:val="007C7713"/>
    <w:rsid w:val="007C7903"/>
    <w:rsid w:val="007D0000"/>
    <w:rsid w:val="007D0589"/>
    <w:rsid w:val="007D0741"/>
    <w:rsid w:val="007D0874"/>
    <w:rsid w:val="007D0D18"/>
    <w:rsid w:val="007D115D"/>
    <w:rsid w:val="007D11AB"/>
    <w:rsid w:val="007D13E2"/>
    <w:rsid w:val="007D19B3"/>
    <w:rsid w:val="007D1C78"/>
    <w:rsid w:val="007D1DEA"/>
    <w:rsid w:val="007D1E0A"/>
    <w:rsid w:val="007D2372"/>
    <w:rsid w:val="007D2399"/>
    <w:rsid w:val="007D2B39"/>
    <w:rsid w:val="007D2B53"/>
    <w:rsid w:val="007D2B5F"/>
    <w:rsid w:val="007D2C16"/>
    <w:rsid w:val="007D2CD6"/>
    <w:rsid w:val="007D2E6B"/>
    <w:rsid w:val="007D36F7"/>
    <w:rsid w:val="007D39AB"/>
    <w:rsid w:val="007D51E3"/>
    <w:rsid w:val="007D53E5"/>
    <w:rsid w:val="007D5538"/>
    <w:rsid w:val="007D5A14"/>
    <w:rsid w:val="007D5ABF"/>
    <w:rsid w:val="007D5D05"/>
    <w:rsid w:val="007D5EA8"/>
    <w:rsid w:val="007D6142"/>
    <w:rsid w:val="007D6296"/>
    <w:rsid w:val="007D714D"/>
    <w:rsid w:val="007D740E"/>
    <w:rsid w:val="007D77DB"/>
    <w:rsid w:val="007D7A5F"/>
    <w:rsid w:val="007D7F34"/>
    <w:rsid w:val="007E0BBC"/>
    <w:rsid w:val="007E0D6D"/>
    <w:rsid w:val="007E133F"/>
    <w:rsid w:val="007E1944"/>
    <w:rsid w:val="007E2161"/>
    <w:rsid w:val="007E21D1"/>
    <w:rsid w:val="007E2477"/>
    <w:rsid w:val="007E40E3"/>
    <w:rsid w:val="007E536D"/>
    <w:rsid w:val="007E543C"/>
    <w:rsid w:val="007E5598"/>
    <w:rsid w:val="007E56B3"/>
    <w:rsid w:val="007E5945"/>
    <w:rsid w:val="007E5DDF"/>
    <w:rsid w:val="007E633C"/>
    <w:rsid w:val="007E6735"/>
    <w:rsid w:val="007E6BC5"/>
    <w:rsid w:val="007E7095"/>
    <w:rsid w:val="007E70DF"/>
    <w:rsid w:val="007E7CD5"/>
    <w:rsid w:val="007F0180"/>
    <w:rsid w:val="007F0245"/>
    <w:rsid w:val="007F08E9"/>
    <w:rsid w:val="007F0934"/>
    <w:rsid w:val="007F1260"/>
    <w:rsid w:val="007F1990"/>
    <w:rsid w:val="007F1C06"/>
    <w:rsid w:val="007F1FB1"/>
    <w:rsid w:val="007F2111"/>
    <w:rsid w:val="007F27A2"/>
    <w:rsid w:val="007F292E"/>
    <w:rsid w:val="007F2D05"/>
    <w:rsid w:val="007F37DD"/>
    <w:rsid w:val="007F3885"/>
    <w:rsid w:val="007F38F3"/>
    <w:rsid w:val="007F3DB9"/>
    <w:rsid w:val="007F4086"/>
    <w:rsid w:val="007F4851"/>
    <w:rsid w:val="007F487C"/>
    <w:rsid w:val="007F4BF5"/>
    <w:rsid w:val="007F4E0E"/>
    <w:rsid w:val="007F595A"/>
    <w:rsid w:val="007F5A46"/>
    <w:rsid w:val="007F5B80"/>
    <w:rsid w:val="007F5CF3"/>
    <w:rsid w:val="007F5EE3"/>
    <w:rsid w:val="007F6764"/>
    <w:rsid w:val="007F683C"/>
    <w:rsid w:val="007F68E7"/>
    <w:rsid w:val="007F6A04"/>
    <w:rsid w:val="007F6CA9"/>
    <w:rsid w:val="007F6CBA"/>
    <w:rsid w:val="007F71A7"/>
    <w:rsid w:val="007F764E"/>
    <w:rsid w:val="007F78E5"/>
    <w:rsid w:val="007F79F1"/>
    <w:rsid w:val="007F7EF7"/>
    <w:rsid w:val="008007C2"/>
    <w:rsid w:val="00800854"/>
    <w:rsid w:val="0080098E"/>
    <w:rsid w:val="00800AAF"/>
    <w:rsid w:val="00801025"/>
    <w:rsid w:val="00801211"/>
    <w:rsid w:val="00801496"/>
    <w:rsid w:val="00801B84"/>
    <w:rsid w:val="00801C65"/>
    <w:rsid w:val="008020B7"/>
    <w:rsid w:val="008020C6"/>
    <w:rsid w:val="008023BA"/>
    <w:rsid w:val="00802A45"/>
    <w:rsid w:val="00802B05"/>
    <w:rsid w:val="00802F3E"/>
    <w:rsid w:val="0080318C"/>
    <w:rsid w:val="008031CE"/>
    <w:rsid w:val="00803453"/>
    <w:rsid w:val="00803788"/>
    <w:rsid w:val="00803795"/>
    <w:rsid w:val="00804242"/>
    <w:rsid w:val="008044E8"/>
    <w:rsid w:val="00804698"/>
    <w:rsid w:val="00804F5E"/>
    <w:rsid w:val="008068F3"/>
    <w:rsid w:val="00806C56"/>
    <w:rsid w:val="00806E0E"/>
    <w:rsid w:val="00806F79"/>
    <w:rsid w:val="008077C8"/>
    <w:rsid w:val="00807AE7"/>
    <w:rsid w:val="00810003"/>
    <w:rsid w:val="00810BA1"/>
    <w:rsid w:val="008111C6"/>
    <w:rsid w:val="00811701"/>
    <w:rsid w:val="008127C0"/>
    <w:rsid w:val="00812ACA"/>
    <w:rsid w:val="00812B46"/>
    <w:rsid w:val="00812DEF"/>
    <w:rsid w:val="00813241"/>
    <w:rsid w:val="00813CC7"/>
    <w:rsid w:val="00813D4D"/>
    <w:rsid w:val="00813E7A"/>
    <w:rsid w:val="00814063"/>
    <w:rsid w:val="008142F0"/>
    <w:rsid w:val="00814A3C"/>
    <w:rsid w:val="00814A78"/>
    <w:rsid w:val="00814B28"/>
    <w:rsid w:val="00814BAF"/>
    <w:rsid w:val="00814D7A"/>
    <w:rsid w:val="00814FE3"/>
    <w:rsid w:val="008150AB"/>
    <w:rsid w:val="008150BB"/>
    <w:rsid w:val="008153EE"/>
    <w:rsid w:val="0081591F"/>
    <w:rsid w:val="00815940"/>
    <w:rsid w:val="00816353"/>
    <w:rsid w:val="00816EE2"/>
    <w:rsid w:val="0081757C"/>
    <w:rsid w:val="008175D0"/>
    <w:rsid w:val="00817BAA"/>
    <w:rsid w:val="00817C3F"/>
    <w:rsid w:val="00817EC2"/>
    <w:rsid w:val="008203DA"/>
    <w:rsid w:val="00820496"/>
    <w:rsid w:val="008206C9"/>
    <w:rsid w:val="008208DA"/>
    <w:rsid w:val="00820DB8"/>
    <w:rsid w:val="008211AB"/>
    <w:rsid w:val="00821375"/>
    <w:rsid w:val="0082151C"/>
    <w:rsid w:val="008220C1"/>
    <w:rsid w:val="00822128"/>
    <w:rsid w:val="008223EF"/>
    <w:rsid w:val="00822A9B"/>
    <w:rsid w:val="00822BCC"/>
    <w:rsid w:val="00822F0C"/>
    <w:rsid w:val="00822FAB"/>
    <w:rsid w:val="0082349F"/>
    <w:rsid w:val="00823595"/>
    <w:rsid w:val="008238FA"/>
    <w:rsid w:val="00823987"/>
    <w:rsid w:val="00823C3B"/>
    <w:rsid w:val="00823D28"/>
    <w:rsid w:val="00823F1E"/>
    <w:rsid w:val="00823F30"/>
    <w:rsid w:val="00824217"/>
    <w:rsid w:val="008246BD"/>
    <w:rsid w:val="00824AA8"/>
    <w:rsid w:val="00824D07"/>
    <w:rsid w:val="00824F95"/>
    <w:rsid w:val="008252C0"/>
    <w:rsid w:val="008253B7"/>
    <w:rsid w:val="008254F1"/>
    <w:rsid w:val="0082553A"/>
    <w:rsid w:val="008255AE"/>
    <w:rsid w:val="00825635"/>
    <w:rsid w:val="008265AA"/>
    <w:rsid w:val="008265B0"/>
    <w:rsid w:val="00826988"/>
    <w:rsid w:val="00826B55"/>
    <w:rsid w:val="0082704F"/>
    <w:rsid w:val="008270D9"/>
    <w:rsid w:val="008273EE"/>
    <w:rsid w:val="00827665"/>
    <w:rsid w:val="00827A03"/>
    <w:rsid w:val="00827D68"/>
    <w:rsid w:val="008304E8"/>
    <w:rsid w:val="0083079D"/>
    <w:rsid w:val="00830A99"/>
    <w:rsid w:val="00831052"/>
    <w:rsid w:val="00831789"/>
    <w:rsid w:val="00831A22"/>
    <w:rsid w:val="00831DFE"/>
    <w:rsid w:val="00832680"/>
    <w:rsid w:val="00832863"/>
    <w:rsid w:val="00833015"/>
    <w:rsid w:val="00833053"/>
    <w:rsid w:val="00833453"/>
    <w:rsid w:val="00833568"/>
    <w:rsid w:val="00833588"/>
    <w:rsid w:val="008335AC"/>
    <w:rsid w:val="00833A68"/>
    <w:rsid w:val="00833B78"/>
    <w:rsid w:val="00833D22"/>
    <w:rsid w:val="00833F01"/>
    <w:rsid w:val="00834287"/>
    <w:rsid w:val="00834378"/>
    <w:rsid w:val="00834B1A"/>
    <w:rsid w:val="00834DCC"/>
    <w:rsid w:val="00834EB3"/>
    <w:rsid w:val="00835185"/>
    <w:rsid w:val="0083546B"/>
    <w:rsid w:val="0083599A"/>
    <w:rsid w:val="00835A73"/>
    <w:rsid w:val="00835BA9"/>
    <w:rsid w:val="00835F76"/>
    <w:rsid w:val="0083633D"/>
    <w:rsid w:val="0083661F"/>
    <w:rsid w:val="008369E3"/>
    <w:rsid w:val="00836B23"/>
    <w:rsid w:val="00836B90"/>
    <w:rsid w:val="00836E02"/>
    <w:rsid w:val="0083756B"/>
    <w:rsid w:val="008376B9"/>
    <w:rsid w:val="0083774E"/>
    <w:rsid w:val="008379E3"/>
    <w:rsid w:val="00837AC3"/>
    <w:rsid w:val="00840028"/>
    <w:rsid w:val="0084036E"/>
    <w:rsid w:val="00841256"/>
    <w:rsid w:val="008418DA"/>
    <w:rsid w:val="00841D8C"/>
    <w:rsid w:val="00841F84"/>
    <w:rsid w:val="00842A4A"/>
    <w:rsid w:val="00843275"/>
    <w:rsid w:val="008432F0"/>
    <w:rsid w:val="0084379A"/>
    <w:rsid w:val="008437FB"/>
    <w:rsid w:val="00843ACA"/>
    <w:rsid w:val="00843D5C"/>
    <w:rsid w:val="00843ED6"/>
    <w:rsid w:val="0084406D"/>
    <w:rsid w:val="00844642"/>
    <w:rsid w:val="00844887"/>
    <w:rsid w:val="00844AB2"/>
    <w:rsid w:val="00844EB0"/>
    <w:rsid w:val="008451F9"/>
    <w:rsid w:val="00845B55"/>
    <w:rsid w:val="00845FAA"/>
    <w:rsid w:val="00846B19"/>
    <w:rsid w:val="00846BA5"/>
    <w:rsid w:val="008472E6"/>
    <w:rsid w:val="008478CC"/>
    <w:rsid w:val="008478DE"/>
    <w:rsid w:val="00847C50"/>
    <w:rsid w:val="00847E9B"/>
    <w:rsid w:val="00847FC8"/>
    <w:rsid w:val="00850160"/>
    <w:rsid w:val="008509A5"/>
    <w:rsid w:val="00850B97"/>
    <w:rsid w:val="008511E7"/>
    <w:rsid w:val="008512D2"/>
    <w:rsid w:val="008513F7"/>
    <w:rsid w:val="00851DAB"/>
    <w:rsid w:val="008525CB"/>
    <w:rsid w:val="00852BCC"/>
    <w:rsid w:val="00852C56"/>
    <w:rsid w:val="008538FE"/>
    <w:rsid w:val="0085478E"/>
    <w:rsid w:val="008547BE"/>
    <w:rsid w:val="00854B38"/>
    <w:rsid w:val="00854BF6"/>
    <w:rsid w:val="00855333"/>
    <w:rsid w:val="008554C0"/>
    <w:rsid w:val="00855624"/>
    <w:rsid w:val="008556D4"/>
    <w:rsid w:val="0085570C"/>
    <w:rsid w:val="00855737"/>
    <w:rsid w:val="008558F5"/>
    <w:rsid w:val="00856285"/>
    <w:rsid w:val="008562FF"/>
    <w:rsid w:val="008563AD"/>
    <w:rsid w:val="008566F8"/>
    <w:rsid w:val="00857333"/>
    <w:rsid w:val="0085741A"/>
    <w:rsid w:val="00857864"/>
    <w:rsid w:val="008579FE"/>
    <w:rsid w:val="00857C17"/>
    <w:rsid w:val="00857DC6"/>
    <w:rsid w:val="00857E57"/>
    <w:rsid w:val="00857ED3"/>
    <w:rsid w:val="008600E7"/>
    <w:rsid w:val="00860673"/>
    <w:rsid w:val="0086098C"/>
    <w:rsid w:val="00860D92"/>
    <w:rsid w:val="008610FF"/>
    <w:rsid w:val="00861106"/>
    <w:rsid w:val="00861863"/>
    <w:rsid w:val="0086186F"/>
    <w:rsid w:val="0086193E"/>
    <w:rsid w:val="00861D9F"/>
    <w:rsid w:val="00861E11"/>
    <w:rsid w:val="00861FD2"/>
    <w:rsid w:val="00862D3E"/>
    <w:rsid w:val="00862F2A"/>
    <w:rsid w:val="00863298"/>
    <w:rsid w:val="0086334D"/>
    <w:rsid w:val="00863B44"/>
    <w:rsid w:val="00863FF9"/>
    <w:rsid w:val="008641CA"/>
    <w:rsid w:val="00864314"/>
    <w:rsid w:val="008643F4"/>
    <w:rsid w:val="00864588"/>
    <w:rsid w:val="008646CF"/>
    <w:rsid w:val="00864A4A"/>
    <w:rsid w:val="00864AA4"/>
    <w:rsid w:val="00864E6F"/>
    <w:rsid w:val="00865187"/>
    <w:rsid w:val="0086522E"/>
    <w:rsid w:val="0086528A"/>
    <w:rsid w:val="00865A52"/>
    <w:rsid w:val="00865D71"/>
    <w:rsid w:val="008661E5"/>
    <w:rsid w:val="0086622E"/>
    <w:rsid w:val="008662FD"/>
    <w:rsid w:val="00866AF6"/>
    <w:rsid w:val="00870B81"/>
    <w:rsid w:val="0087164E"/>
    <w:rsid w:val="008717CF"/>
    <w:rsid w:val="00871DE7"/>
    <w:rsid w:val="008727DA"/>
    <w:rsid w:val="00872917"/>
    <w:rsid w:val="00872B83"/>
    <w:rsid w:val="00872B97"/>
    <w:rsid w:val="00872C09"/>
    <w:rsid w:val="00872D0A"/>
    <w:rsid w:val="00872E50"/>
    <w:rsid w:val="00872F60"/>
    <w:rsid w:val="00873306"/>
    <w:rsid w:val="00873E0E"/>
    <w:rsid w:val="00874357"/>
    <w:rsid w:val="0087472E"/>
    <w:rsid w:val="00874BA3"/>
    <w:rsid w:val="00874E54"/>
    <w:rsid w:val="00874EB9"/>
    <w:rsid w:val="00874FA9"/>
    <w:rsid w:val="00875367"/>
    <w:rsid w:val="0087545D"/>
    <w:rsid w:val="008759D1"/>
    <w:rsid w:val="00875E7C"/>
    <w:rsid w:val="008760AD"/>
    <w:rsid w:val="00876AC3"/>
    <w:rsid w:val="00876B92"/>
    <w:rsid w:val="00876EF6"/>
    <w:rsid w:val="008773BD"/>
    <w:rsid w:val="008774B7"/>
    <w:rsid w:val="00877EBE"/>
    <w:rsid w:val="00877F1F"/>
    <w:rsid w:val="00880330"/>
    <w:rsid w:val="008814A3"/>
    <w:rsid w:val="0088153C"/>
    <w:rsid w:val="00881C61"/>
    <w:rsid w:val="008824B6"/>
    <w:rsid w:val="0088262F"/>
    <w:rsid w:val="008826F1"/>
    <w:rsid w:val="00882C22"/>
    <w:rsid w:val="00882C27"/>
    <w:rsid w:val="00882F34"/>
    <w:rsid w:val="0088320C"/>
    <w:rsid w:val="00883378"/>
    <w:rsid w:val="0088350D"/>
    <w:rsid w:val="00883724"/>
    <w:rsid w:val="00883D33"/>
    <w:rsid w:val="00884233"/>
    <w:rsid w:val="00884255"/>
    <w:rsid w:val="00884A65"/>
    <w:rsid w:val="00884B87"/>
    <w:rsid w:val="0088513C"/>
    <w:rsid w:val="00885586"/>
    <w:rsid w:val="008858F2"/>
    <w:rsid w:val="00885DB0"/>
    <w:rsid w:val="00885F6C"/>
    <w:rsid w:val="0088633A"/>
    <w:rsid w:val="00886745"/>
    <w:rsid w:val="008868EF"/>
    <w:rsid w:val="0088699C"/>
    <w:rsid w:val="00886BAC"/>
    <w:rsid w:val="0088715D"/>
    <w:rsid w:val="00887407"/>
    <w:rsid w:val="008875D9"/>
    <w:rsid w:val="008877EE"/>
    <w:rsid w:val="00887E97"/>
    <w:rsid w:val="00887FEF"/>
    <w:rsid w:val="008900BB"/>
    <w:rsid w:val="0089050C"/>
    <w:rsid w:val="008909E8"/>
    <w:rsid w:val="00890A47"/>
    <w:rsid w:val="00890F68"/>
    <w:rsid w:val="00891001"/>
    <w:rsid w:val="00891823"/>
    <w:rsid w:val="00891A5C"/>
    <w:rsid w:val="00891F7E"/>
    <w:rsid w:val="008926B2"/>
    <w:rsid w:val="00892B0E"/>
    <w:rsid w:val="00892BE5"/>
    <w:rsid w:val="008932EC"/>
    <w:rsid w:val="00893620"/>
    <w:rsid w:val="00893719"/>
    <w:rsid w:val="00893F1D"/>
    <w:rsid w:val="0089483A"/>
    <w:rsid w:val="0089497B"/>
    <w:rsid w:val="00894987"/>
    <w:rsid w:val="00894FC5"/>
    <w:rsid w:val="0089588C"/>
    <w:rsid w:val="00895E91"/>
    <w:rsid w:val="00896075"/>
    <w:rsid w:val="008961CB"/>
    <w:rsid w:val="0089631A"/>
    <w:rsid w:val="008964D0"/>
    <w:rsid w:val="00896AC9"/>
    <w:rsid w:val="00896B98"/>
    <w:rsid w:val="00896E88"/>
    <w:rsid w:val="008977A0"/>
    <w:rsid w:val="00897853"/>
    <w:rsid w:val="00897D84"/>
    <w:rsid w:val="008A02DB"/>
    <w:rsid w:val="008A0D28"/>
    <w:rsid w:val="008A0D35"/>
    <w:rsid w:val="008A0EED"/>
    <w:rsid w:val="008A0F66"/>
    <w:rsid w:val="008A1ABA"/>
    <w:rsid w:val="008A1B9E"/>
    <w:rsid w:val="008A2654"/>
    <w:rsid w:val="008A269C"/>
    <w:rsid w:val="008A29A5"/>
    <w:rsid w:val="008A2E5A"/>
    <w:rsid w:val="008A305A"/>
    <w:rsid w:val="008A38B6"/>
    <w:rsid w:val="008A3B1B"/>
    <w:rsid w:val="008A3C48"/>
    <w:rsid w:val="008A423F"/>
    <w:rsid w:val="008A4671"/>
    <w:rsid w:val="008A47EF"/>
    <w:rsid w:val="008A4B3D"/>
    <w:rsid w:val="008A4DAC"/>
    <w:rsid w:val="008A5141"/>
    <w:rsid w:val="008A5404"/>
    <w:rsid w:val="008A54C8"/>
    <w:rsid w:val="008A5DDD"/>
    <w:rsid w:val="008A676B"/>
    <w:rsid w:val="008A6897"/>
    <w:rsid w:val="008A6932"/>
    <w:rsid w:val="008A6EE5"/>
    <w:rsid w:val="008A73CC"/>
    <w:rsid w:val="008A7466"/>
    <w:rsid w:val="008A7497"/>
    <w:rsid w:val="008A75B1"/>
    <w:rsid w:val="008A775F"/>
    <w:rsid w:val="008A7B44"/>
    <w:rsid w:val="008A7BF5"/>
    <w:rsid w:val="008A7DC9"/>
    <w:rsid w:val="008B0001"/>
    <w:rsid w:val="008B022C"/>
    <w:rsid w:val="008B06F8"/>
    <w:rsid w:val="008B217F"/>
    <w:rsid w:val="008B2A9C"/>
    <w:rsid w:val="008B2D65"/>
    <w:rsid w:val="008B302D"/>
    <w:rsid w:val="008B3A17"/>
    <w:rsid w:val="008B3ABC"/>
    <w:rsid w:val="008B438A"/>
    <w:rsid w:val="008B4A9E"/>
    <w:rsid w:val="008B4B42"/>
    <w:rsid w:val="008B4E87"/>
    <w:rsid w:val="008B5347"/>
    <w:rsid w:val="008B560B"/>
    <w:rsid w:val="008B57E0"/>
    <w:rsid w:val="008B5847"/>
    <w:rsid w:val="008B5AAF"/>
    <w:rsid w:val="008B5F11"/>
    <w:rsid w:val="008B6061"/>
    <w:rsid w:val="008B610E"/>
    <w:rsid w:val="008B6693"/>
    <w:rsid w:val="008B66CE"/>
    <w:rsid w:val="008B6C0D"/>
    <w:rsid w:val="008B7537"/>
    <w:rsid w:val="008B76C8"/>
    <w:rsid w:val="008C07BE"/>
    <w:rsid w:val="008C0811"/>
    <w:rsid w:val="008C0835"/>
    <w:rsid w:val="008C0923"/>
    <w:rsid w:val="008C0C8D"/>
    <w:rsid w:val="008C0ED2"/>
    <w:rsid w:val="008C1117"/>
    <w:rsid w:val="008C1908"/>
    <w:rsid w:val="008C1F10"/>
    <w:rsid w:val="008C1FC5"/>
    <w:rsid w:val="008C204A"/>
    <w:rsid w:val="008C35DF"/>
    <w:rsid w:val="008C3C4E"/>
    <w:rsid w:val="008C4549"/>
    <w:rsid w:val="008C46C1"/>
    <w:rsid w:val="008C49BC"/>
    <w:rsid w:val="008C4B2C"/>
    <w:rsid w:val="008C4B7B"/>
    <w:rsid w:val="008C54F4"/>
    <w:rsid w:val="008C56C8"/>
    <w:rsid w:val="008C59B5"/>
    <w:rsid w:val="008C5AFA"/>
    <w:rsid w:val="008C5DD8"/>
    <w:rsid w:val="008C604B"/>
    <w:rsid w:val="008C6085"/>
    <w:rsid w:val="008C62E7"/>
    <w:rsid w:val="008C6485"/>
    <w:rsid w:val="008C6603"/>
    <w:rsid w:val="008C66A5"/>
    <w:rsid w:val="008C6704"/>
    <w:rsid w:val="008C67C8"/>
    <w:rsid w:val="008C6E94"/>
    <w:rsid w:val="008C6F85"/>
    <w:rsid w:val="008C70F8"/>
    <w:rsid w:val="008C72B2"/>
    <w:rsid w:val="008C7470"/>
    <w:rsid w:val="008C75A7"/>
    <w:rsid w:val="008C75D1"/>
    <w:rsid w:val="008C7E36"/>
    <w:rsid w:val="008D00C0"/>
    <w:rsid w:val="008D0248"/>
    <w:rsid w:val="008D08FE"/>
    <w:rsid w:val="008D1805"/>
    <w:rsid w:val="008D1912"/>
    <w:rsid w:val="008D1A51"/>
    <w:rsid w:val="008D1A74"/>
    <w:rsid w:val="008D1B73"/>
    <w:rsid w:val="008D1B9E"/>
    <w:rsid w:val="008D22F2"/>
    <w:rsid w:val="008D24A1"/>
    <w:rsid w:val="008D29B8"/>
    <w:rsid w:val="008D32CE"/>
    <w:rsid w:val="008D35B5"/>
    <w:rsid w:val="008D3631"/>
    <w:rsid w:val="008D434A"/>
    <w:rsid w:val="008D447F"/>
    <w:rsid w:val="008D47F3"/>
    <w:rsid w:val="008D4864"/>
    <w:rsid w:val="008D494D"/>
    <w:rsid w:val="008D4BDF"/>
    <w:rsid w:val="008D5148"/>
    <w:rsid w:val="008D630B"/>
    <w:rsid w:val="008D657B"/>
    <w:rsid w:val="008D6D98"/>
    <w:rsid w:val="008D6F56"/>
    <w:rsid w:val="008D7D46"/>
    <w:rsid w:val="008D7DC4"/>
    <w:rsid w:val="008E08B9"/>
    <w:rsid w:val="008E0BF6"/>
    <w:rsid w:val="008E1359"/>
    <w:rsid w:val="008E18E4"/>
    <w:rsid w:val="008E2D39"/>
    <w:rsid w:val="008E2F1C"/>
    <w:rsid w:val="008E34E1"/>
    <w:rsid w:val="008E354B"/>
    <w:rsid w:val="008E3D2B"/>
    <w:rsid w:val="008E3E0F"/>
    <w:rsid w:val="008E467A"/>
    <w:rsid w:val="008E4B78"/>
    <w:rsid w:val="008E4C7F"/>
    <w:rsid w:val="008E500C"/>
    <w:rsid w:val="008E540B"/>
    <w:rsid w:val="008E5A00"/>
    <w:rsid w:val="008E614F"/>
    <w:rsid w:val="008E617D"/>
    <w:rsid w:val="008E6481"/>
    <w:rsid w:val="008E64BF"/>
    <w:rsid w:val="008E6B1E"/>
    <w:rsid w:val="008E6BDB"/>
    <w:rsid w:val="008E7442"/>
    <w:rsid w:val="008F0252"/>
    <w:rsid w:val="008F035B"/>
    <w:rsid w:val="008F039D"/>
    <w:rsid w:val="008F06B1"/>
    <w:rsid w:val="008F0718"/>
    <w:rsid w:val="008F0B0B"/>
    <w:rsid w:val="008F0C88"/>
    <w:rsid w:val="008F0D2F"/>
    <w:rsid w:val="008F0E7D"/>
    <w:rsid w:val="008F121D"/>
    <w:rsid w:val="008F177C"/>
    <w:rsid w:val="008F1D5A"/>
    <w:rsid w:val="008F1D68"/>
    <w:rsid w:val="008F1E5E"/>
    <w:rsid w:val="008F2346"/>
    <w:rsid w:val="008F24C9"/>
    <w:rsid w:val="008F2647"/>
    <w:rsid w:val="008F2924"/>
    <w:rsid w:val="008F2FC8"/>
    <w:rsid w:val="008F3466"/>
    <w:rsid w:val="008F380E"/>
    <w:rsid w:val="008F38D3"/>
    <w:rsid w:val="008F4305"/>
    <w:rsid w:val="008F48AE"/>
    <w:rsid w:val="008F4A22"/>
    <w:rsid w:val="008F4DC5"/>
    <w:rsid w:val="008F539B"/>
    <w:rsid w:val="008F570B"/>
    <w:rsid w:val="008F5B96"/>
    <w:rsid w:val="008F5BDC"/>
    <w:rsid w:val="008F5C63"/>
    <w:rsid w:val="008F5C99"/>
    <w:rsid w:val="008F5E81"/>
    <w:rsid w:val="008F5F56"/>
    <w:rsid w:val="008F60EB"/>
    <w:rsid w:val="008F6B98"/>
    <w:rsid w:val="008F6E06"/>
    <w:rsid w:val="008F7004"/>
    <w:rsid w:val="008F7068"/>
    <w:rsid w:val="008F7154"/>
    <w:rsid w:val="008F7431"/>
    <w:rsid w:val="008F79A6"/>
    <w:rsid w:val="008F7AC7"/>
    <w:rsid w:val="008F7D2D"/>
    <w:rsid w:val="008F7E96"/>
    <w:rsid w:val="00900240"/>
    <w:rsid w:val="00900457"/>
    <w:rsid w:val="009007A8"/>
    <w:rsid w:val="009007EE"/>
    <w:rsid w:val="00900C99"/>
    <w:rsid w:val="0090163F"/>
    <w:rsid w:val="009016FC"/>
    <w:rsid w:val="0090173B"/>
    <w:rsid w:val="00901889"/>
    <w:rsid w:val="00901A76"/>
    <w:rsid w:val="00901C63"/>
    <w:rsid w:val="00901E18"/>
    <w:rsid w:val="00902065"/>
    <w:rsid w:val="00902581"/>
    <w:rsid w:val="00902C08"/>
    <w:rsid w:val="009031EA"/>
    <w:rsid w:val="00903D72"/>
    <w:rsid w:val="0090402E"/>
    <w:rsid w:val="00904528"/>
    <w:rsid w:val="00904682"/>
    <w:rsid w:val="009047AF"/>
    <w:rsid w:val="00904999"/>
    <w:rsid w:val="00905423"/>
    <w:rsid w:val="00905565"/>
    <w:rsid w:val="00905AAE"/>
    <w:rsid w:val="00905E0D"/>
    <w:rsid w:val="00906279"/>
    <w:rsid w:val="0090680B"/>
    <w:rsid w:val="0090683D"/>
    <w:rsid w:val="00906FB7"/>
    <w:rsid w:val="00907233"/>
    <w:rsid w:val="00907683"/>
    <w:rsid w:val="00907F27"/>
    <w:rsid w:val="00910AD5"/>
    <w:rsid w:val="00910D7A"/>
    <w:rsid w:val="00911140"/>
    <w:rsid w:val="00911169"/>
    <w:rsid w:val="00911675"/>
    <w:rsid w:val="009116E3"/>
    <w:rsid w:val="00911B14"/>
    <w:rsid w:val="00911D63"/>
    <w:rsid w:val="0091211E"/>
    <w:rsid w:val="009123EF"/>
    <w:rsid w:val="0091293A"/>
    <w:rsid w:val="00913133"/>
    <w:rsid w:val="00913D11"/>
    <w:rsid w:val="00913E3E"/>
    <w:rsid w:val="00914006"/>
    <w:rsid w:val="00914919"/>
    <w:rsid w:val="00914B47"/>
    <w:rsid w:val="00914EEA"/>
    <w:rsid w:val="00914FFD"/>
    <w:rsid w:val="00915060"/>
    <w:rsid w:val="00915982"/>
    <w:rsid w:val="00915D04"/>
    <w:rsid w:val="0091633B"/>
    <w:rsid w:val="00916F3C"/>
    <w:rsid w:val="00917A36"/>
    <w:rsid w:val="00917AFE"/>
    <w:rsid w:val="00917CBA"/>
    <w:rsid w:val="0092078F"/>
    <w:rsid w:val="00920ADA"/>
    <w:rsid w:val="0092186F"/>
    <w:rsid w:val="00921B2A"/>
    <w:rsid w:val="00921BAF"/>
    <w:rsid w:val="00921E85"/>
    <w:rsid w:val="009228EA"/>
    <w:rsid w:val="00922B70"/>
    <w:rsid w:val="00922F51"/>
    <w:rsid w:val="00923103"/>
    <w:rsid w:val="009232A8"/>
    <w:rsid w:val="0092340B"/>
    <w:rsid w:val="00923487"/>
    <w:rsid w:val="009234B4"/>
    <w:rsid w:val="00923702"/>
    <w:rsid w:val="0092379D"/>
    <w:rsid w:val="0092392A"/>
    <w:rsid w:val="0092409C"/>
    <w:rsid w:val="009245B4"/>
    <w:rsid w:val="00924838"/>
    <w:rsid w:val="00924B76"/>
    <w:rsid w:val="00924E14"/>
    <w:rsid w:val="009250D7"/>
    <w:rsid w:val="00925A85"/>
    <w:rsid w:val="00925C1B"/>
    <w:rsid w:val="00926402"/>
    <w:rsid w:val="0092698E"/>
    <w:rsid w:val="00926A20"/>
    <w:rsid w:val="00926DF1"/>
    <w:rsid w:val="00926EFD"/>
    <w:rsid w:val="009272F1"/>
    <w:rsid w:val="0092784C"/>
    <w:rsid w:val="00927D6C"/>
    <w:rsid w:val="00927F2E"/>
    <w:rsid w:val="00927FDF"/>
    <w:rsid w:val="00931038"/>
    <w:rsid w:val="009311A5"/>
    <w:rsid w:val="00931951"/>
    <w:rsid w:val="00931C98"/>
    <w:rsid w:val="009323C1"/>
    <w:rsid w:val="009323D2"/>
    <w:rsid w:val="009323FC"/>
    <w:rsid w:val="00932477"/>
    <w:rsid w:val="00932612"/>
    <w:rsid w:val="009326FD"/>
    <w:rsid w:val="00932891"/>
    <w:rsid w:val="00932D5A"/>
    <w:rsid w:val="009331E5"/>
    <w:rsid w:val="00933549"/>
    <w:rsid w:val="009339B6"/>
    <w:rsid w:val="00933DCB"/>
    <w:rsid w:val="009348FE"/>
    <w:rsid w:val="00935C4D"/>
    <w:rsid w:val="00936516"/>
    <w:rsid w:val="0093657F"/>
    <w:rsid w:val="00937103"/>
    <w:rsid w:val="009373EB"/>
    <w:rsid w:val="0093760A"/>
    <w:rsid w:val="009377DF"/>
    <w:rsid w:val="009400D1"/>
    <w:rsid w:val="009402B9"/>
    <w:rsid w:val="009404C8"/>
    <w:rsid w:val="00940547"/>
    <w:rsid w:val="009405AA"/>
    <w:rsid w:val="009406E7"/>
    <w:rsid w:val="00941121"/>
    <w:rsid w:val="009415C4"/>
    <w:rsid w:val="00941613"/>
    <w:rsid w:val="00941A36"/>
    <w:rsid w:val="00941E0A"/>
    <w:rsid w:val="00941FDB"/>
    <w:rsid w:val="009420EA"/>
    <w:rsid w:val="00942153"/>
    <w:rsid w:val="00942342"/>
    <w:rsid w:val="00942BB5"/>
    <w:rsid w:val="00942FA7"/>
    <w:rsid w:val="009430CF"/>
    <w:rsid w:val="00943183"/>
    <w:rsid w:val="00943388"/>
    <w:rsid w:val="00943651"/>
    <w:rsid w:val="00943901"/>
    <w:rsid w:val="00943B41"/>
    <w:rsid w:val="00943F43"/>
    <w:rsid w:val="00944001"/>
    <w:rsid w:val="0094478E"/>
    <w:rsid w:val="00944A7B"/>
    <w:rsid w:val="00944CEF"/>
    <w:rsid w:val="0094543B"/>
    <w:rsid w:val="00945884"/>
    <w:rsid w:val="009461BE"/>
    <w:rsid w:val="009462CF"/>
    <w:rsid w:val="00946702"/>
    <w:rsid w:val="00946AF6"/>
    <w:rsid w:val="00946D1B"/>
    <w:rsid w:val="00946EFD"/>
    <w:rsid w:val="00946FFD"/>
    <w:rsid w:val="00947226"/>
    <w:rsid w:val="0094772B"/>
    <w:rsid w:val="00947FA2"/>
    <w:rsid w:val="00950100"/>
    <w:rsid w:val="009502BF"/>
    <w:rsid w:val="00950429"/>
    <w:rsid w:val="009508FA"/>
    <w:rsid w:val="0095093E"/>
    <w:rsid w:val="009509E7"/>
    <w:rsid w:val="00950A1F"/>
    <w:rsid w:val="00950E11"/>
    <w:rsid w:val="009511B2"/>
    <w:rsid w:val="0095172F"/>
    <w:rsid w:val="00951899"/>
    <w:rsid w:val="00951D4D"/>
    <w:rsid w:val="009520EC"/>
    <w:rsid w:val="009521A9"/>
    <w:rsid w:val="0095278C"/>
    <w:rsid w:val="009529ED"/>
    <w:rsid w:val="00952A5B"/>
    <w:rsid w:val="00952ADF"/>
    <w:rsid w:val="00953454"/>
    <w:rsid w:val="00953503"/>
    <w:rsid w:val="00953731"/>
    <w:rsid w:val="009542F4"/>
    <w:rsid w:val="00954468"/>
    <w:rsid w:val="00954B93"/>
    <w:rsid w:val="00954CD9"/>
    <w:rsid w:val="00954D26"/>
    <w:rsid w:val="00954DDD"/>
    <w:rsid w:val="009554F4"/>
    <w:rsid w:val="00955535"/>
    <w:rsid w:val="00956415"/>
    <w:rsid w:val="00956823"/>
    <w:rsid w:val="00956A12"/>
    <w:rsid w:val="00956E13"/>
    <w:rsid w:val="009576A4"/>
    <w:rsid w:val="0095770C"/>
    <w:rsid w:val="00957964"/>
    <w:rsid w:val="00957968"/>
    <w:rsid w:val="00957DDA"/>
    <w:rsid w:val="00960401"/>
    <w:rsid w:val="0096080F"/>
    <w:rsid w:val="00960AD1"/>
    <w:rsid w:val="00960D54"/>
    <w:rsid w:val="00960E25"/>
    <w:rsid w:val="00960E82"/>
    <w:rsid w:val="00961628"/>
    <w:rsid w:val="00961837"/>
    <w:rsid w:val="00962071"/>
    <w:rsid w:val="00962F59"/>
    <w:rsid w:val="00963489"/>
    <w:rsid w:val="00963817"/>
    <w:rsid w:val="00964D3F"/>
    <w:rsid w:val="00964F53"/>
    <w:rsid w:val="00964FC6"/>
    <w:rsid w:val="00965410"/>
    <w:rsid w:val="009656E6"/>
    <w:rsid w:val="00965EF1"/>
    <w:rsid w:val="009665C5"/>
    <w:rsid w:val="009666AB"/>
    <w:rsid w:val="0096695C"/>
    <w:rsid w:val="00967089"/>
    <w:rsid w:val="009672D3"/>
    <w:rsid w:val="009674AF"/>
    <w:rsid w:val="00967A18"/>
    <w:rsid w:val="00967F6B"/>
    <w:rsid w:val="009700A8"/>
    <w:rsid w:val="009700AB"/>
    <w:rsid w:val="009705C6"/>
    <w:rsid w:val="009707F9"/>
    <w:rsid w:val="00971273"/>
    <w:rsid w:val="00971553"/>
    <w:rsid w:val="0097195F"/>
    <w:rsid w:val="009719F3"/>
    <w:rsid w:val="009721DE"/>
    <w:rsid w:val="00972837"/>
    <w:rsid w:val="0097285C"/>
    <w:rsid w:val="00972A07"/>
    <w:rsid w:val="00972D05"/>
    <w:rsid w:val="009731E5"/>
    <w:rsid w:val="0097351C"/>
    <w:rsid w:val="00973B66"/>
    <w:rsid w:val="00973D56"/>
    <w:rsid w:val="00973F86"/>
    <w:rsid w:val="0097453D"/>
    <w:rsid w:val="00974A92"/>
    <w:rsid w:val="00974BC2"/>
    <w:rsid w:val="00974DB8"/>
    <w:rsid w:val="00974E5E"/>
    <w:rsid w:val="009752B3"/>
    <w:rsid w:val="00975370"/>
    <w:rsid w:val="00975810"/>
    <w:rsid w:val="00975959"/>
    <w:rsid w:val="0097596A"/>
    <w:rsid w:val="00975EAC"/>
    <w:rsid w:val="00975EC7"/>
    <w:rsid w:val="00976296"/>
    <w:rsid w:val="00976A9F"/>
    <w:rsid w:val="00976B48"/>
    <w:rsid w:val="00976BB8"/>
    <w:rsid w:val="00977001"/>
    <w:rsid w:val="0097769F"/>
    <w:rsid w:val="00980123"/>
    <w:rsid w:val="00980492"/>
    <w:rsid w:val="0098055F"/>
    <w:rsid w:val="00980628"/>
    <w:rsid w:val="0098087C"/>
    <w:rsid w:val="00980976"/>
    <w:rsid w:val="00980ADB"/>
    <w:rsid w:val="00980D52"/>
    <w:rsid w:val="009816B9"/>
    <w:rsid w:val="009816D0"/>
    <w:rsid w:val="00981C20"/>
    <w:rsid w:val="00982516"/>
    <w:rsid w:val="00982574"/>
    <w:rsid w:val="00982590"/>
    <w:rsid w:val="0098266D"/>
    <w:rsid w:val="00982763"/>
    <w:rsid w:val="0098313E"/>
    <w:rsid w:val="009831EC"/>
    <w:rsid w:val="009833FC"/>
    <w:rsid w:val="009837D2"/>
    <w:rsid w:val="00983D6B"/>
    <w:rsid w:val="009844D8"/>
    <w:rsid w:val="00984BC3"/>
    <w:rsid w:val="00984E1E"/>
    <w:rsid w:val="00985140"/>
    <w:rsid w:val="00985960"/>
    <w:rsid w:val="00985E6D"/>
    <w:rsid w:val="00985E97"/>
    <w:rsid w:val="0098614C"/>
    <w:rsid w:val="0098651C"/>
    <w:rsid w:val="00986E45"/>
    <w:rsid w:val="009874BA"/>
    <w:rsid w:val="0098772E"/>
    <w:rsid w:val="009877CD"/>
    <w:rsid w:val="00987801"/>
    <w:rsid w:val="00987918"/>
    <w:rsid w:val="00987977"/>
    <w:rsid w:val="00990077"/>
    <w:rsid w:val="0099009F"/>
    <w:rsid w:val="009902D5"/>
    <w:rsid w:val="0099048F"/>
    <w:rsid w:val="0099075E"/>
    <w:rsid w:val="00990CD4"/>
    <w:rsid w:val="0099120E"/>
    <w:rsid w:val="0099141E"/>
    <w:rsid w:val="00991C48"/>
    <w:rsid w:val="00992034"/>
    <w:rsid w:val="0099215C"/>
    <w:rsid w:val="009923C8"/>
    <w:rsid w:val="00992778"/>
    <w:rsid w:val="00993040"/>
    <w:rsid w:val="00993177"/>
    <w:rsid w:val="009933B5"/>
    <w:rsid w:val="0099352E"/>
    <w:rsid w:val="00993587"/>
    <w:rsid w:val="00993D5E"/>
    <w:rsid w:val="00994056"/>
    <w:rsid w:val="00994123"/>
    <w:rsid w:val="00994136"/>
    <w:rsid w:val="00994ABB"/>
    <w:rsid w:val="00994B36"/>
    <w:rsid w:val="0099503C"/>
    <w:rsid w:val="00995261"/>
    <w:rsid w:val="00995385"/>
    <w:rsid w:val="00995476"/>
    <w:rsid w:val="00995492"/>
    <w:rsid w:val="009954F6"/>
    <w:rsid w:val="00995CB3"/>
    <w:rsid w:val="00995CDF"/>
    <w:rsid w:val="00995E3C"/>
    <w:rsid w:val="00995F8E"/>
    <w:rsid w:val="00996141"/>
    <w:rsid w:val="009961A0"/>
    <w:rsid w:val="009961E4"/>
    <w:rsid w:val="00996205"/>
    <w:rsid w:val="009962BE"/>
    <w:rsid w:val="00996559"/>
    <w:rsid w:val="00996958"/>
    <w:rsid w:val="00996A83"/>
    <w:rsid w:val="00996DBA"/>
    <w:rsid w:val="009975F3"/>
    <w:rsid w:val="009975F7"/>
    <w:rsid w:val="0099790B"/>
    <w:rsid w:val="00997D91"/>
    <w:rsid w:val="00997DF8"/>
    <w:rsid w:val="009A0846"/>
    <w:rsid w:val="009A0891"/>
    <w:rsid w:val="009A12F2"/>
    <w:rsid w:val="009A1312"/>
    <w:rsid w:val="009A13DA"/>
    <w:rsid w:val="009A14A1"/>
    <w:rsid w:val="009A1A6C"/>
    <w:rsid w:val="009A1A6D"/>
    <w:rsid w:val="009A1EB3"/>
    <w:rsid w:val="009A2807"/>
    <w:rsid w:val="009A2E8C"/>
    <w:rsid w:val="009A2EEB"/>
    <w:rsid w:val="009A2FA1"/>
    <w:rsid w:val="009A330B"/>
    <w:rsid w:val="009A3432"/>
    <w:rsid w:val="009A37FC"/>
    <w:rsid w:val="009A381C"/>
    <w:rsid w:val="009A40C6"/>
    <w:rsid w:val="009A44E6"/>
    <w:rsid w:val="009A475E"/>
    <w:rsid w:val="009A4899"/>
    <w:rsid w:val="009A4A97"/>
    <w:rsid w:val="009A4C5C"/>
    <w:rsid w:val="009A515E"/>
    <w:rsid w:val="009A5C30"/>
    <w:rsid w:val="009A5EB3"/>
    <w:rsid w:val="009A633B"/>
    <w:rsid w:val="009A663E"/>
    <w:rsid w:val="009A67CA"/>
    <w:rsid w:val="009A6A94"/>
    <w:rsid w:val="009A6D44"/>
    <w:rsid w:val="009A6F94"/>
    <w:rsid w:val="009A71D6"/>
    <w:rsid w:val="009B0516"/>
    <w:rsid w:val="009B076B"/>
    <w:rsid w:val="009B0835"/>
    <w:rsid w:val="009B088B"/>
    <w:rsid w:val="009B0A75"/>
    <w:rsid w:val="009B12CB"/>
    <w:rsid w:val="009B1A1D"/>
    <w:rsid w:val="009B1F26"/>
    <w:rsid w:val="009B23C4"/>
    <w:rsid w:val="009B2955"/>
    <w:rsid w:val="009B295E"/>
    <w:rsid w:val="009B2ABE"/>
    <w:rsid w:val="009B2F08"/>
    <w:rsid w:val="009B33B3"/>
    <w:rsid w:val="009B39B0"/>
    <w:rsid w:val="009B3AA6"/>
    <w:rsid w:val="009B3BE9"/>
    <w:rsid w:val="009B4089"/>
    <w:rsid w:val="009B45BC"/>
    <w:rsid w:val="009B4A31"/>
    <w:rsid w:val="009B4CE0"/>
    <w:rsid w:val="009B4D2E"/>
    <w:rsid w:val="009B4DF8"/>
    <w:rsid w:val="009B507D"/>
    <w:rsid w:val="009B5591"/>
    <w:rsid w:val="009B64E1"/>
    <w:rsid w:val="009B64F7"/>
    <w:rsid w:val="009B653D"/>
    <w:rsid w:val="009B692D"/>
    <w:rsid w:val="009B6B99"/>
    <w:rsid w:val="009B6D12"/>
    <w:rsid w:val="009B6F0C"/>
    <w:rsid w:val="009B714E"/>
    <w:rsid w:val="009B723D"/>
    <w:rsid w:val="009C0166"/>
    <w:rsid w:val="009C0B62"/>
    <w:rsid w:val="009C0CC9"/>
    <w:rsid w:val="009C15FB"/>
    <w:rsid w:val="009C188A"/>
    <w:rsid w:val="009C1AEF"/>
    <w:rsid w:val="009C203C"/>
    <w:rsid w:val="009C213E"/>
    <w:rsid w:val="009C217F"/>
    <w:rsid w:val="009C24A8"/>
    <w:rsid w:val="009C2B8C"/>
    <w:rsid w:val="009C2C7C"/>
    <w:rsid w:val="009C3279"/>
    <w:rsid w:val="009C32AB"/>
    <w:rsid w:val="009C330F"/>
    <w:rsid w:val="009C33C5"/>
    <w:rsid w:val="009C33E5"/>
    <w:rsid w:val="009C3503"/>
    <w:rsid w:val="009C3A4D"/>
    <w:rsid w:val="009C3BEF"/>
    <w:rsid w:val="009C3EC4"/>
    <w:rsid w:val="009C450C"/>
    <w:rsid w:val="009C4BDA"/>
    <w:rsid w:val="009C4C9E"/>
    <w:rsid w:val="009C5986"/>
    <w:rsid w:val="009C5FD3"/>
    <w:rsid w:val="009C7308"/>
    <w:rsid w:val="009C794A"/>
    <w:rsid w:val="009C79AE"/>
    <w:rsid w:val="009C79BC"/>
    <w:rsid w:val="009C7BF0"/>
    <w:rsid w:val="009D026B"/>
    <w:rsid w:val="009D0297"/>
    <w:rsid w:val="009D0E52"/>
    <w:rsid w:val="009D10FB"/>
    <w:rsid w:val="009D1402"/>
    <w:rsid w:val="009D1536"/>
    <w:rsid w:val="009D1BF1"/>
    <w:rsid w:val="009D1C6C"/>
    <w:rsid w:val="009D1ECA"/>
    <w:rsid w:val="009D1FBC"/>
    <w:rsid w:val="009D2681"/>
    <w:rsid w:val="009D2C86"/>
    <w:rsid w:val="009D3235"/>
    <w:rsid w:val="009D345D"/>
    <w:rsid w:val="009D3B0B"/>
    <w:rsid w:val="009D43A1"/>
    <w:rsid w:val="009D442A"/>
    <w:rsid w:val="009D4523"/>
    <w:rsid w:val="009D4541"/>
    <w:rsid w:val="009D463F"/>
    <w:rsid w:val="009D48C1"/>
    <w:rsid w:val="009D4F03"/>
    <w:rsid w:val="009D546D"/>
    <w:rsid w:val="009D5470"/>
    <w:rsid w:val="009D550F"/>
    <w:rsid w:val="009D56DA"/>
    <w:rsid w:val="009D61F9"/>
    <w:rsid w:val="009D69AD"/>
    <w:rsid w:val="009D6C9E"/>
    <w:rsid w:val="009D6E4F"/>
    <w:rsid w:val="009D729B"/>
    <w:rsid w:val="009D72E6"/>
    <w:rsid w:val="009D78FA"/>
    <w:rsid w:val="009D7918"/>
    <w:rsid w:val="009D7943"/>
    <w:rsid w:val="009D7E17"/>
    <w:rsid w:val="009E08D0"/>
    <w:rsid w:val="009E0BFD"/>
    <w:rsid w:val="009E0D27"/>
    <w:rsid w:val="009E0D87"/>
    <w:rsid w:val="009E0F5A"/>
    <w:rsid w:val="009E12D1"/>
    <w:rsid w:val="009E1894"/>
    <w:rsid w:val="009E1B80"/>
    <w:rsid w:val="009E1B88"/>
    <w:rsid w:val="009E1BA5"/>
    <w:rsid w:val="009E1F6C"/>
    <w:rsid w:val="009E21D7"/>
    <w:rsid w:val="009E24B1"/>
    <w:rsid w:val="009E289E"/>
    <w:rsid w:val="009E2AEC"/>
    <w:rsid w:val="009E2E1E"/>
    <w:rsid w:val="009E30AF"/>
    <w:rsid w:val="009E335F"/>
    <w:rsid w:val="009E3412"/>
    <w:rsid w:val="009E399B"/>
    <w:rsid w:val="009E3C4D"/>
    <w:rsid w:val="009E3D0D"/>
    <w:rsid w:val="009E3EF2"/>
    <w:rsid w:val="009E4937"/>
    <w:rsid w:val="009E4CE7"/>
    <w:rsid w:val="009E5029"/>
    <w:rsid w:val="009E5168"/>
    <w:rsid w:val="009E5587"/>
    <w:rsid w:val="009E5995"/>
    <w:rsid w:val="009E5E29"/>
    <w:rsid w:val="009E6E15"/>
    <w:rsid w:val="009E7720"/>
    <w:rsid w:val="009E7DBD"/>
    <w:rsid w:val="009E7E2D"/>
    <w:rsid w:val="009F0043"/>
    <w:rsid w:val="009F004D"/>
    <w:rsid w:val="009F016C"/>
    <w:rsid w:val="009F026E"/>
    <w:rsid w:val="009F0665"/>
    <w:rsid w:val="009F067A"/>
    <w:rsid w:val="009F08BC"/>
    <w:rsid w:val="009F0A1F"/>
    <w:rsid w:val="009F0F16"/>
    <w:rsid w:val="009F0FD7"/>
    <w:rsid w:val="009F10C6"/>
    <w:rsid w:val="009F1215"/>
    <w:rsid w:val="009F1398"/>
    <w:rsid w:val="009F199B"/>
    <w:rsid w:val="009F1C41"/>
    <w:rsid w:val="009F1D85"/>
    <w:rsid w:val="009F1F09"/>
    <w:rsid w:val="009F1F62"/>
    <w:rsid w:val="009F2114"/>
    <w:rsid w:val="009F2765"/>
    <w:rsid w:val="009F29AC"/>
    <w:rsid w:val="009F3259"/>
    <w:rsid w:val="009F3B30"/>
    <w:rsid w:val="009F3BD8"/>
    <w:rsid w:val="009F421F"/>
    <w:rsid w:val="009F42D3"/>
    <w:rsid w:val="009F42EE"/>
    <w:rsid w:val="009F44AA"/>
    <w:rsid w:val="009F59DC"/>
    <w:rsid w:val="009F59E0"/>
    <w:rsid w:val="009F5B74"/>
    <w:rsid w:val="009F5EA9"/>
    <w:rsid w:val="009F6144"/>
    <w:rsid w:val="009F61BF"/>
    <w:rsid w:val="009F6424"/>
    <w:rsid w:val="009F64D1"/>
    <w:rsid w:val="009F69CD"/>
    <w:rsid w:val="009F6AD5"/>
    <w:rsid w:val="009F6AFD"/>
    <w:rsid w:val="009F6B6B"/>
    <w:rsid w:val="009F73E3"/>
    <w:rsid w:val="009F78AD"/>
    <w:rsid w:val="009F7C3D"/>
    <w:rsid w:val="00A001AE"/>
    <w:rsid w:val="00A00386"/>
    <w:rsid w:val="00A00696"/>
    <w:rsid w:val="00A00DB4"/>
    <w:rsid w:val="00A01280"/>
    <w:rsid w:val="00A013C3"/>
    <w:rsid w:val="00A016F4"/>
    <w:rsid w:val="00A01B43"/>
    <w:rsid w:val="00A022F0"/>
    <w:rsid w:val="00A02CAD"/>
    <w:rsid w:val="00A02D6A"/>
    <w:rsid w:val="00A0388F"/>
    <w:rsid w:val="00A03DAB"/>
    <w:rsid w:val="00A0408F"/>
    <w:rsid w:val="00A042B1"/>
    <w:rsid w:val="00A048A2"/>
    <w:rsid w:val="00A04CFE"/>
    <w:rsid w:val="00A04D1B"/>
    <w:rsid w:val="00A04DB4"/>
    <w:rsid w:val="00A05032"/>
    <w:rsid w:val="00A05768"/>
    <w:rsid w:val="00A05D9C"/>
    <w:rsid w:val="00A06082"/>
    <w:rsid w:val="00A06583"/>
    <w:rsid w:val="00A067CF"/>
    <w:rsid w:val="00A06987"/>
    <w:rsid w:val="00A07271"/>
    <w:rsid w:val="00A073BA"/>
    <w:rsid w:val="00A073EF"/>
    <w:rsid w:val="00A07574"/>
    <w:rsid w:val="00A07716"/>
    <w:rsid w:val="00A07BCE"/>
    <w:rsid w:val="00A07E8B"/>
    <w:rsid w:val="00A1023F"/>
    <w:rsid w:val="00A10A1D"/>
    <w:rsid w:val="00A10A7F"/>
    <w:rsid w:val="00A1112B"/>
    <w:rsid w:val="00A11244"/>
    <w:rsid w:val="00A1147A"/>
    <w:rsid w:val="00A1147F"/>
    <w:rsid w:val="00A115E3"/>
    <w:rsid w:val="00A11CEF"/>
    <w:rsid w:val="00A11F4C"/>
    <w:rsid w:val="00A11FFC"/>
    <w:rsid w:val="00A12AE5"/>
    <w:rsid w:val="00A12F18"/>
    <w:rsid w:val="00A13305"/>
    <w:rsid w:val="00A133EF"/>
    <w:rsid w:val="00A135D0"/>
    <w:rsid w:val="00A13996"/>
    <w:rsid w:val="00A13F15"/>
    <w:rsid w:val="00A146A0"/>
    <w:rsid w:val="00A14783"/>
    <w:rsid w:val="00A147A4"/>
    <w:rsid w:val="00A147FE"/>
    <w:rsid w:val="00A14AE2"/>
    <w:rsid w:val="00A156F8"/>
    <w:rsid w:val="00A159F9"/>
    <w:rsid w:val="00A15B98"/>
    <w:rsid w:val="00A167F2"/>
    <w:rsid w:val="00A16B28"/>
    <w:rsid w:val="00A16E67"/>
    <w:rsid w:val="00A1752E"/>
    <w:rsid w:val="00A17573"/>
    <w:rsid w:val="00A17C1A"/>
    <w:rsid w:val="00A17C52"/>
    <w:rsid w:val="00A17C62"/>
    <w:rsid w:val="00A200BB"/>
    <w:rsid w:val="00A20587"/>
    <w:rsid w:val="00A2061E"/>
    <w:rsid w:val="00A208E2"/>
    <w:rsid w:val="00A20BA3"/>
    <w:rsid w:val="00A20C56"/>
    <w:rsid w:val="00A20F90"/>
    <w:rsid w:val="00A217DB"/>
    <w:rsid w:val="00A21C47"/>
    <w:rsid w:val="00A21D5D"/>
    <w:rsid w:val="00A21F39"/>
    <w:rsid w:val="00A21FA2"/>
    <w:rsid w:val="00A22382"/>
    <w:rsid w:val="00A22B2E"/>
    <w:rsid w:val="00A22E3D"/>
    <w:rsid w:val="00A23B4D"/>
    <w:rsid w:val="00A23E05"/>
    <w:rsid w:val="00A23EA2"/>
    <w:rsid w:val="00A23F7F"/>
    <w:rsid w:val="00A24263"/>
    <w:rsid w:val="00A248A1"/>
    <w:rsid w:val="00A24A62"/>
    <w:rsid w:val="00A24E21"/>
    <w:rsid w:val="00A24F7D"/>
    <w:rsid w:val="00A25415"/>
    <w:rsid w:val="00A258C7"/>
    <w:rsid w:val="00A2598C"/>
    <w:rsid w:val="00A25B32"/>
    <w:rsid w:val="00A26D31"/>
    <w:rsid w:val="00A270D9"/>
    <w:rsid w:val="00A27873"/>
    <w:rsid w:val="00A27ACC"/>
    <w:rsid w:val="00A27C15"/>
    <w:rsid w:val="00A27F2E"/>
    <w:rsid w:val="00A30217"/>
    <w:rsid w:val="00A30747"/>
    <w:rsid w:val="00A30F72"/>
    <w:rsid w:val="00A31112"/>
    <w:rsid w:val="00A311E0"/>
    <w:rsid w:val="00A314D4"/>
    <w:rsid w:val="00A3167C"/>
    <w:rsid w:val="00A31B0E"/>
    <w:rsid w:val="00A32053"/>
    <w:rsid w:val="00A3281F"/>
    <w:rsid w:val="00A32845"/>
    <w:rsid w:val="00A32B79"/>
    <w:rsid w:val="00A32DC3"/>
    <w:rsid w:val="00A33979"/>
    <w:rsid w:val="00A33A43"/>
    <w:rsid w:val="00A33C0A"/>
    <w:rsid w:val="00A33D47"/>
    <w:rsid w:val="00A33E9F"/>
    <w:rsid w:val="00A344B1"/>
    <w:rsid w:val="00A354FB"/>
    <w:rsid w:val="00A359C1"/>
    <w:rsid w:val="00A35D0F"/>
    <w:rsid w:val="00A35F83"/>
    <w:rsid w:val="00A360E6"/>
    <w:rsid w:val="00A36307"/>
    <w:rsid w:val="00A36508"/>
    <w:rsid w:val="00A36651"/>
    <w:rsid w:val="00A367A7"/>
    <w:rsid w:val="00A368B0"/>
    <w:rsid w:val="00A37A34"/>
    <w:rsid w:val="00A40127"/>
    <w:rsid w:val="00A40210"/>
    <w:rsid w:val="00A40268"/>
    <w:rsid w:val="00A4030D"/>
    <w:rsid w:val="00A404AB"/>
    <w:rsid w:val="00A40C91"/>
    <w:rsid w:val="00A41232"/>
    <w:rsid w:val="00A41584"/>
    <w:rsid w:val="00A42225"/>
    <w:rsid w:val="00A4224C"/>
    <w:rsid w:val="00A42568"/>
    <w:rsid w:val="00A425EF"/>
    <w:rsid w:val="00A4269B"/>
    <w:rsid w:val="00A42CB3"/>
    <w:rsid w:val="00A43387"/>
    <w:rsid w:val="00A433EF"/>
    <w:rsid w:val="00A43FED"/>
    <w:rsid w:val="00A4400E"/>
    <w:rsid w:val="00A4429D"/>
    <w:rsid w:val="00A44522"/>
    <w:rsid w:val="00A44605"/>
    <w:rsid w:val="00A44871"/>
    <w:rsid w:val="00A44881"/>
    <w:rsid w:val="00A4515C"/>
    <w:rsid w:val="00A45435"/>
    <w:rsid w:val="00A455AB"/>
    <w:rsid w:val="00A45BBA"/>
    <w:rsid w:val="00A45BFF"/>
    <w:rsid w:val="00A460F5"/>
    <w:rsid w:val="00A4626C"/>
    <w:rsid w:val="00A46304"/>
    <w:rsid w:val="00A463B9"/>
    <w:rsid w:val="00A464BC"/>
    <w:rsid w:val="00A46867"/>
    <w:rsid w:val="00A46AFA"/>
    <w:rsid w:val="00A46B2A"/>
    <w:rsid w:val="00A46B7F"/>
    <w:rsid w:val="00A46CD6"/>
    <w:rsid w:val="00A46D88"/>
    <w:rsid w:val="00A46ED2"/>
    <w:rsid w:val="00A475A9"/>
    <w:rsid w:val="00A47677"/>
    <w:rsid w:val="00A47A18"/>
    <w:rsid w:val="00A47D12"/>
    <w:rsid w:val="00A501C1"/>
    <w:rsid w:val="00A502FE"/>
    <w:rsid w:val="00A503A5"/>
    <w:rsid w:val="00A506BE"/>
    <w:rsid w:val="00A5094D"/>
    <w:rsid w:val="00A50CE8"/>
    <w:rsid w:val="00A50DF1"/>
    <w:rsid w:val="00A5133A"/>
    <w:rsid w:val="00A52153"/>
    <w:rsid w:val="00A52B62"/>
    <w:rsid w:val="00A52FC3"/>
    <w:rsid w:val="00A53019"/>
    <w:rsid w:val="00A530C6"/>
    <w:rsid w:val="00A53474"/>
    <w:rsid w:val="00A5350C"/>
    <w:rsid w:val="00A53693"/>
    <w:rsid w:val="00A536A1"/>
    <w:rsid w:val="00A53931"/>
    <w:rsid w:val="00A53DDE"/>
    <w:rsid w:val="00A5401B"/>
    <w:rsid w:val="00A540BF"/>
    <w:rsid w:val="00A54712"/>
    <w:rsid w:val="00A549A7"/>
    <w:rsid w:val="00A54A09"/>
    <w:rsid w:val="00A54FE8"/>
    <w:rsid w:val="00A551F5"/>
    <w:rsid w:val="00A55472"/>
    <w:rsid w:val="00A55860"/>
    <w:rsid w:val="00A55B0A"/>
    <w:rsid w:val="00A55FD4"/>
    <w:rsid w:val="00A5687F"/>
    <w:rsid w:val="00A56886"/>
    <w:rsid w:val="00A568D5"/>
    <w:rsid w:val="00A56A51"/>
    <w:rsid w:val="00A572F2"/>
    <w:rsid w:val="00A5733D"/>
    <w:rsid w:val="00A57647"/>
    <w:rsid w:val="00A578E6"/>
    <w:rsid w:val="00A57BB5"/>
    <w:rsid w:val="00A57D04"/>
    <w:rsid w:val="00A57D1D"/>
    <w:rsid w:val="00A57DB7"/>
    <w:rsid w:val="00A6000F"/>
    <w:rsid w:val="00A6097D"/>
    <w:rsid w:val="00A60A00"/>
    <w:rsid w:val="00A61405"/>
    <w:rsid w:val="00A6142A"/>
    <w:rsid w:val="00A61669"/>
    <w:rsid w:val="00A617C4"/>
    <w:rsid w:val="00A61DFC"/>
    <w:rsid w:val="00A61F58"/>
    <w:rsid w:val="00A62016"/>
    <w:rsid w:val="00A623D4"/>
    <w:rsid w:val="00A626DD"/>
    <w:rsid w:val="00A62704"/>
    <w:rsid w:val="00A6288C"/>
    <w:rsid w:val="00A62F00"/>
    <w:rsid w:val="00A63864"/>
    <w:rsid w:val="00A64673"/>
    <w:rsid w:val="00A646FF"/>
    <w:rsid w:val="00A64783"/>
    <w:rsid w:val="00A647EF"/>
    <w:rsid w:val="00A64DC7"/>
    <w:rsid w:val="00A64FAD"/>
    <w:rsid w:val="00A64FC6"/>
    <w:rsid w:val="00A652F1"/>
    <w:rsid w:val="00A6543F"/>
    <w:rsid w:val="00A655FF"/>
    <w:rsid w:val="00A6580C"/>
    <w:rsid w:val="00A65BA7"/>
    <w:rsid w:val="00A67288"/>
    <w:rsid w:val="00A674CE"/>
    <w:rsid w:val="00A67586"/>
    <w:rsid w:val="00A6775D"/>
    <w:rsid w:val="00A678EB"/>
    <w:rsid w:val="00A701E8"/>
    <w:rsid w:val="00A704AC"/>
    <w:rsid w:val="00A7056E"/>
    <w:rsid w:val="00A705B7"/>
    <w:rsid w:val="00A7064C"/>
    <w:rsid w:val="00A708AB"/>
    <w:rsid w:val="00A7093F"/>
    <w:rsid w:val="00A70CA0"/>
    <w:rsid w:val="00A70D00"/>
    <w:rsid w:val="00A710B1"/>
    <w:rsid w:val="00A711B8"/>
    <w:rsid w:val="00A713AD"/>
    <w:rsid w:val="00A714DA"/>
    <w:rsid w:val="00A719DD"/>
    <w:rsid w:val="00A71F07"/>
    <w:rsid w:val="00A722DD"/>
    <w:rsid w:val="00A723D5"/>
    <w:rsid w:val="00A72579"/>
    <w:rsid w:val="00A7279D"/>
    <w:rsid w:val="00A72BC4"/>
    <w:rsid w:val="00A72DB6"/>
    <w:rsid w:val="00A72FE3"/>
    <w:rsid w:val="00A73803"/>
    <w:rsid w:val="00A73868"/>
    <w:rsid w:val="00A73E17"/>
    <w:rsid w:val="00A73E2C"/>
    <w:rsid w:val="00A742C1"/>
    <w:rsid w:val="00A74399"/>
    <w:rsid w:val="00A74CCD"/>
    <w:rsid w:val="00A74F32"/>
    <w:rsid w:val="00A75235"/>
    <w:rsid w:val="00A75953"/>
    <w:rsid w:val="00A75B5F"/>
    <w:rsid w:val="00A76BAE"/>
    <w:rsid w:val="00A76D26"/>
    <w:rsid w:val="00A76F51"/>
    <w:rsid w:val="00A77367"/>
    <w:rsid w:val="00A7744F"/>
    <w:rsid w:val="00A775D2"/>
    <w:rsid w:val="00A778F6"/>
    <w:rsid w:val="00A77F88"/>
    <w:rsid w:val="00A80329"/>
    <w:rsid w:val="00A80915"/>
    <w:rsid w:val="00A809E4"/>
    <w:rsid w:val="00A80FB1"/>
    <w:rsid w:val="00A81689"/>
    <w:rsid w:val="00A817A0"/>
    <w:rsid w:val="00A81ACB"/>
    <w:rsid w:val="00A81DD6"/>
    <w:rsid w:val="00A8227C"/>
    <w:rsid w:val="00A82B90"/>
    <w:rsid w:val="00A82CF7"/>
    <w:rsid w:val="00A82F31"/>
    <w:rsid w:val="00A83C19"/>
    <w:rsid w:val="00A83CBF"/>
    <w:rsid w:val="00A83EBC"/>
    <w:rsid w:val="00A84196"/>
    <w:rsid w:val="00A84591"/>
    <w:rsid w:val="00A8491E"/>
    <w:rsid w:val="00A85077"/>
    <w:rsid w:val="00A8533C"/>
    <w:rsid w:val="00A85831"/>
    <w:rsid w:val="00A85A5F"/>
    <w:rsid w:val="00A86171"/>
    <w:rsid w:val="00A86486"/>
    <w:rsid w:val="00A86AAB"/>
    <w:rsid w:val="00A86D70"/>
    <w:rsid w:val="00A870E3"/>
    <w:rsid w:val="00A870EE"/>
    <w:rsid w:val="00A87D7F"/>
    <w:rsid w:val="00A9024C"/>
    <w:rsid w:val="00A9064F"/>
    <w:rsid w:val="00A90A03"/>
    <w:rsid w:val="00A90AEF"/>
    <w:rsid w:val="00A90C6C"/>
    <w:rsid w:val="00A90D09"/>
    <w:rsid w:val="00A90EA0"/>
    <w:rsid w:val="00A910FB"/>
    <w:rsid w:val="00A915BD"/>
    <w:rsid w:val="00A91748"/>
    <w:rsid w:val="00A91F39"/>
    <w:rsid w:val="00A92FD9"/>
    <w:rsid w:val="00A93A46"/>
    <w:rsid w:val="00A940D0"/>
    <w:rsid w:val="00A946E3"/>
    <w:rsid w:val="00A94709"/>
    <w:rsid w:val="00A94713"/>
    <w:rsid w:val="00A947D5"/>
    <w:rsid w:val="00A94DD6"/>
    <w:rsid w:val="00A94E5C"/>
    <w:rsid w:val="00A95055"/>
    <w:rsid w:val="00A95BE0"/>
    <w:rsid w:val="00A95C49"/>
    <w:rsid w:val="00A95E2F"/>
    <w:rsid w:val="00A95FAF"/>
    <w:rsid w:val="00A96205"/>
    <w:rsid w:val="00A964D5"/>
    <w:rsid w:val="00A96621"/>
    <w:rsid w:val="00A9697E"/>
    <w:rsid w:val="00A97031"/>
    <w:rsid w:val="00A97882"/>
    <w:rsid w:val="00A97A81"/>
    <w:rsid w:val="00A97D71"/>
    <w:rsid w:val="00A97DBA"/>
    <w:rsid w:val="00AA0197"/>
    <w:rsid w:val="00AA02E2"/>
    <w:rsid w:val="00AA0751"/>
    <w:rsid w:val="00AA0758"/>
    <w:rsid w:val="00AA08D8"/>
    <w:rsid w:val="00AA0D52"/>
    <w:rsid w:val="00AA0EEB"/>
    <w:rsid w:val="00AA13DA"/>
    <w:rsid w:val="00AA162B"/>
    <w:rsid w:val="00AA176F"/>
    <w:rsid w:val="00AA1AE1"/>
    <w:rsid w:val="00AA2323"/>
    <w:rsid w:val="00AA2548"/>
    <w:rsid w:val="00AA26AA"/>
    <w:rsid w:val="00AA2CBF"/>
    <w:rsid w:val="00AA3210"/>
    <w:rsid w:val="00AA32F3"/>
    <w:rsid w:val="00AA3524"/>
    <w:rsid w:val="00AA36D3"/>
    <w:rsid w:val="00AA3846"/>
    <w:rsid w:val="00AA3876"/>
    <w:rsid w:val="00AA3AE7"/>
    <w:rsid w:val="00AA3F8B"/>
    <w:rsid w:val="00AA4954"/>
    <w:rsid w:val="00AA499D"/>
    <w:rsid w:val="00AA50A2"/>
    <w:rsid w:val="00AA559F"/>
    <w:rsid w:val="00AA5AE4"/>
    <w:rsid w:val="00AA5D13"/>
    <w:rsid w:val="00AA5E42"/>
    <w:rsid w:val="00AA623A"/>
    <w:rsid w:val="00AA6B30"/>
    <w:rsid w:val="00AA6CB0"/>
    <w:rsid w:val="00AA6CC9"/>
    <w:rsid w:val="00AA6FD2"/>
    <w:rsid w:val="00AA7106"/>
    <w:rsid w:val="00AA7338"/>
    <w:rsid w:val="00AA735C"/>
    <w:rsid w:val="00AA75ED"/>
    <w:rsid w:val="00AA78FF"/>
    <w:rsid w:val="00AB0AC9"/>
    <w:rsid w:val="00AB0CCE"/>
    <w:rsid w:val="00AB0EFC"/>
    <w:rsid w:val="00AB12E3"/>
    <w:rsid w:val="00AB158A"/>
    <w:rsid w:val="00AB1A79"/>
    <w:rsid w:val="00AB1AB2"/>
    <w:rsid w:val="00AB22ED"/>
    <w:rsid w:val="00AB2651"/>
    <w:rsid w:val="00AB273F"/>
    <w:rsid w:val="00AB2BA3"/>
    <w:rsid w:val="00AB3EAD"/>
    <w:rsid w:val="00AB426D"/>
    <w:rsid w:val="00AB4404"/>
    <w:rsid w:val="00AB4A87"/>
    <w:rsid w:val="00AB4D14"/>
    <w:rsid w:val="00AB4DD4"/>
    <w:rsid w:val="00AB549A"/>
    <w:rsid w:val="00AB54B6"/>
    <w:rsid w:val="00AB698E"/>
    <w:rsid w:val="00AB7C33"/>
    <w:rsid w:val="00AC018F"/>
    <w:rsid w:val="00AC164F"/>
    <w:rsid w:val="00AC1691"/>
    <w:rsid w:val="00AC1C9D"/>
    <w:rsid w:val="00AC2522"/>
    <w:rsid w:val="00AC2713"/>
    <w:rsid w:val="00AC284C"/>
    <w:rsid w:val="00AC3647"/>
    <w:rsid w:val="00AC3704"/>
    <w:rsid w:val="00AC4028"/>
    <w:rsid w:val="00AC4212"/>
    <w:rsid w:val="00AC46E8"/>
    <w:rsid w:val="00AC46FA"/>
    <w:rsid w:val="00AC492C"/>
    <w:rsid w:val="00AC4BD6"/>
    <w:rsid w:val="00AC501E"/>
    <w:rsid w:val="00AC59E6"/>
    <w:rsid w:val="00AC5BE4"/>
    <w:rsid w:val="00AC6A7E"/>
    <w:rsid w:val="00AC6D2A"/>
    <w:rsid w:val="00AC734E"/>
    <w:rsid w:val="00AC7B86"/>
    <w:rsid w:val="00AD010F"/>
    <w:rsid w:val="00AD0383"/>
    <w:rsid w:val="00AD0792"/>
    <w:rsid w:val="00AD0AA7"/>
    <w:rsid w:val="00AD0B0D"/>
    <w:rsid w:val="00AD0DAF"/>
    <w:rsid w:val="00AD109B"/>
    <w:rsid w:val="00AD15BA"/>
    <w:rsid w:val="00AD1C28"/>
    <w:rsid w:val="00AD22AB"/>
    <w:rsid w:val="00AD247A"/>
    <w:rsid w:val="00AD248A"/>
    <w:rsid w:val="00AD250B"/>
    <w:rsid w:val="00AD25C2"/>
    <w:rsid w:val="00AD25DA"/>
    <w:rsid w:val="00AD2747"/>
    <w:rsid w:val="00AD278B"/>
    <w:rsid w:val="00AD2864"/>
    <w:rsid w:val="00AD2F66"/>
    <w:rsid w:val="00AD3419"/>
    <w:rsid w:val="00AD3475"/>
    <w:rsid w:val="00AD34C7"/>
    <w:rsid w:val="00AD3A58"/>
    <w:rsid w:val="00AD3E28"/>
    <w:rsid w:val="00AD42FB"/>
    <w:rsid w:val="00AD4AF5"/>
    <w:rsid w:val="00AD4ED2"/>
    <w:rsid w:val="00AD5182"/>
    <w:rsid w:val="00AD539B"/>
    <w:rsid w:val="00AD5CA3"/>
    <w:rsid w:val="00AD5FD7"/>
    <w:rsid w:val="00AD6327"/>
    <w:rsid w:val="00AD6B9A"/>
    <w:rsid w:val="00AD7596"/>
    <w:rsid w:val="00AD76B3"/>
    <w:rsid w:val="00AD786F"/>
    <w:rsid w:val="00AE08C1"/>
    <w:rsid w:val="00AE0AA3"/>
    <w:rsid w:val="00AE0D5D"/>
    <w:rsid w:val="00AE1501"/>
    <w:rsid w:val="00AE16F3"/>
    <w:rsid w:val="00AE1798"/>
    <w:rsid w:val="00AE1FCE"/>
    <w:rsid w:val="00AE1FD6"/>
    <w:rsid w:val="00AE2DE1"/>
    <w:rsid w:val="00AE2E47"/>
    <w:rsid w:val="00AE2F49"/>
    <w:rsid w:val="00AE3013"/>
    <w:rsid w:val="00AE3266"/>
    <w:rsid w:val="00AE382E"/>
    <w:rsid w:val="00AE3945"/>
    <w:rsid w:val="00AE4270"/>
    <w:rsid w:val="00AE4C05"/>
    <w:rsid w:val="00AE4D74"/>
    <w:rsid w:val="00AE51D2"/>
    <w:rsid w:val="00AE5311"/>
    <w:rsid w:val="00AE54F5"/>
    <w:rsid w:val="00AE5927"/>
    <w:rsid w:val="00AE595E"/>
    <w:rsid w:val="00AE5E5C"/>
    <w:rsid w:val="00AE6AF9"/>
    <w:rsid w:val="00AE6E67"/>
    <w:rsid w:val="00AE7133"/>
    <w:rsid w:val="00AE7B39"/>
    <w:rsid w:val="00AE7BA6"/>
    <w:rsid w:val="00AE7F8D"/>
    <w:rsid w:val="00AF004D"/>
    <w:rsid w:val="00AF00A6"/>
    <w:rsid w:val="00AF036C"/>
    <w:rsid w:val="00AF0B08"/>
    <w:rsid w:val="00AF0CE1"/>
    <w:rsid w:val="00AF0D2A"/>
    <w:rsid w:val="00AF1498"/>
    <w:rsid w:val="00AF14F5"/>
    <w:rsid w:val="00AF18E8"/>
    <w:rsid w:val="00AF1BAF"/>
    <w:rsid w:val="00AF1F4D"/>
    <w:rsid w:val="00AF264D"/>
    <w:rsid w:val="00AF2E02"/>
    <w:rsid w:val="00AF2F41"/>
    <w:rsid w:val="00AF30E4"/>
    <w:rsid w:val="00AF37C2"/>
    <w:rsid w:val="00AF3A72"/>
    <w:rsid w:val="00AF3B61"/>
    <w:rsid w:val="00AF432B"/>
    <w:rsid w:val="00AF43D6"/>
    <w:rsid w:val="00AF47BE"/>
    <w:rsid w:val="00AF4B3D"/>
    <w:rsid w:val="00AF4E1A"/>
    <w:rsid w:val="00AF4EBA"/>
    <w:rsid w:val="00AF5042"/>
    <w:rsid w:val="00AF5098"/>
    <w:rsid w:val="00AF5ACA"/>
    <w:rsid w:val="00AF5C8F"/>
    <w:rsid w:val="00AF5EA9"/>
    <w:rsid w:val="00AF622A"/>
    <w:rsid w:val="00AF6308"/>
    <w:rsid w:val="00AF654A"/>
    <w:rsid w:val="00AF6AE2"/>
    <w:rsid w:val="00AF6FEC"/>
    <w:rsid w:val="00AF74C5"/>
    <w:rsid w:val="00B002F8"/>
    <w:rsid w:val="00B00AD7"/>
    <w:rsid w:val="00B00B0E"/>
    <w:rsid w:val="00B00B4D"/>
    <w:rsid w:val="00B01032"/>
    <w:rsid w:val="00B012DD"/>
    <w:rsid w:val="00B01393"/>
    <w:rsid w:val="00B013EE"/>
    <w:rsid w:val="00B019F7"/>
    <w:rsid w:val="00B02093"/>
    <w:rsid w:val="00B02125"/>
    <w:rsid w:val="00B021BC"/>
    <w:rsid w:val="00B0239A"/>
    <w:rsid w:val="00B026A1"/>
    <w:rsid w:val="00B02DEF"/>
    <w:rsid w:val="00B0387F"/>
    <w:rsid w:val="00B03B7D"/>
    <w:rsid w:val="00B04453"/>
    <w:rsid w:val="00B0463D"/>
    <w:rsid w:val="00B05B49"/>
    <w:rsid w:val="00B05BEB"/>
    <w:rsid w:val="00B05C65"/>
    <w:rsid w:val="00B06726"/>
    <w:rsid w:val="00B06AD7"/>
    <w:rsid w:val="00B0783E"/>
    <w:rsid w:val="00B10123"/>
    <w:rsid w:val="00B10237"/>
    <w:rsid w:val="00B10243"/>
    <w:rsid w:val="00B10339"/>
    <w:rsid w:val="00B1086B"/>
    <w:rsid w:val="00B10880"/>
    <w:rsid w:val="00B10B34"/>
    <w:rsid w:val="00B10F59"/>
    <w:rsid w:val="00B10FCB"/>
    <w:rsid w:val="00B11FD3"/>
    <w:rsid w:val="00B11FE9"/>
    <w:rsid w:val="00B12C21"/>
    <w:rsid w:val="00B12D04"/>
    <w:rsid w:val="00B1301D"/>
    <w:rsid w:val="00B134F3"/>
    <w:rsid w:val="00B1362C"/>
    <w:rsid w:val="00B13D8B"/>
    <w:rsid w:val="00B141E5"/>
    <w:rsid w:val="00B142A6"/>
    <w:rsid w:val="00B143D4"/>
    <w:rsid w:val="00B145C7"/>
    <w:rsid w:val="00B145E2"/>
    <w:rsid w:val="00B14AC6"/>
    <w:rsid w:val="00B14B32"/>
    <w:rsid w:val="00B14B96"/>
    <w:rsid w:val="00B14EAD"/>
    <w:rsid w:val="00B14F55"/>
    <w:rsid w:val="00B15264"/>
    <w:rsid w:val="00B15779"/>
    <w:rsid w:val="00B16130"/>
    <w:rsid w:val="00B16274"/>
    <w:rsid w:val="00B16372"/>
    <w:rsid w:val="00B166D7"/>
    <w:rsid w:val="00B1670D"/>
    <w:rsid w:val="00B16AB8"/>
    <w:rsid w:val="00B16BB0"/>
    <w:rsid w:val="00B16C5F"/>
    <w:rsid w:val="00B172D6"/>
    <w:rsid w:val="00B1742A"/>
    <w:rsid w:val="00B179C9"/>
    <w:rsid w:val="00B2003F"/>
    <w:rsid w:val="00B20C17"/>
    <w:rsid w:val="00B20EE1"/>
    <w:rsid w:val="00B213EB"/>
    <w:rsid w:val="00B217BD"/>
    <w:rsid w:val="00B21B1C"/>
    <w:rsid w:val="00B21ECB"/>
    <w:rsid w:val="00B21FC1"/>
    <w:rsid w:val="00B220D7"/>
    <w:rsid w:val="00B22349"/>
    <w:rsid w:val="00B224E4"/>
    <w:rsid w:val="00B22C67"/>
    <w:rsid w:val="00B22C6C"/>
    <w:rsid w:val="00B22DDC"/>
    <w:rsid w:val="00B22E0B"/>
    <w:rsid w:val="00B230BF"/>
    <w:rsid w:val="00B23191"/>
    <w:rsid w:val="00B2347B"/>
    <w:rsid w:val="00B23749"/>
    <w:rsid w:val="00B23864"/>
    <w:rsid w:val="00B23A1E"/>
    <w:rsid w:val="00B23D4A"/>
    <w:rsid w:val="00B25111"/>
    <w:rsid w:val="00B2552A"/>
    <w:rsid w:val="00B255D2"/>
    <w:rsid w:val="00B258FC"/>
    <w:rsid w:val="00B25AB0"/>
    <w:rsid w:val="00B2644F"/>
    <w:rsid w:val="00B269A9"/>
    <w:rsid w:val="00B26BB9"/>
    <w:rsid w:val="00B26DC3"/>
    <w:rsid w:val="00B272E9"/>
    <w:rsid w:val="00B27686"/>
    <w:rsid w:val="00B30065"/>
    <w:rsid w:val="00B303C7"/>
    <w:rsid w:val="00B30A43"/>
    <w:rsid w:val="00B30AA6"/>
    <w:rsid w:val="00B30CF1"/>
    <w:rsid w:val="00B30D29"/>
    <w:rsid w:val="00B30DDB"/>
    <w:rsid w:val="00B30FCE"/>
    <w:rsid w:val="00B3105E"/>
    <w:rsid w:val="00B311E8"/>
    <w:rsid w:val="00B312B5"/>
    <w:rsid w:val="00B31859"/>
    <w:rsid w:val="00B31ED2"/>
    <w:rsid w:val="00B32015"/>
    <w:rsid w:val="00B3221D"/>
    <w:rsid w:val="00B327C1"/>
    <w:rsid w:val="00B32837"/>
    <w:rsid w:val="00B32C2A"/>
    <w:rsid w:val="00B3303D"/>
    <w:rsid w:val="00B3416B"/>
    <w:rsid w:val="00B35314"/>
    <w:rsid w:val="00B355AA"/>
    <w:rsid w:val="00B35858"/>
    <w:rsid w:val="00B3593F"/>
    <w:rsid w:val="00B35E70"/>
    <w:rsid w:val="00B36125"/>
    <w:rsid w:val="00B37557"/>
    <w:rsid w:val="00B40195"/>
    <w:rsid w:val="00B4024B"/>
    <w:rsid w:val="00B4024D"/>
    <w:rsid w:val="00B4051A"/>
    <w:rsid w:val="00B408A2"/>
    <w:rsid w:val="00B414DD"/>
    <w:rsid w:val="00B4172D"/>
    <w:rsid w:val="00B417B2"/>
    <w:rsid w:val="00B418D1"/>
    <w:rsid w:val="00B41C70"/>
    <w:rsid w:val="00B41D00"/>
    <w:rsid w:val="00B41F05"/>
    <w:rsid w:val="00B4202A"/>
    <w:rsid w:val="00B42764"/>
    <w:rsid w:val="00B42798"/>
    <w:rsid w:val="00B427EF"/>
    <w:rsid w:val="00B4299B"/>
    <w:rsid w:val="00B42BC5"/>
    <w:rsid w:val="00B43857"/>
    <w:rsid w:val="00B439ED"/>
    <w:rsid w:val="00B43AF8"/>
    <w:rsid w:val="00B44175"/>
    <w:rsid w:val="00B446ED"/>
    <w:rsid w:val="00B4594A"/>
    <w:rsid w:val="00B45982"/>
    <w:rsid w:val="00B45ACF"/>
    <w:rsid w:val="00B45DB0"/>
    <w:rsid w:val="00B45DD0"/>
    <w:rsid w:val="00B46A90"/>
    <w:rsid w:val="00B46B2A"/>
    <w:rsid w:val="00B46C71"/>
    <w:rsid w:val="00B46E69"/>
    <w:rsid w:val="00B46F6E"/>
    <w:rsid w:val="00B47534"/>
    <w:rsid w:val="00B47616"/>
    <w:rsid w:val="00B50396"/>
    <w:rsid w:val="00B50611"/>
    <w:rsid w:val="00B50A46"/>
    <w:rsid w:val="00B511CA"/>
    <w:rsid w:val="00B51541"/>
    <w:rsid w:val="00B5194B"/>
    <w:rsid w:val="00B51974"/>
    <w:rsid w:val="00B51F00"/>
    <w:rsid w:val="00B526AE"/>
    <w:rsid w:val="00B526D7"/>
    <w:rsid w:val="00B52741"/>
    <w:rsid w:val="00B52768"/>
    <w:rsid w:val="00B5280D"/>
    <w:rsid w:val="00B528A0"/>
    <w:rsid w:val="00B52A4E"/>
    <w:rsid w:val="00B52B3F"/>
    <w:rsid w:val="00B52E42"/>
    <w:rsid w:val="00B52F97"/>
    <w:rsid w:val="00B53401"/>
    <w:rsid w:val="00B53495"/>
    <w:rsid w:val="00B534D3"/>
    <w:rsid w:val="00B53FF1"/>
    <w:rsid w:val="00B54177"/>
    <w:rsid w:val="00B5438D"/>
    <w:rsid w:val="00B5448D"/>
    <w:rsid w:val="00B54F0C"/>
    <w:rsid w:val="00B550A7"/>
    <w:rsid w:val="00B551FC"/>
    <w:rsid w:val="00B55676"/>
    <w:rsid w:val="00B55E3E"/>
    <w:rsid w:val="00B56170"/>
    <w:rsid w:val="00B56467"/>
    <w:rsid w:val="00B564B0"/>
    <w:rsid w:val="00B56551"/>
    <w:rsid w:val="00B56E65"/>
    <w:rsid w:val="00B571D1"/>
    <w:rsid w:val="00B57619"/>
    <w:rsid w:val="00B57974"/>
    <w:rsid w:val="00B57A5F"/>
    <w:rsid w:val="00B60075"/>
    <w:rsid w:val="00B60529"/>
    <w:rsid w:val="00B60675"/>
    <w:rsid w:val="00B60A01"/>
    <w:rsid w:val="00B60D6C"/>
    <w:rsid w:val="00B61254"/>
    <w:rsid w:val="00B6172D"/>
    <w:rsid w:val="00B61817"/>
    <w:rsid w:val="00B61C05"/>
    <w:rsid w:val="00B61F44"/>
    <w:rsid w:val="00B62084"/>
    <w:rsid w:val="00B6237E"/>
    <w:rsid w:val="00B6248A"/>
    <w:rsid w:val="00B62617"/>
    <w:rsid w:val="00B62682"/>
    <w:rsid w:val="00B62875"/>
    <w:rsid w:val="00B6358F"/>
    <w:rsid w:val="00B6375A"/>
    <w:rsid w:val="00B63CD5"/>
    <w:rsid w:val="00B6426E"/>
    <w:rsid w:val="00B64710"/>
    <w:rsid w:val="00B647AC"/>
    <w:rsid w:val="00B64BB3"/>
    <w:rsid w:val="00B64ED5"/>
    <w:rsid w:val="00B64EF7"/>
    <w:rsid w:val="00B6500A"/>
    <w:rsid w:val="00B6590B"/>
    <w:rsid w:val="00B65D90"/>
    <w:rsid w:val="00B6629B"/>
    <w:rsid w:val="00B667C9"/>
    <w:rsid w:val="00B673A5"/>
    <w:rsid w:val="00B679A2"/>
    <w:rsid w:val="00B679E5"/>
    <w:rsid w:val="00B70F20"/>
    <w:rsid w:val="00B71029"/>
    <w:rsid w:val="00B71177"/>
    <w:rsid w:val="00B71190"/>
    <w:rsid w:val="00B716AA"/>
    <w:rsid w:val="00B71B6D"/>
    <w:rsid w:val="00B71BD0"/>
    <w:rsid w:val="00B72151"/>
    <w:rsid w:val="00B72452"/>
    <w:rsid w:val="00B72479"/>
    <w:rsid w:val="00B73015"/>
    <w:rsid w:val="00B731F7"/>
    <w:rsid w:val="00B73200"/>
    <w:rsid w:val="00B732AA"/>
    <w:rsid w:val="00B734BF"/>
    <w:rsid w:val="00B73725"/>
    <w:rsid w:val="00B73C72"/>
    <w:rsid w:val="00B73FDF"/>
    <w:rsid w:val="00B74004"/>
    <w:rsid w:val="00B7423F"/>
    <w:rsid w:val="00B747B6"/>
    <w:rsid w:val="00B74832"/>
    <w:rsid w:val="00B74D8B"/>
    <w:rsid w:val="00B74F20"/>
    <w:rsid w:val="00B7516A"/>
    <w:rsid w:val="00B75188"/>
    <w:rsid w:val="00B751F4"/>
    <w:rsid w:val="00B75591"/>
    <w:rsid w:val="00B75E7E"/>
    <w:rsid w:val="00B76399"/>
    <w:rsid w:val="00B7688C"/>
    <w:rsid w:val="00B76DEA"/>
    <w:rsid w:val="00B775A2"/>
    <w:rsid w:val="00B77989"/>
    <w:rsid w:val="00B8029F"/>
    <w:rsid w:val="00B803A2"/>
    <w:rsid w:val="00B804B6"/>
    <w:rsid w:val="00B80A7A"/>
    <w:rsid w:val="00B80FAF"/>
    <w:rsid w:val="00B8144D"/>
    <w:rsid w:val="00B81525"/>
    <w:rsid w:val="00B81845"/>
    <w:rsid w:val="00B818AB"/>
    <w:rsid w:val="00B81A47"/>
    <w:rsid w:val="00B81ED5"/>
    <w:rsid w:val="00B82BF3"/>
    <w:rsid w:val="00B83115"/>
    <w:rsid w:val="00B834F5"/>
    <w:rsid w:val="00B835D9"/>
    <w:rsid w:val="00B83BF9"/>
    <w:rsid w:val="00B83FE6"/>
    <w:rsid w:val="00B8487D"/>
    <w:rsid w:val="00B84B68"/>
    <w:rsid w:val="00B8596A"/>
    <w:rsid w:val="00B86133"/>
    <w:rsid w:val="00B861D5"/>
    <w:rsid w:val="00B8665B"/>
    <w:rsid w:val="00B8668D"/>
    <w:rsid w:val="00B8699A"/>
    <w:rsid w:val="00B86A1A"/>
    <w:rsid w:val="00B86A7E"/>
    <w:rsid w:val="00B87606"/>
    <w:rsid w:val="00B87B01"/>
    <w:rsid w:val="00B87CB6"/>
    <w:rsid w:val="00B908B9"/>
    <w:rsid w:val="00B90B3E"/>
    <w:rsid w:val="00B90FDC"/>
    <w:rsid w:val="00B9153B"/>
    <w:rsid w:val="00B91B1B"/>
    <w:rsid w:val="00B91CA3"/>
    <w:rsid w:val="00B91FBF"/>
    <w:rsid w:val="00B922F7"/>
    <w:rsid w:val="00B929C2"/>
    <w:rsid w:val="00B92D5E"/>
    <w:rsid w:val="00B93613"/>
    <w:rsid w:val="00B93C67"/>
    <w:rsid w:val="00B93C85"/>
    <w:rsid w:val="00B93FFB"/>
    <w:rsid w:val="00B94A6A"/>
    <w:rsid w:val="00B94B66"/>
    <w:rsid w:val="00B94D3B"/>
    <w:rsid w:val="00B95309"/>
    <w:rsid w:val="00B95975"/>
    <w:rsid w:val="00B95A73"/>
    <w:rsid w:val="00B968E9"/>
    <w:rsid w:val="00B96C7B"/>
    <w:rsid w:val="00B96D0E"/>
    <w:rsid w:val="00B9779E"/>
    <w:rsid w:val="00B978DD"/>
    <w:rsid w:val="00B97CC7"/>
    <w:rsid w:val="00BA060D"/>
    <w:rsid w:val="00BA0E69"/>
    <w:rsid w:val="00BA0F80"/>
    <w:rsid w:val="00BA1670"/>
    <w:rsid w:val="00BA22E9"/>
    <w:rsid w:val="00BA267F"/>
    <w:rsid w:val="00BA2852"/>
    <w:rsid w:val="00BA358C"/>
    <w:rsid w:val="00BA38A2"/>
    <w:rsid w:val="00BA3DC3"/>
    <w:rsid w:val="00BA3F53"/>
    <w:rsid w:val="00BA451F"/>
    <w:rsid w:val="00BA5AE7"/>
    <w:rsid w:val="00BA6512"/>
    <w:rsid w:val="00BA65EF"/>
    <w:rsid w:val="00BA67E5"/>
    <w:rsid w:val="00BA6991"/>
    <w:rsid w:val="00BA6F8C"/>
    <w:rsid w:val="00BA7750"/>
    <w:rsid w:val="00BB0056"/>
    <w:rsid w:val="00BB0992"/>
    <w:rsid w:val="00BB0DD0"/>
    <w:rsid w:val="00BB0F44"/>
    <w:rsid w:val="00BB162C"/>
    <w:rsid w:val="00BB262E"/>
    <w:rsid w:val="00BB28D1"/>
    <w:rsid w:val="00BB31C2"/>
    <w:rsid w:val="00BB37F4"/>
    <w:rsid w:val="00BB39EE"/>
    <w:rsid w:val="00BB3CB1"/>
    <w:rsid w:val="00BB4067"/>
    <w:rsid w:val="00BB4550"/>
    <w:rsid w:val="00BB4879"/>
    <w:rsid w:val="00BB48D4"/>
    <w:rsid w:val="00BB49FB"/>
    <w:rsid w:val="00BB4A8F"/>
    <w:rsid w:val="00BB4E19"/>
    <w:rsid w:val="00BB4ED3"/>
    <w:rsid w:val="00BB5007"/>
    <w:rsid w:val="00BB505A"/>
    <w:rsid w:val="00BB5341"/>
    <w:rsid w:val="00BB5A41"/>
    <w:rsid w:val="00BB5A8C"/>
    <w:rsid w:val="00BB5E24"/>
    <w:rsid w:val="00BB5FAC"/>
    <w:rsid w:val="00BB6369"/>
    <w:rsid w:val="00BB6560"/>
    <w:rsid w:val="00BB66FD"/>
    <w:rsid w:val="00BB68A5"/>
    <w:rsid w:val="00BB6935"/>
    <w:rsid w:val="00BB69AF"/>
    <w:rsid w:val="00BB724F"/>
    <w:rsid w:val="00BB742A"/>
    <w:rsid w:val="00BB7844"/>
    <w:rsid w:val="00BB7E3E"/>
    <w:rsid w:val="00BB7F18"/>
    <w:rsid w:val="00BC0220"/>
    <w:rsid w:val="00BC0788"/>
    <w:rsid w:val="00BC0A49"/>
    <w:rsid w:val="00BC0D7D"/>
    <w:rsid w:val="00BC1643"/>
    <w:rsid w:val="00BC2164"/>
    <w:rsid w:val="00BC2641"/>
    <w:rsid w:val="00BC2686"/>
    <w:rsid w:val="00BC2B65"/>
    <w:rsid w:val="00BC32CC"/>
    <w:rsid w:val="00BC3417"/>
    <w:rsid w:val="00BC3F94"/>
    <w:rsid w:val="00BC44B6"/>
    <w:rsid w:val="00BC4944"/>
    <w:rsid w:val="00BC54F3"/>
    <w:rsid w:val="00BC574F"/>
    <w:rsid w:val="00BC5A20"/>
    <w:rsid w:val="00BC5FD3"/>
    <w:rsid w:val="00BC6486"/>
    <w:rsid w:val="00BC649E"/>
    <w:rsid w:val="00BC665A"/>
    <w:rsid w:val="00BC6AED"/>
    <w:rsid w:val="00BC6B87"/>
    <w:rsid w:val="00BC6D26"/>
    <w:rsid w:val="00BC7036"/>
    <w:rsid w:val="00BC737C"/>
    <w:rsid w:val="00BC765C"/>
    <w:rsid w:val="00BC779C"/>
    <w:rsid w:val="00BC7B78"/>
    <w:rsid w:val="00BC7ED8"/>
    <w:rsid w:val="00BC7F36"/>
    <w:rsid w:val="00BD00B5"/>
    <w:rsid w:val="00BD00E2"/>
    <w:rsid w:val="00BD025A"/>
    <w:rsid w:val="00BD04C4"/>
    <w:rsid w:val="00BD0CCF"/>
    <w:rsid w:val="00BD1061"/>
    <w:rsid w:val="00BD1565"/>
    <w:rsid w:val="00BD15C1"/>
    <w:rsid w:val="00BD19D2"/>
    <w:rsid w:val="00BD1C3B"/>
    <w:rsid w:val="00BD1F6E"/>
    <w:rsid w:val="00BD1F90"/>
    <w:rsid w:val="00BD221A"/>
    <w:rsid w:val="00BD23C1"/>
    <w:rsid w:val="00BD250D"/>
    <w:rsid w:val="00BD2C77"/>
    <w:rsid w:val="00BD3306"/>
    <w:rsid w:val="00BD36F9"/>
    <w:rsid w:val="00BD3721"/>
    <w:rsid w:val="00BD3E0E"/>
    <w:rsid w:val="00BD3E47"/>
    <w:rsid w:val="00BD3F61"/>
    <w:rsid w:val="00BD464F"/>
    <w:rsid w:val="00BD47FD"/>
    <w:rsid w:val="00BD4B10"/>
    <w:rsid w:val="00BD5451"/>
    <w:rsid w:val="00BD57F0"/>
    <w:rsid w:val="00BD5EFF"/>
    <w:rsid w:val="00BD663D"/>
    <w:rsid w:val="00BD70EA"/>
    <w:rsid w:val="00BD7121"/>
    <w:rsid w:val="00BD73B6"/>
    <w:rsid w:val="00BD7495"/>
    <w:rsid w:val="00BD779B"/>
    <w:rsid w:val="00BD7F34"/>
    <w:rsid w:val="00BE041A"/>
    <w:rsid w:val="00BE05D2"/>
    <w:rsid w:val="00BE0A58"/>
    <w:rsid w:val="00BE0BD0"/>
    <w:rsid w:val="00BE0DC1"/>
    <w:rsid w:val="00BE1015"/>
    <w:rsid w:val="00BE2374"/>
    <w:rsid w:val="00BE277A"/>
    <w:rsid w:val="00BE2F26"/>
    <w:rsid w:val="00BE3443"/>
    <w:rsid w:val="00BE3A95"/>
    <w:rsid w:val="00BE3AF9"/>
    <w:rsid w:val="00BE3D16"/>
    <w:rsid w:val="00BE4B2C"/>
    <w:rsid w:val="00BE4B46"/>
    <w:rsid w:val="00BE4B68"/>
    <w:rsid w:val="00BE4D6D"/>
    <w:rsid w:val="00BE4E79"/>
    <w:rsid w:val="00BE4FAC"/>
    <w:rsid w:val="00BE50F0"/>
    <w:rsid w:val="00BE5176"/>
    <w:rsid w:val="00BE55BB"/>
    <w:rsid w:val="00BE5907"/>
    <w:rsid w:val="00BE6657"/>
    <w:rsid w:val="00BE6A3E"/>
    <w:rsid w:val="00BE6F77"/>
    <w:rsid w:val="00BE6FC4"/>
    <w:rsid w:val="00BE7361"/>
    <w:rsid w:val="00BE77E0"/>
    <w:rsid w:val="00BE7C05"/>
    <w:rsid w:val="00BE7D30"/>
    <w:rsid w:val="00BE7EB7"/>
    <w:rsid w:val="00BF003A"/>
    <w:rsid w:val="00BF004C"/>
    <w:rsid w:val="00BF019D"/>
    <w:rsid w:val="00BF029E"/>
    <w:rsid w:val="00BF02BE"/>
    <w:rsid w:val="00BF0B07"/>
    <w:rsid w:val="00BF154F"/>
    <w:rsid w:val="00BF185D"/>
    <w:rsid w:val="00BF2021"/>
    <w:rsid w:val="00BF23AE"/>
    <w:rsid w:val="00BF2CA0"/>
    <w:rsid w:val="00BF2ECB"/>
    <w:rsid w:val="00BF344C"/>
    <w:rsid w:val="00BF3543"/>
    <w:rsid w:val="00BF36A6"/>
    <w:rsid w:val="00BF3942"/>
    <w:rsid w:val="00BF3CD2"/>
    <w:rsid w:val="00BF4665"/>
    <w:rsid w:val="00BF4BC1"/>
    <w:rsid w:val="00BF4E05"/>
    <w:rsid w:val="00BF4E69"/>
    <w:rsid w:val="00BF554A"/>
    <w:rsid w:val="00BF5CC9"/>
    <w:rsid w:val="00BF5ECE"/>
    <w:rsid w:val="00BF6251"/>
    <w:rsid w:val="00BF62B5"/>
    <w:rsid w:val="00BF64DB"/>
    <w:rsid w:val="00BF6918"/>
    <w:rsid w:val="00BF6A12"/>
    <w:rsid w:val="00BF6D7F"/>
    <w:rsid w:val="00BF70F1"/>
    <w:rsid w:val="00BF78CB"/>
    <w:rsid w:val="00BF78CF"/>
    <w:rsid w:val="00BF7CC4"/>
    <w:rsid w:val="00C0023A"/>
    <w:rsid w:val="00C006C3"/>
    <w:rsid w:val="00C007CA"/>
    <w:rsid w:val="00C010EC"/>
    <w:rsid w:val="00C012B4"/>
    <w:rsid w:val="00C01406"/>
    <w:rsid w:val="00C019CB"/>
    <w:rsid w:val="00C01AE9"/>
    <w:rsid w:val="00C02202"/>
    <w:rsid w:val="00C02C75"/>
    <w:rsid w:val="00C032AF"/>
    <w:rsid w:val="00C035FE"/>
    <w:rsid w:val="00C03CDD"/>
    <w:rsid w:val="00C04410"/>
    <w:rsid w:val="00C04494"/>
    <w:rsid w:val="00C047D3"/>
    <w:rsid w:val="00C049DB"/>
    <w:rsid w:val="00C04B0F"/>
    <w:rsid w:val="00C04B7B"/>
    <w:rsid w:val="00C04C8F"/>
    <w:rsid w:val="00C04E92"/>
    <w:rsid w:val="00C04EE8"/>
    <w:rsid w:val="00C05058"/>
    <w:rsid w:val="00C05161"/>
    <w:rsid w:val="00C051D8"/>
    <w:rsid w:val="00C0584C"/>
    <w:rsid w:val="00C05862"/>
    <w:rsid w:val="00C05C4C"/>
    <w:rsid w:val="00C0658A"/>
    <w:rsid w:val="00C065BC"/>
    <w:rsid w:val="00C06788"/>
    <w:rsid w:val="00C06DCD"/>
    <w:rsid w:val="00C071D8"/>
    <w:rsid w:val="00C07707"/>
    <w:rsid w:val="00C07D79"/>
    <w:rsid w:val="00C1029D"/>
    <w:rsid w:val="00C10468"/>
    <w:rsid w:val="00C104B8"/>
    <w:rsid w:val="00C10579"/>
    <w:rsid w:val="00C10951"/>
    <w:rsid w:val="00C10B95"/>
    <w:rsid w:val="00C10CF1"/>
    <w:rsid w:val="00C11694"/>
    <w:rsid w:val="00C11B3B"/>
    <w:rsid w:val="00C11C01"/>
    <w:rsid w:val="00C1292A"/>
    <w:rsid w:val="00C12D2D"/>
    <w:rsid w:val="00C12DBE"/>
    <w:rsid w:val="00C12F89"/>
    <w:rsid w:val="00C14281"/>
    <w:rsid w:val="00C142B2"/>
    <w:rsid w:val="00C143BA"/>
    <w:rsid w:val="00C14C32"/>
    <w:rsid w:val="00C15286"/>
    <w:rsid w:val="00C15346"/>
    <w:rsid w:val="00C15675"/>
    <w:rsid w:val="00C15914"/>
    <w:rsid w:val="00C159EE"/>
    <w:rsid w:val="00C1655B"/>
    <w:rsid w:val="00C16DC3"/>
    <w:rsid w:val="00C175A2"/>
    <w:rsid w:val="00C175AB"/>
    <w:rsid w:val="00C177A1"/>
    <w:rsid w:val="00C2058E"/>
    <w:rsid w:val="00C20726"/>
    <w:rsid w:val="00C20740"/>
    <w:rsid w:val="00C21693"/>
    <w:rsid w:val="00C216CA"/>
    <w:rsid w:val="00C21891"/>
    <w:rsid w:val="00C21C13"/>
    <w:rsid w:val="00C21C56"/>
    <w:rsid w:val="00C2259D"/>
    <w:rsid w:val="00C22DBA"/>
    <w:rsid w:val="00C23146"/>
    <w:rsid w:val="00C234E8"/>
    <w:rsid w:val="00C235AD"/>
    <w:rsid w:val="00C23B1F"/>
    <w:rsid w:val="00C24061"/>
    <w:rsid w:val="00C24393"/>
    <w:rsid w:val="00C2455C"/>
    <w:rsid w:val="00C24B24"/>
    <w:rsid w:val="00C24FC1"/>
    <w:rsid w:val="00C25138"/>
    <w:rsid w:val="00C25194"/>
    <w:rsid w:val="00C25602"/>
    <w:rsid w:val="00C2581F"/>
    <w:rsid w:val="00C25E68"/>
    <w:rsid w:val="00C25F43"/>
    <w:rsid w:val="00C26038"/>
    <w:rsid w:val="00C260E8"/>
    <w:rsid w:val="00C267AD"/>
    <w:rsid w:val="00C26BED"/>
    <w:rsid w:val="00C2705E"/>
    <w:rsid w:val="00C2718B"/>
    <w:rsid w:val="00C27261"/>
    <w:rsid w:val="00C27327"/>
    <w:rsid w:val="00C2742F"/>
    <w:rsid w:val="00C27716"/>
    <w:rsid w:val="00C277FC"/>
    <w:rsid w:val="00C27B29"/>
    <w:rsid w:val="00C27C8A"/>
    <w:rsid w:val="00C301F3"/>
    <w:rsid w:val="00C306A8"/>
    <w:rsid w:val="00C30A41"/>
    <w:rsid w:val="00C30AB2"/>
    <w:rsid w:val="00C30C0B"/>
    <w:rsid w:val="00C30E46"/>
    <w:rsid w:val="00C30E53"/>
    <w:rsid w:val="00C3123E"/>
    <w:rsid w:val="00C31336"/>
    <w:rsid w:val="00C314B6"/>
    <w:rsid w:val="00C3174E"/>
    <w:rsid w:val="00C31904"/>
    <w:rsid w:val="00C321AC"/>
    <w:rsid w:val="00C324AD"/>
    <w:rsid w:val="00C32510"/>
    <w:rsid w:val="00C327AB"/>
    <w:rsid w:val="00C32890"/>
    <w:rsid w:val="00C330E2"/>
    <w:rsid w:val="00C3336F"/>
    <w:rsid w:val="00C3369F"/>
    <w:rsid w:val="00C336D8"/>
    <w:rsid w:val="00C3453E"/>
    <w:rsid w:val="00C3540A"/>
    <w:rsid w:val="00C35967"/>
    <w:rsid w:val="00C35C47"/>
    <w:rsid w:val="00C35D05"/>
    <w:rsid w:val="00C35D92"/>
    <w:rsid w:val="00C3600B"/>
    <w:rsid w:val="00C3692B"/>
    <w:rsid w:val="00C36A39"/>
    <w:rsid w:val="00C370D1"/>
    <w:rsid w:val="00C3759D"/>
    <w:rsid w:val="00C376FA"/>
    <w:rsid w:val="00C37AAE"/>
    <w:rsid w:val="00C37AF2"/>
    <w:rsid w:val="00C37D24"/>
    <w:rsid w:val="00C37DAD"/>
    <w:rsid w:val="00C37EBC"/>
    <w:rsid w:val="00C37EE2"/>
    <w:rsid w:val="00C40695"/>
    <w:rsid w:val="00C407B4"/>
    <w:rsid w:val="00C4099F"/>
    <w:rsid w:val="00C40BD4"/>
    <w:rsid w:val="00C40E64"/>
    <w:rsid w:val="00C41AA7"/>
    <w:rsid w:val="00C41B24"/>
    <w:rsid w:val="00C41CAF"/>
    <w:rsid w:val="00C4214A"/>
    <w:rsid w:val="00C426EC"/>
    <w:rsid w:val="00C4294B"/>
    <w:rsid w:val="00C43241"/>
    <w:rsid w:val="00C434A6"/>
    <w:rsid w:val="00C436CD"/>
    <w:rsid w:val="00C4372E"/>
    <w:rsid w:val="00C43847"/>
    <w:rsid w:val="00C442AA"/>
    <w:rsid w:val="00C44A34"/>
    <w:rsid w:val="00C44F11"/>
    <w:rsid w:val="00C45140"/>
    <w:rsid w:val="00C45618"/>
    <w:rsid w:val="00C45728"/>
    <w:rsid w:val="00C45963"/>
    <w:rsid w:val="00C45E77"/>
    <w:rsid w:val="00C45FF4"/>
    <w:rsid w:val="00C46024"/>
    <w:rsid w:val="00C465AA"/>
    <w:rsid w:val="00C47014"/>
    <w:rsid w:val="00C47076"/>
    <w:rsid w:val="00C5015A"/>
    <w:rsid w:val="00C50944"/>
    <w:rsid w:val="00C5097D"/>
    <w:rsid w:val="00C50A78"/>
    <w:rsid w:val="00C50B9F"/>
    <w:rsid w:val="00C5119F"/>
    <w:rsid w:val="00C512F7"/>
    <w:rsid w:val="00C5164C"/>
    <w:rsid w:val="00C5172D"/>
    <w:rsid w:val="00C523F5"/>
    <w:rsid w:val="00C5282F"/>
    <w:rsid w:val="00C52B74"/>
    <w:rsid w:val="00C52C31"/>
    <w:rsid w:val="00C52E38"/>
    <w:rsid w:val="00C5320C"/>
    <w:rsid w:val="00C533B9"/>
    <w:rsid w:val="00C534FA"/>
    <w:rsid w:val="00C5397A"/>
    <w:rsid w:val="00C53AA1"/>
    <w:rsid w:val="00C53BB4"/>
    <w:rsid w:val="00C53D25"/>
    <w:rsid w:val="00C53DCB"/>
    <w:rsid w:val="00C53FAE"/>
    <w:rsid w:val="00C54056"/>
    <w:rsid w:val="00C5438D"/>
    <w:rsid w:val="00C54B24"/>
    <w:rsid w:val="00C54DF7"/>
    <w:rsid w:val="00C55CFD"/>
    <w:rsid w:val="00C564E9"/>
    <w:rsid w:val="00C5719C"/>
    <w:rsid w:val="00C57963"/>
    <w:rsid w:val="00C60105"/>
    <w:rsid w:val="00C603FA"/>
    <w:rsid w:val="00C60716"/>
    <w:rsid w:val="00C607F0"/>
    <w:rsid w:val="00C6087C"/>
    <w:rsid w:val="00C60A7F"/>
    <w:rsid w:val="00C61098"/>
    <w:rsid w:val="00C611D0"/>
    <w:rsid w:val="00C61241"/>
    <w:rsid w:val="00C6197B"/>
    <w:rsid w:val="00C621D7"/>
    <w:rsid w:val="00C6254A"/>
    <w:rsid w:val="00C62619"/>
    <w:rsid w:val="00C626A6"/>
    <w:rsid w:val="00C626DA"/>
    <w:rsid w:val="00C62C96"/>
    <w:rsid w:val="00C62D19"/>
    <w:rsid w:val="00C63C4B"/>
    <w:rsid w:val="00C63D63"/>
    <w:rsid w:val="00C64038"/>
    <w:rsid w:val="00C64582"/>
    <w:rsid w:val="00C64924"/>
    <w:rsid w:val="00C64A9F"/>
    <w:rsid w:val="00C658C3"/>
    <w:rsid w:val="00C65FA5"/>
    <w:rsid w:val="00C661B7"/>
    <w:rsid w:val="00C66D14"/>
    <w:rsid w:val="00C67405"/>
    <w:rsid w:val="00C67889"/>
    <w:rsid w:val="00C678C9"/>
    <w:rsid w:val="00C679C3"/>
    <w:rsid w:val="00C67B05"/>
    <w:rsid w:val="00C67FCF"/>
    <w:rsid w:val="00C67FD9"/>
    <w:rsid w:val="00C70523"/>
    <w:rsid w:val="00C70ADD"/>
    <w:rsid w:val="00C7153A"/>
    <w:rsid w:val="00C71A46"/>
    <w:rsid w:val="00C71BFE"/>
    <w:rsid w:val="00C72048"/>
    <w:rsid w:val="00C720EB"/>
    <w:rsid w:val="00C7220D"/>
    <w:rsid w:val="00C72571"/>
    <w:rsid w:val="00C72924"/>
    <w:rsid w:val="00C72D1A"/>
    <w:rsid w:val="00C72F0C"/>
    <w:rsid w:val="00C737E4"/>
    <w:rsid w:val="00C73C3D"/>
    <w:rsid w:val="00C7408F"/>
    <w:rsid w:val="00C74548"/>
    <w:rsid w:val="00C7465C"/>
    <w:rsid w:val="00C7469A"/>
    <w:rsid w:val="00C746FA"/>
    <w:rsid w:val="00C74C3E"/>
    <w:rsid w:val="00C74C7F"/>
    <w:rsid w:val="00C750B6"/>
    <w:rsid w:val="00C750DD"/>
    <w:rsid w:val="00C75B41"/>
    <w:rsid w:val="00C75B81"/>
    <w:rsid w:val="00C761AE"/>
    <w:rsid w:val="00C761F3"/>
    <w:rsid w:val="00C76284"/>
    <w:rsid w:val="00C762B7"/>
    <w:rsid w:val="00C763FA"/>
    <w:rsid w:val="00C76797"/>
    <w:rsid w:val="00C76841"/>
    <w:rsid w:val="00C76909"/>
    <w:rsid w:val="00C76B29"/>
    <w:rsid w:val="00C76B4F"/>
    <w:rsid w:val="00C76E1A"/>
    <w:rsid w:val="00C76ED5"/>
    <w:rsid w:val="00C779F0"/>
    <w:rsid w:val="00C77FF6"/>
    <w:rsid w:val="00C80039"/>
    <w:rsid w:val="00C800DF"/>
    <w:rsid w:val="00C80214"/>
    <w:rsid w:val="00C802EA"/>
    <w:rsid w:val="00C808E0"/>
    <w:rsid w:val="00C80A18"/>
    <w:rsid w:val="00C80A7F"/>
    <w:rsid w:val="00C81AF1"/>
    <w:rsid w:val="00C81B28"/>
    <w:rsid w:val="00C81B2D"/>
    <w:rsid w:val="00C8253D"/>
    <w:rsid w:val="00C8262B"/>
    <w:rsid w:val="00C826F9"/>
    <w:rsid w:val="00C83535"/>
    <w:rsid w:val="00C838C0"/>
    <w:rsid w:val="00C84055"/>
    <w:rsid w:val="00C840C4"/>
    <w:rsid w:val="00C84122"/>
    <w:rsid w:val="00C849FA"/>
    <w:rsid w:val="00C84D42"/>
    <w:rsid w:val="00C8548A"/>
    <w:rsid w:val="00C85AA0"/>
    <w:rsid w:val="00C861E2"/>
    <w:rsid w:val="00C868ED"/>
    <w:rsid w:val="00C86F60"/>
    <w:rsid w:val="00C87179"/>
    <w:rsid w:val="00C874DA"/>
    <w:rsid w:val="00C8757F"/>
    <w:rsid w:val="00C875C0"/>
    <w:rsid w:val="00C87B66"/>
    <w:rsid w:val="00C90022"/>
    <w:rsid w:val="00C900AF"/>
    <w:rsid w:val="00C901B7"/>
    <w:rsid w:val="00C903B2"/>
    <w:rsid w:val="00C90406"/>
    <w:rsid w:val="00C9050B"/>
    <w:rsid w:val="00C905AC"/>
    <w:rsid w:val="00C9075E"/>
    <w:rsid w:val="00C907E4"/>
    <w:rsid w:val="00C90971"/>
    <w:rsid w:val="00C90C79"/>
    <w:rsid w:val="00C910EF"/>
    <w:rsid w:val="00C91121"/>
    <w:rsid w:val="00C91830"/>
    <w:rsid w:val="00C91ED0"/>
    <w:rsid w:val="00C92CBB"/>
    <w:rsid w:val="00C932FF"/>
    <w:rsid w:val="00C93437"/>
    <w:rsid w:val="00C93C02"/>
    <w:rsid w:val="00C93E21"/>
    <w:rsid w:val="00C94CCD"/>
    <w:rsid w:val="00C94DE7"/>
    <w:rsid w:val="00C9514B"/>
    <w:rsid w:val="00C95193"/>
    <w:rsid w:val="00C95427"/>
    <w:rsid w:val="00C95779"/>
    <w:rsid w:val="00C96106"/>
    <w:rsid w:val="00C96434"/>
    <w:rsid w:val="00C967A6"/>
    <w:rsid w:val="00C968BF"/>
    <w:rsid w:val="00C96AA1"/>
    <w:rsid w:val="00C96AED"/>
    <w:rsid w:val="00C96B1F"/>
    <w:rsid w:val="00C96E5B"/>
    <w:rsid w:val="00C970D9"/>
    <w:rsid w:val="00C97596"/>
    <w:rsid w:val="00C97861"/>
    <w:rsid w:val="00C97CB8"/>
    <w:rsid w:val="00CA01E1"/>
    <w:rsid w:val="00CA0A70"/>
    <w:rsid w:val="00CA1182"/>
    <w:rsid w:val="00CA13AD"/>
    <w:rsid w:val="00CA13F0"/>
    <w:rsid w:val="00CA188B"/>
    <w:rsid w:val="00CA19DB"/>
    <w:rsid w:val="00CA1B8D"/>
    <w:rsid w:val="00CA1F36"/>
    <w:rsid w:val="00CA2729"/>
    <w:rsid w:val="00CA2FF0"/>
    <w:rsid w:val="00CA3016"/>
    <w:rsid w:val="00CA35E5"/>
    <w:rsid w:val="00CA39AC"/>
    <w:rsid w:val="00CA3D81"/>
    <w:rsid w:val="00CA3DB2"/>
    <w:rsid w:val="00CA42AF"/>
    <w:rsid w:val="00CA42C2"/>
    <w:rsid w:val="00CA4B86"/>
    <w:rsid w:val="00CA4DF4"/>
    <w:rsid w:val="00CA514A"/>
    <w:rsid w:val="00CA5218"/>
    <w:rsid w:val="00CA52A2"/>
    <w:rsid w:val="00CA59A0"/>
    <w:rsid w:val="00CA6291"/>
    <w:rsid w:val="00CA6540"/>
    <w:rsid w:val="00CA67B2"/>
    <w:rsid w:val="00CA6E0F"/>
    <w:rsid w:val="00CA7190"/>
    <w:rsid w:val="00CA72BF"/>
    <w:rsid w:val="00CA74A4"/>
    <w:rsid w:val="00CA766B"/>
    <w:rsid w:val="00CA7B1A"/>
    <w:rsid w:val="00CA7D34"/>
    <w:rsid w:val="00CA7EA1"/>
    <w:rsid w:val="00CB0276"/>
    <w:rsid w:val="00CB085D"/>
    <w:rsid w:val="00CB152E"/>
    <w:rsid w:val="00CB157E"/>
    <w:rsid w:val="00CB1777"/>
    <w:rsid w:val="00CB1A0C"/>
    <w:rsid w:val="00CB1A5E"/>
    <w:rsid w:val="00CB2395"/>
    <w:rsid w:val="00CB244D"/>
    <w:rsid w:val="00CB2570"/>
    <w:rsid w:val="00CB3007"/>
    <w:rsid w:val="00CB3192"/>
    <w:rsid w:val="00CB3473"/>
    <w:rsid w:val="00CB37D5"/>
    <w:rsid w:val="00CB3833"/>
    <w:rsid w:val="00CB39AE"/>
    <w:rsid w:val="00CB3E91"/>
    <w:rsid w:val="00CB580F"/>
    <w:rsid w:val="00CB5F99"/>
    <w:rsid w:val="00CB6E13"/>
    <w:rsid w:val="00CB6ECA"/>
    <w:rsid w:val="00CB7289"/>
    <w:rsid w:val="00CB74B5"/>
    <w:rsid w:val="00CB79A4"/>
    <w:rsid w:val="00CC0076"/>
    <w:rsid w:val="00CC0696"/>
    <w:rsid w:val="00CC06D1"/>
    <w:rsid w:val="00CC1292"/>
    <w:rsid w:val="00CC1825"/>
    <w:rsid w:val="00CC18CB"/>
    <w:rsid w:val="00CC1B3D"/>
    <w:rsid w:val="00CC1C8C"/>
    <w:rsid w:val="00CC2075"/>
    <w:rsid w:val="00CC24AE"/>
    <w:rsid w:val="00CC2569"/>
    <w:rsid w:val="00CC3635"/>
    <w:rsid w:val="00CC384E"/>
    <w:rsid w:val="00CC3C11"/>
    <w:rsid w:val="00CC3E64"/>
    <w:rsid w:val="00CC4183"/>
    <w:rsid w:val="00CC4235"/>
    <w:rsid w:val="00CC4546"/>
    <w:rsid w:val="00CC4631"/>
    <w:rsid w:val="00CC468C"/>
    <w:rsid w:val="00CC47C7"/>
    <w:rsid w:val="00CC4AF4"/>
    <w:rsid w:val="00CC4D18"/>
    <w:rsid w:val="00CC5167"/>
    <w:rsid w:val="00CC5722"/>
    <w:rsid w:val="00CC5D3B"/>
    <w:rsid w:val="00CC5E12"/>
    <w:rsid w:val="00CC6216"/>
    <w:rsid w:val="00CC6D2C"/>
    <w:rsid w:val="00CC7194"/>
    <w:rsid w:val="00CC7512"/>
    <w:rsid w:val="00CC75BE"/>
    <w:rsid w:val="00CC78D4"/>
    <w:rsid w:val="00CC7EE4"/>
    <w:rsid w:val="00CD02D3"/>
    <w:rsid w:val="00CD02D7"/>
    <w:rsid w:val="00CD0327"/>
    <w:rsid w:val="00CD042C"/>
    <w:rsid w:val="00CD0795"/>
    <w:rsid w:val="00CD07B7"/>
    <w:rsid w:val="00CD0844"/>
    <w:rsid w:val="00CD0BA0"/>
    <w:rsid w:val="00CD0D30"/>
    <w:rsid w:val="00CD0EDC"/>
    <w:rsid w:val="00CD1004"/>
    <w:rsid w:val="00CD1155"/>
    <w:rsid w:val="00CD11A0"/>
    <w:rsid w:val="00CD14AD"/>
    <w:rsid w:val="00CD15EA"/>
    <w:rsid w:val="00CD16F8"/>
    <w:rsid w:val="00CD18DB"/>
    <w:rsid w:val="00CD1991"/>
    <w:rsid w:val="00CD1A3F"/>
    <w:rsid w:val="00CD25B1"/>
    <w:rsid w:val="00CD28F8"/>
    <w:rsid w:val="00CD2B7F"/>
    <w:rsid w:val="00CD2D75"/>
    <w:rsid w:val="00CD2E55"/>
    <w:rsid w:val="00CD317B"/>
    <w:rsid w:val="00CD32AF"/>
    <w:rsid w:val="00CD34F7"/>
    <w:rsid w:val="00CD479D"/>
    <w:rsid w:val="00CD5478"/>
    <w:rsid w:val="00CD566E"/>
    <w:rsid w:val="00CD573D"/>
    <w:rsid w:val="00CD5BA9"/>
    <w:rsid w:val="00CD5E48"/>
    <w:rsid w:val="00CD64E8"/>
    <w:rsid w:val="00CD6751"/>
    <w:rsid w:val="00CD6887"/>
    <w:rsid w:val="00CD6DDC"/>
    <w:rsid w:val="00CD721A"/>
    <w:rsid w:val="00CD7E81"/>
    <w:rsid w:val="00CE0464"/>
    <w:rsid w:val="00CE0628"/>
    <w:rsid w:val="00CE0676"/>
    <w:rsid w:val="00CE0749"/>
    <w:rsid w:val="00CE08FB"/>
    <w:rsid w:val="00CE0BD4"/>
    <w:rsid w:val="00CE0F13"/>
    <w:rsid w:val="00CE1678"/>
    <w:rsid w:val="00CE1ADB"/>
    <w:rsid w:val="00CE1AF1"/>
    <w:rsid w:val="00CE1D16"/>
    <w:rsid w:val="00CE2336"/>
    <w:rsid w:val="00CE2787"/>
    <w:rsid w:val="00CE2857"/>
    <w:rsid w:val="00CE2A67"/>
    <w:rsid w:val="00CE2CCB"/>
    <w:rsid w:val="00CE2D81"/>
    <w:rsid w:val="00CE313F"/>
    <w:rsid w:val="00CE3351"/>
    <w:rsid w:val="00CE422E"/>
    <w:rsid w:val="00CE423A"/>
    <w:rsid w:val="00CE4433"/>
    <w:rsid w:val="00CE4DF9"/>
    <w:rsid w:val="00CE5091"/>
    <w:rsid w:val="00CE5470"/>
    <w:rsid w:val="00CE5502"/>
    <w:rsid w:val="00CE5690"/>
    <w:rsid w:val="00CE5CEA"/>
    <w:rsid w:val="00CE5E9F"/>
    <w:rsid w:val="00CE5FEF"/>
    <w:rsid w:val="00CE6193"/>
    <w:rsid w:val="00CE6456"/>
    <w:rsid w:val="00CE6607"/>
    <w:rsid w:val="00CE6619"/>
    <w:rsid w:val="00CE712C"/>
    <w:rsid w:val="00CE7482"/>
    <w:rsid w:val="00CE77D0"/>
    <w:rsid w:val="00CF009C"/>
    <w:rsid w:val="00CF0633"/>
    <w:rsid w:val="00CF06D8"/>
    <w:rsid w:val="00CF06E7"/>
    <w:rsid w:val="00CF08A0"/>
    <w:rsid w:val="00CF0EB2"/>
    <w:rsid w:val="00CF0FF1"/>
    <w:rsid w:val="00CF1DE0"/>
    <w:rsid w:val="00CF1EF8"/>
    <w:rsid w:val="00CF2166"/>
    <w:rsid w:val="00CF21BC"/>
    <w:rsid w:val="00CF2277"/>
    <w:rsid w:val="00CF27D5"/>
    <w:rsid w:val="00CF2AA8"/>
    <w:rsid w:val="00CF2C69"/>
    <w:rsid w:val="00CF333B"/>
    <w:rsid w:val="00CF34F4"/>
    <w:rsid w:val="00CF3F1B"/>
    <w:rsid w:val="00CF4227"/>
    <w:rsid w:val="00CF472A"/>
    <w:rsid w:val="00CF4900"/>
    <w:rsid w:val="00CF5045"/>
    <w:rsid w:val="00CF50BF"/>
    <w:rsid w:val="00CF5148"/>
    <w:rsid w:val="00CF5321"/>
    <w:rsid w:val="00CF579C"/>
    <w:rsid w:val="00CF6606"/>
    <w:rsid w:val="00CF67EA"/>
    <w:rsid w:val="00CF69A2"/>
    <w:rsid w:val="00CF6E24"/>
    <w:rsid w:val="00CF7266"/>
    <w:rsid w:val="00CF7796"/>
    <w:rsid w:val="00CF791D"/>
    <w:rsid w:val="00CF7D01"/>
    <w:rsid w:val="00CF7E6A"/>
    <w:rsid w:val="00D0007D"/>
    <w:rsid w:val="00D00629"/>
    <w:rsid w:val="00D00868"/>
    <w:rsid w:val="00D008A8"/>
    <w:rsid w:val="00D008FC"/>
    <w:rsid w:val="00D01085"/>
    <w:rsid w:val="00D013D7"/>
    <w:rsid w:val="00D0164E"/>
    <w:rsid w:val="00D019EC"/>
    <w:rsid w:val="00D01F62"/>
    <w:rsid w:val="00D03600"/>
    <w:rsid w:val="00D03A89"/>
    <w:rsid w:val="00D03D15"/>
    <w:rsid w:val="00D04002"/>
    <w:rsid w:val="00D041A5"/>
    <w:rsid w:val="00D04583"/>
    <w:rsid w:val="00D04625"/>
    <w:rsid w:val="00D04A61"/>
    <w:rsid w:val="00D04CA4"/>
    <w:rsid w:val="00D05217"/>
    <w:rsid w:val="00D0541B"/>
    <w:rsid w:val="00D0552D"/>
    <w:rsid w:val="00D0564D"/>
    <w:rsid w:val="00D05CE1"/>
    <w:rsid w:val="00D05E1A"/>
    <w:rsid w:val="00D05F8D"/>
    <w:rsid w:val="00D05FCA"/>
    <w:rsid w:val="00D06332"/>
    <w:rsid w:val="00D06411"/>
    <w:rsid w:val="00D0650E"/>
    <w:rsid w:val="00D06580"/>
    <w:rsid w:val="00D065D1"/>
    <w:rsid w:val="00D0678C"/>
    <w:rsid w:val="00D06B7B"/>
    <w:rsid w:val="00D07691"/>
    <w:rsid w:val="00D07AAA"/>
    <w:rsid w:val="00D07EDE"/>
    <w:rsid w:val="00D10561"/>
    <w:rsid w:val="00D10D8D"/>
    <w:rsid w:val="00D10F18"/>
    <w:rsid w:val="00D112C8"/>
    <w:rsid w:val="00D11348"/>
    <w:rsid w:val="00D11382"/>
    <w:rsid w:val="00D119C3"/>
    <w:rsid w:val="00D11C9C"/>
    <w:rsid w:val="00D11E6E"/>
    <w:rsid w:val="00D11FA4"/>
    <w:rsid w:val="00D1286D"/>
    <w:rsid w:val="00D12A27"/>
    <w:rsid w:val="00D12B25"/>
    <w:rsid w:val="00D12B2A"/>
    <w:rsid w:val="00D12C51"/>
    <w:rsid w:val="00D13508"/>
    <w:rsid w:val="00D13601"/>
    <w:rsid w:val="00D1399B"/>
    <w:rsid w:val="00D1408C"/>
    <w:rsid w:val="00D141C1"/>
    <w:rsid w:val="00D147D9"/>
    <w:rsid w:val="00D149AC"/>
    <w:rsid w:val="00D14F6B"/>
    <w:rsid w:val="00D14FF2"/>
    <w:rsid w:val="00D15680"/>
    <w:rsid w:val="00D15FC7"/>
    <w:rsid w:val="00D1645D"/>
    <w:rsid w:val="00D1661F"/>
    <w:rsid w:val="00D1685F"/>
    <w:rsid w:val="00D1690A"/>
    <w:rsid w:val="00D16CD7"/>
    <w:rsid w:val="00D16EB1"/>
    <w:rsid w:val="00D1710F"/>
    <w:rsid w:val="00D171E5"/>
    <w:rsid w:val="00D17203"/>
    <w:rsid w:val="00D17268"/>
    <w:rsid w:val="00D17CA2"/>
    <w:rsid w:val="00D17E4C"/>
    <w:rsid w:val="00D17E8F"/>
    <w:rsid w:val="00D20552"/>
    <w:rsid w:val="00D2063C"/>
    <w:rsid w:val="00D20667"/>
    <w:rsid w:val="00D206F9"/>
    <w:rsid w:val="00D207DE"/>
    <w:rsid w:val="00D21097"/>
    <w:rsid w:val="00D213A5"/>
    <w:rsid w:val="00D216D5"/>
    <w:rsid w:val="00D2183E"/>
    <w:rsid w:val="00D21907"/>
    <w:rsid w:val="00D21D0C"/>
    <w:rsid w:val="00D22687"/>
    <w:rsid w:val="00D229FA"/>
    <w:rsid w:val="00D23124"/>
    <w:rsid w:val="00D2367E"/>
    <w:rsid w:val="00D237D0"/>
    <w:rsid w:val="00D23E59"/>
    <w:rsid w:val="00D2406C"/>
    <w:rsid w:val="00D241F9"/>
    <w:rsid w:val="00D2420E"/>
    <w:rsid w:val="00D2447C"/>
    <w:rsid w:val="00D24A6E"/>
    <w:rsid w:val="00D24C23"/>
    <w:rsid w:val="00D252BF"/>
    <w:rsid w:val="00D25712"/>
    <w:rsid w:val="00D25DE1"/>
    <w:rsid w:val="00D2643C"/>
    <w:rsid w:val="00D26655"/>
    <w:rsid w:val="00D26AE5"/>
    <w:rsid w:val="00D26C90"/>
    <w:rsid w:val="00D26DF0"/>
    <w:rsid w:val="00D27149"/>
    <w:rsid w:val="00D271C6"/>
    <w:rsid w:val="00D27559"/>
    <w:rsid w:val="00D279AC"/>
    <w:rsid w:val="00D301D6"/>
    <w:rsid w:val="00D30BB9"/>
    <w:rsid w:val="00D310AA"/>
    <w:rsid w:val="00D319B0"/>
    <w:rsid w:val="00D31A5A"/>
    <w:rsid w:val="00D31B4A"/>
    <w:rsid w:val="00D3276F"/>
    <w:rsid w:val="00D327CD"/>
    <w:rsid w:val="00D3291B"/>
    <w:rsid w:val="00D32C1B"/>
    <w:rsid w:val="00D330CC"/>
    <w:rsid w:val="00D33DF3"/>
    <w:rsid w:val="00D34168"/>
    <w:rsid w:val="00D342BF"/>
    <w:rsid w:val="00D34373"/>
    <w:rsid w:val="00D34681"/>
    <w:rsid w:val="00D350E9"/>
    <w:rsid w:val="00D35584"/>
    <w:rsid w:val="00D3567A"/>
    <w:rsid w:val="00D356B6"/>
    <w:rsid w:val="00D359B5"/>
    <w:rsid w:val="00D35C8F"/>
    <w:rsid w:val="00D35F00"/>
    <w:rsid w:val="00D35F7C"/>
    <w:rsid w:val="00D361C5"/>
    <w:rsid w:val="00D364ED"/>
    <w:rsid w:val="00D36657"/>
    <w:rsid w:val="00D36AE8"/>
    <w:rsid w:val="00D36B7D"/>
    <w:rsid w:val="00D36CF3"/>
    <w:rsid w:val="00D371F6"/>
    <w:rsid w:val="00D373FD"/>
    <w:rsid w:val="00D3744E"/>
    <w:rsid w:val="00D40717"/>
    <w:rsid w:val="00D40A19"/>
    <w:rsid w:val="00D40C1F"/>
    <w:rsid w:val="00D40DAF"/>
    <w:rsid w:val="00D40F55"/>
    <w:rsid w:val="00D41CC1"/>
    <w:rsid w:val="00D41EFF"/>
    <w:rsid w:val="00D42142"/>
    <w:rsid w:val="00D4241D"/>
    <w:rsid w:val="00D42C5E"/>
    <w:rsid w:val="00D434B9"/>
    <w:rsid w:val="00D43764"/>
    <w:rsid w:val="00D43774"/>
    <w:rsid w:val="00D43797"/>
    <w:rsid w:val="00D442C9"/>
    <w:rsid w:val="00D44553"/>
    <w:rsid w:val="00D44AA3"/>
    <w:rsid w:val="00D44B6C"/>
    <w:rsid w:val="00D44D57"/>
    <w:rsid w:val="00D44DC4"/>
    <w:rsid w:val="00D44EE8"/>
    <w:rsid w:val="00D45B21"/>
    <w:rsid w:val="00D45D85"/>
    <w:rsid w:val="00D46551"/>
    <w:rsid w:val="00D467A2"/>
    <w:rsid w:val="00D46F3A"/>
    <w:rsid w:val="00D46F7F"/>
    <w:rsid w:val="00D470D2"/>
    <w:rsid w:val="00D47DD0"/>
    <w:rsid w:val="00D47E06"/>
    <w:rsid w:val="00D47F26"/>
    <w:rsid w:val="00D507EE"/>
    <w:rsid w:val="00D50FE4"/>
    <w:rsid w:val="00D5117C"/>
    <w:rsid w:val="00D518D0"/>
    <w:rsid w:val="00D5204D"/>
    <w:rsid w:val="00D52288"/>
    <w:rsid w:val="00D52708"/>
    <w:rsid w:val="00D52DA5"/>
    <w:rsid w:val="00D53114"/>
    <w:rsid w:val="00D53151"/>
    <w:rsid w:val="00D542E3"/>
    <w:rsid w:val="00D54302"/>
    <w:rsid w:val="00D5441F"/>
    <w:rsid w:val="00D54532"/>
    <w:rsid w:val="00D548DF"/>
    <w:rsid w:val="00D54D4F"/>
    <w:rsid w:val="00D556B9"/>
    <w:rsid w:val="00D55A78"/>
    <w:rsid w:val="00D55C43"/>
    <w:rsid w:val="00D55C64"/>
    <w:rsid w:val="00D566BE"/>
    <w:rsid w:val="00D5670E"/>
    <w:rsid w:val="00D568C2"/>
    <w:rsid w:val="00D56AA8"/>
    <w:rsid w:val="00D56CB3"/>
    <w:rsid w:val="00D56E1D"/>
    <w:rsid w:val="00D57262"/>
    <w:rsid w:val="00D574F6"/>
    <w:rsid w:val="00D5788E"/>
    <w:rsid w:val="00D579A8"/>
    <w:rsid w:val="00D57ADC"/>
    <w:rsid w:val="00D57DB9"/>
    <w:rsid w:val="00D57E59"/>
    <w:rsid w:val="00D6007B"/>
    <w:rsid w:val="00D60124"/>
    <w:rsid w:val="00D6108E"/>
    <w:rsid w:val="00D61227"/>
    <w:rsid w:val="00D61773"/>
    <w:rsid w:val="00D61858"/>
    <w:rsid w:val="00D6230B"/>
    <w:rsid w:val="00D629B2"/>
    <w:rsid w:val="00D62B9E"/>
    <w:rsid w:val="00D6330C"/>
    <w:rsid w:val="00D63478"/>
    <w:rsid w:val="00D63A64"/>
    <w:rsid w:val="00D63D5C"/>
    <w:rsid w:val="00D63F60"/>
    <w:rsid w:val="00D64203"/>
    <w:rsid w:val="00D64BD4"/>
    <w:rsid w:val="00D64F6A"/>
    <w:rsid w:val="00D6502C"/>
    <w:rsid w:val="00D65EAC"/>
    <w:rsid w:val="00D65F3A"/>
    <w:rsid w:val="00D66070"/>
    <w:rsid w:val="00D6619A"/>
    <w:rsid w:val="00D674C4"/>
    <w:rsid w:val="00D67792"/>
    <w:rsid w:val="00D706D5"/>
    <w:rsid w:val="00D707D2"/>
    <w:rsid w:val="00D70A5E"/>
    <w:rsid w:val="00D70B61"/>
    <w:rsid w:val="00D70DF0"/>
    <w:rsid w:val="00D70FB6"/>
    <w:rsid w:val="00D71C47"/>
    <w:rsid w:val="00D72154"/>
    <w:rsid w:val="00D72203"/>
    <w:rsid w:val="00D7226D"/>
    <w:rsid w:val="00D72303"/>
    <w:rsid w:val="00D72463"/>
    <w:rsid w:val="00D725BC"/>
    <w:rsid w:val="00D72AEC"/>
    <w:rsid w:val="00D72B3E"/>
    <w:rsid w:val="00D73056"/>
    <w:rsid w:val="00D732FE"/>
    <w:rsid w:val="00D73986"/>
    <w:rsid w:val="00D7398E"/>
    <w:rsid w:val="00D73E2D"/>
    <w:rsid w:val="00D73EAE"/>
    <w:rsid w:val="00D741B9"/>
    <w:rsid w:val="00D74564"/>
    <w:rsid w:val="00D74720"/>
    <w:rsid w:val="00D74D71"/>
    <w:rsid w:val="00D74DB3"/>
    <w:rsid w:val="00D757A3"/>
    <w:rsid w:val="00D7588A"/>
    <w:rsid w:val="00D758E3"/>
    <w:rsid w:val="00D7619C"/>
    <w:rsid w:val="00D76490"/>
    <w:rsid w:val="00D764DD"/>
    <w:rsid w:val="00D76F48"/>
    <w:rsid w:val="00D77455"/>
    <w:rsid w:val="00D777C2"/>
    <w:rsid w:val="00D77A6C"/>
    <w:rsid w:val="00D77FAD"/>
    <w:rsid w:val="00D80021"/>
    <w:rsid w:val="00D80070"/>
    <w:rsid w:val="00D8008C"/>
    <w:rsid w:val="00D800C8"/>
    <w:rsid w:val="00D8045D"/>
    <w:rsid w:val="00D8068E"/>
    <w:rsid w:val="00D80783"/>
    <w:rsid w:val="00D807FA"/>
    <w:rsid w:val="00D80A05"/>
    <w:rsid w:val="00D80A83"/>
    <w:rsid w:val="00D80B23"/>
    <w:rsid w:val="00D80B6C"/>
    <w:rsid w:val="00D80BAC"/>
    <w:rsid w:val="00D80C0D"/>
    <w:rsid w:val="00D80FF4"/>
    <w:rsid w:val="00D821CC"/>
    <w:rsid w:val="00D8244A"/>
    <w:rsid w:val="00D82757"/>
    <w:rsid w:val="00D82D6E"/>
    <w:rsid w:val="00D82FE6"/>
    <w:rsid w:val="00D830C6"/>
    <w:rsid w:val="00D8326E"/>
    <w:rsid w:val="00D83857"/>
    <w:rsid w:val="00D839F5"/>
    <w:rsid w:val="00D83C42"/>
    <w:rsid w:val="00D83F46"/>
    <w:rsid w:val="00D84150"/>
    <w:rsid w:val="00D8473E"/>
    <w:rsid w:val="00D847C2"/>
    <w:rsid w:val="00D8481A"/>
    <w:rsid w:val="00D8486C"/>
    <w:rsid w:val="00D8521B"/>
    <w:rsid w:val="00D856F6"/>
    <w:rsid w:val="00D8571F"/>
    <w:rsid w:val="00D85EA1"/>
    <w:rsid w:val="00D85EB6"/>
    <w:rsid w:val="00D85EBB"/>
    <w:rsid w:val="00D86400"/>
    <w:rsid w:val="00D86423"/>
    <w:rsid w:val="00D86677"/>
    <w:rsid w:val="00D86968"/>
    <w:rsid w:val="00D86A95"/>
    <w:rsid w:val="00D86B58"/>
    <w:rsid w:val="00D86E9C"/>
    <w:rsid w:val="00D874F7"/>
    <w:rsid w:val="00D876A8"/>
    <w:rsid w:val="00D90854"/>
    <w:rsid w:val="00D90936"/>
    <w:rsid w:val="00D90B3A"/>
    <w:rsid w:val="00D9163B"/>
    <w:rsid w:val="00D91841"/>
    <w:rsid w:val="00D9205F"/>
    <w:rsid w:val="00D920F0"/>
    <w:rsid w:val="00D922E1"/>
    <w:rsid w:val="00D926AF"/>
    <w:rsid w:val="00D92709"/>
    <w:rsid w:val="00D92B43"/>
    <w:rsid w:val="00D92C1E"/>
    <w:rsid w:val="00D934C1"/>
    <w:rsid w:val="00D93544"/>
    <w:rsid w:val="00D938DC"/>
    <w:rsid w:val="00D93DFD"/>
    <w:rsid w:val="00D93F3C"/>
    <w:rsid w:val="00D93FD7"/>
    <w:rsid w:val="00D94061"/>
    <w:rsid w:val="00D9414D"/>
    <w:rsid w:val="00D94311"/>
    <w:rsid w:val="00D94855"/>
    <w:rsid w:val="00D94AE3"/>
    <w:rsid w:val="00D94D4D"/>
    <w:rsid w:val="00D94DC0"/>
    <w:rsid w:val="00D9548D"/>
    <w:rsid w:val="00D9566F"/>
    <w:rsid w:val="00D95A8A"/>
    <w:rsid w:val="00D95AC9"/>
    <w:rsid w:val="00D95E55"/>
    <w:rsid w:val="00D96480"/>
    <w:rsid w:val="00D965D7"/>
    <w:rsid w:val="00D96A1F"/>
    <w:rsid w:val="00D97448"/>
    <w:rsid w:val="00D97ADC"/>
    <w:rsid w:val="00D97C6A"/>
    <w:rsid w:val="00D97D60"/>
    <w:rsid w:val="00D97F79"/>
    <w:rsid w:val="00D97F8D"/>
    <w:rsid w:val="00DA0374"/>
    <w:rsid w:val="00DA058B"/>
    <w:rsid w:val="00DA066E"/>
    <w:rsid w:val="00DA0925"/>
    <w:rsid w:val="00DA0A0B"/>
    <w:rsid w:val="00DA0B67"/>
    <w:rsid w:val="00DA0B80"/>
    <w:rsid w:val="00DA0C4C"/>
    <w:rsid w:val="00DA0D60"/>
    <w:rsid w:val="00DA13D4"/>
    <w:rsid w:val="00DA14A0"/>
    <w:rsid w:val="00DA1B70"/>
    <w:rsid w:val="00DA1F97"/>
    <w:rsid w:val="00DA214C"/>
    <w:rsid w:val="00DA21FF"/>
    <w:rsid w:val="00DA29BE"/>
    <w:rsid w:val="00DA2EBC"/>
    <w:rsid w:val="00DA34B5"/>
    <w:rsid w:val="00DA3BC8"/>
    <w:rsid w:val="00DA3C94"/>
    <w:rsid w:val="00DA3E24"/>
    <w:rsid w:val="00DA42B5"/>
    <w:rsid w:val="00DA44AF"/>
    <w:rsid w:val="00DA4803"/>
    <w:rsid w:val="00DA4E8B"/>
    <w:rsid w:val="00DA4EC8"/>
    <w:rsid w:val="00DA57AD"/>
    <w:rsid w:val="00DA5DC1"/>
    <w:rsid w:val="00DA66A0"/>
    <w:rsid w:val="00DA6A1B"/>
    <w:rsid w:val="00DA6AAA"/>
    <w:rsid w:val="00DA6AFA"/>
    <w:rsid w:val="00DA6C32"/>
    <w:rsid w:val="00DA70D2"/>
    <w:rsid w:val="00DA74FE"/>
    <w:rsid w:val="00DA7E89"/>
    <w:rsid w:val="00DB064A"/>
    <w:rsid w:val="00DB077A"/>
    <w:rsid w:val="00DB07F1"/>
    <w:rsid w:val="00DB0AAB"/>
    <w:rsid w:val="00DB0CE6"/>
    <w:rsid w:val="00DB0F2A"/>
    <w:rsid w:val="00DB1104"/>
    <w:rsid w:val="00DB1164"/>
    <w:rsid w:val="00DB15B1"/>
    <w:rsid w:val="00DB1794"/>
    <w:rsid w:val="00DB19A3"/>
    <w:rsid w:val="00DB1CC0"/>
    <w:rsid w:val="00DB233D"/>
    <w:rsid w:val="00DB286F"/>
    <w:rsid w:val="00DB2E6B"/>
    <w:rsid w:val="00DB3DB9"/>
    <w:rsid w:val="00DB3DCE"/>
    <w:rsid w:val="00DB3F4E"/>
    <w:rsid w:val="00DB44DF"/>
    <w:rsid w:val="00DB454F"/>
    <w:rsid w:val="00DB4A82"/>
    <w:rsid w:val="00DB4CB6"/>
    <w:rsid w:val="00DB4F8A"/>
    <w:rsid w:val="00DB5600"/>
    <w:rsid w:val="00DB57FC"/>
    <w:rsid w:val="00DB5A0B"/>
    <w:rsid w:val="00DB64F2"/>
    <w:rsid w:val="00DB654B"/>
    <w:rsid w:val="00DB6B0F"/>
    <w:rsid w:val="00DB6D3E"/>
    <w:rsid w:val="00DB7373"/>
    <w:rsid w:val="00DB76FC"/>
    <w:rsid w:val="00DB7EBF"/>
    <w:rsid w:val="00DC0088"/>
    <w:rsid w:val="00DC01FD"/>
    <w:rsid w:val="00DC0303"/>
    <w:rsid w:val="00DC0503"/>
    <w:rsid w:val="00DC0585"/>
    <w:rsid w:val="00DC0D4B"/>
    <w:rsid w:val="00DC1AE3"/>
    <w:rsid w:val="00DC219B"/>
    <w:rsid w:val="00DC24A7"/>
    <w:rsid w:val="00DC274B"/>
    <w:rsid w:val="00DC2AD7"/>
    <w:rsid w:val="00DC2BFB"/>
    <w:rsid w:val="00DC2E07"/>
    <w:rsid w:val="00DC2E4B"/>
    <w:rsid w:val="00DC460A"/>
    <w:rsid w:val="00DC5324"/>
    <w:rsid w:val="00DC53C5"/>
    <w:rsid w:val="00DC5702"/>
    <w:rsid w:val="00DC58BE"/>
    <w:rsid w:val="00DC5AE3"/>
    <w:rsid w:val="00DC5E35"/>
    <w:rsid w:val="00DC5EBF"/>
    <w:rsid w:val="00DC67AF"/>
    <w:rsid w:val="00DC6CCD"/>
    <w:rsid w:val="00DC76F8"/>
    <w:rsid w:val="00DC795C"/>
    <w:rsid w:val="00DC79BC"/>
    <w:rsid w:val="00DC7C3B"/>
    <w:rsid w:val="00DC7D88"/>
    <w:rsid w:val="00DD04A7"/>
    <w:rsid w:val="00DD0C08"/>
    <w:rsid w:val="00DD1093"/>
    <w:rsid w:val="00DD23C5"/>
    <w:rsid w:val="00DD2473"/>
    <w:rsid w:val="00DD251A"/>
    <w:rsid w:val="00DD2528"/>
    <w:rsid w:val="00DD260B"/>
    <w:rsid w:val="00DD26F6"/>
    <w:rsid w:val="00DD2AFD"/>
    <w:rsid w:val="00DD2FA4"/>
    <w:rsid w:val="00DD31B9"/>
    <w:rsid w:val="00DD39EF"/>
    <w:rsid w:val="00DD3F9D"/>
    <w:rsid w:val="00DD4226"/>
    <w:rsid w:val="00DD458D"/>
    <w:rsid w:val="00DD45DB"/>
    <w:rsid w:val="00DD4883"/>
    <w:rsid w:val="00DD4893"/>
    <w:rsid w:val="00DD4B93"/>
    <w:rsid w:val="00DD4BE6"/>
    <w:rsid w:val="00DD5083"/>
    <w:rsid w:val="00DD5139"/>
    <w:rsid w:val="00DD5FEC"/>
    <w:rsid w:val="00DD6339"/>
    <w:rsid w:val="00DD649B"/>
    <w:rsid w:val="00DD64B5"/>
    <w:rsid w:val="00DD65D5"/>
    <w:rsid w:val="00DD6BDD"/>
    <w:rsid w:val="00DD708F"/>
    <w:rsid w:val="00DD7115"/>
    <w:rsid w:val="00DD715C"/>
    <w:rsid w:val="00DD7280"/>
    <w:rsid w:val="00DD7472"/>
    <w:rsid w:val="00DD7AEA"/>
    <w:rsid w:val="00DE0766"/>
    <w:rsid w:val="00DE087F"/>
    <w:rsid w:val="00DE0C69"/>
    <w:rsid w:val="00DE10A2"/>
    <w:rsid w:val="00DE16A1"/>
    <w:rsid w:val="00DE259F"/>
    <w:rsid w:val="00DE265D"/>
    <w:rsid w:val="00DE3221"/>
    <w:rsid w:val="00DE35B9"/>
    <w:rsid w:val="00DE3729"/>
    <w:rsid w:val="00DE3AD9"/>
    <w:rsid w:val="00DE3ADF"/>
    <w:rsid w:val="00DE3BA5"/>
    <w:rsid w:val="00DE3D6B"/>
    <w:rsid w:val="00DE3DE0"/>
    <w:rsid w:val="00DE3F7E"/>
    <w:rsid w:val="00DE3FD5"/>
    <w:rsid w:val="00DE458B"/>
    <w:rsid w:val="00DE4604"/>
    <w:rsid w:val="00DE4D46"/>
    <w:rsid w:val="00DE53F0"/>
    <w:rsid w:val="00DE54B0"/>
    <w:rsid w:val="00DE54DD"/>
    <w:rsid w:val="00DE57AF"/>
    <w:rsid w:val="00DE57DD"/>
    <w:rsid w:val="00DE594B"/>
    <w:rsid w:val="00DE5AA2"/>
    <w:rsid w:val="00DE5BB9"/>
    <w:rsid w:val="00DE5C2D"/>
    <w:rsid w:val="00DE5EEC"/>
    <w:rsid w:val="00DE60BA"/>
    <w:rsid w:val="00DE7B1B"/>
    <w:rsid w:val="00DE7DC2"/>
    <w:rsid w:val="00DE7EED"/>
    <w:rsid w:val="00DF06F3"/>
    <w:rsid w:val="00DF0AFA"/>
    <w:rsid w:val="00DF0DD5"/>
    <w:rsid w:val="00DF0DEF"/>
    <w:rsid w:val="00DF0E66"/>
    <w:rsid w:val="00DF0EC7"/>
    <w:rsid w:val="00DF1025"/>
    <w:rsid w:val="00DF1116"/>
    <w:rsid w:val="00DF14D3"/>
    <w:rsid w:val="00DF17AE"/>
    <w:rsid w:val="00DF184E"/>
    <w:rsid w:val="00DF18DC"/>
    <w:rsid w:val="00DF18F2"/>
    <w:rsid w:val="00DF1A74"/>
    <w:rsid w:val="00DF2740"/>
    <w:rsid w:val="00DF2802"/>
    <w:rsid w:val="00DF31A9"/>
    <w:rsid w:val="00DF35CF"/>
    <w:rsid w:val="00DF3BF6"/>
    <w:rsid w:val="00DF41C8"/>
    <w:rsid w:val="00DF458B"/>
    <w:rsid w:val="00DF45C1"/>
    <w:rsid w:val="00DF4EA1"/>
    <w:rsid w:val="00DF542A"/>
    <w:rsid w:val="00DF5B53"/>
    <w:rsid w:val="00DF624D"/>
    <w:rsid w:val="00DF687B"/>
    <w:rsid w:val="00DF6AA7"/>
    <w:rsid w:val="00DF6C4E"/>
    <w:rsid w:val="00DF6C68"/>
    <w:rsid w:val="00DF720E"/>
    <w:rsid w:val="00DF7499"/>
    <w:rsid w:val="00DF7A87"/>
    <w:rsid w:val="00DF7CF7"/>
    <w:rsid w:val="00DF7D4F"/>
    <w:rsid w:val="00DF7EB3"/>
    <w:rsid w:val="00DF7EEE"/>
    <w:rsid w:val="00DF7F0C"/>
    <w:rsid w:val="00E00114"/>
    <w:rsid w:val="00E007BE"/>
    <w:rsid w:val="00E008AD"/>
    <w:rsid w:val="00E00BC4"/>
    <w:rsid w:val="00E00E17"/>
    <w:rsid w:val="00E01D35"/>
    <w:rsid w:val="00E026F5"/>
    <w:rsid w:val="00E027C9"/>
    <w:rsid w:val="00E02B78"/>
    <w:rsid w:val="00E02BF6"/>
    <w:rsid w:val="00E02C83"/>
    <w:rsid w:val="00E03311"/>
    <w:rsid w:val="00E03595"/>
    <w:rsid w:val="00E03875"/>
    <w:rsid w:val="00E03CC7"/>
    <w:rsid w:val="00E04107"/>
    <w:rsid w:val="00E0448D"/>
    <w:rsid w:val="00E04718"/>
    <w:rsid w:val="00E04806"/>
    <w:rsid w:val="00E049E5"/>
    <w:rsid w:val="00E04AEE"/>
    <w:rsid w:val="00E04CEA"/>
    <w:rsid w:val="00E0501E"/>
    <w:rsid w:val="00E0512C"/>
    <w:rsid w:val="00E05657"/>
    <w:rsid w:val="00E059A1"/>
    <w:rsid w:val="00E0631B"/>
    <w:rsid w:val="00E06358"/>
    <w:rsid w:val="00E06AB2"/>
    <w:rsid w:val="00E0708A"/>
    <w:rsid w:val="00E07560"/>
    <w:rsid w:val="00E07FB4"/>
    <w:rsid w:val="00E10308"/>
    <w:rsid w:val="00E10537"/>
    <w:rsid w:val="00E105AB"/>
    <w:rsid w:val="00E1099C"/>
    <w:rsid w:val="00E10A6E"/>
    <w:rsid w:val="00E10BDC"/>
    <w:rsid w:val="00E10D0B"/>
    <w:rsid w:val="00E1110F"/>
    <w:rsid w:val="00E114D7"/>
    <w:rsid w:val="00E1166A"/>
    <w:rsid w:val="00E11821"/>
    <w:rsid w:val="00E1193C"/>
    <w:rsid w:val="00E11B27"/>
    <w:rsid w:val="00E11E34"/>
    <w:rsid w:val="00E120E8"/>
    <w:rsid w:val="00E121FA"/>
    <w:rsid w:val="00E12D4B"/>
    <w:rsid w:val="00E12F62"/>
    <w:rsid w:val="00E13482"/>
    <w:rsid w:val="00E1366C"/>
    <w:rsid w:val="00E13854"/>
    <w:rsid w:val="00E13B52"/>
    <w:rsid w:val="00E13C6C"/>
    <w:rsid w:val="00E14811"/>
    <w:rsid w:val="00E14B8B"/>
    <w:rsid w:val="00E14C70"/>
    <w:rsid w:val="00E14D35"/>
    <w:rsid w:val="00E15046"/>
    <w:rsid w:val="00E15EC4"/>
    <w:rsid w:val="00E16372"/>
    <w:rsid w:val="00E16A3C"/>
    <w:rsid w:val="00E175AF"/>
    <w:rsid w:val="00E179A3"/>
    <w:rsid w:val="00E17A1B"/>
    <w:rsid w:val="00E17EF4"/>
    <w:rsid w:val="00E20851"/>
    <w:rsid w:val="00E208E1"/>
    <w:rsid w:val="00E2092D"/>
    <w:rsid w:val="00E20DA0"/>
    <w:rsid w:val="00E20E0A"/>
    <w:rsid w:val="00E212D1"/>
    <w:rsid w:val="00E21AED"/>
    <w:rsid w:val="00E21C47"/>
    <w:rsid w:val="00E21DB6"/>
    <w:rsid w:val="00E21F58"/>
    <w:rsid w:val="00E22047"/>
    <w:rsid w:val="00E224F7"/>
    <w:rsid w:val="00E22642"/>
    <w:rsid w:val="00E233AA"/>
    <w:rsid w:val="00E234A0"/>
    <w:rsid w:val="00E234DF"/>
    <w:rsid w:val="00E23A4E"/>
    <w:rsid w:val="00E23F3C"/>
    <w:rsid w:val="00E2474E"/>
    <w:rsid w:val="00E24CAE"/>
    <w:rsid w:val="00E24FC2"/>
    <w:rsid w:val="00E25616"/>
    <w:rsid w:val="00E256C9"/>
    <w:rsid w:val="00E25B24"/>
    <w:rsid w:val="00E2642D"/>
    <w:rsid w:val="00E264BC"/>
    <w:rsid w:val="00E2671F"/>
    <w:rsid w:val="00E26A06"/>
    <w:rsid w:val="00E26EED"/>
    <w:rsid w:val="00E27477"/>
    <w:rsid w:val="00E27A4D"/>
    <w:rsid w:val="00E27D55"/>
    <w:rsid w:val="00E30042"/>
    <w:rsid w:val="00E30190"/>
    <w:rsid w:val="00E30214"/>
    <w:rsid w:val="00E302EB"/>
    <w:rsid w:val="00E303E9"/>
    <w:rsid w:val="00E30556"/>
    <w:rsid w:val="00E30698"/>
    <w:rsid w:val="00E3123B"/>
    <w:rsid w:val="00E31B23"/>
    <w:rsid w:val="00E31BBA"/>
    <w:rsid w:val="00E32288"/>
    <w:rsid w:val="00E3229F"/>
    <w:rsid w:val="00E32376"/>
    <w:rsid w:val="00E325ED"/>
    <w:rsid w:val="00E32A4B"/>
    <w:rsid w:val="00E32B51"/>
    <w:rsid w:val="00E32CE5"/>
    <w:rsid w:val="00E32D5D"/>
    <w:rsid w:val="00E32FD6"/>
    <w:rsid w:val="00E3309E"/>
    <w:rsid w:val="00E3336A"/>
    <w:rsid w:val="00E333FA"/>
    <w:rsid w:val="00E335DD"/>
    <w:rsid w:val="00E33745"/>
    <w:rsid w:val="00E337AF"/>
    <w:rsid w:val="00E345C1"/>
    <w:rsid w:val="00E3474C"/>
    <w:rsid w:val="00E34850"/>
    <w:rsid w:val="00E34E9F"/>
    <w:rsid w:val="00E35162"/>
    <w:rsid w:val="00E35311"/>
    <w:rsid w:val="00E358A4"/>
    <w:rsid w:val="00E35CB0"/>
    <w:rsid w:val="00E35D05"/>
    <w:rsid w:val="00E35EDA"/>
    <w:rsid w:val="00E362E7"/>
    <w:rsid w:val="00E36317"/>
    <w:rsid w:val="00E36A6C"/>
    <w:rsid w:val="00E36A95"/>
    <w:rsid w:val="00E370B9"/>
    <w:rsid w:val="00E374E1"/>
    <w:rsid w:val="00E37621"/>
    <w:rsid w:val="00E37761"/>
    <w:rsid w:val="00E40068"/>
    <w:rsid w:val="00E4031A"/>
    <w:rsid w:val="00E405CF"/>
    <w:rsid w:val="00E405F1"/>
    <w:rsid w:val="00E4066F"/>
    <w:rsid w:val="00E408D6"/>
    <w:rsid w:val="00E411D4"/>
    <w:rsid w:val="00E414F9"/>
    <w:rsid w:val="00E4163B"/>
    <w:rsid w:val="00E418DA"/>
    <w:rsid w:val="00E41AC2"/>
    <w:rsid w:val="00E424F6"/>
    <w:rsid w:val="00E4325F"/>
    <w:rsid w:val="00E434C8"/>
    <w:rsid w:val="00E43954"/>
    <w:rsid w:val="00E43DC1"/>
    <w:rsid w:val="00E44348"/>
    <w:rsid w:val="00E445F5"/>
    <w:rsid w:val="00E44C65"/>
    <w:rsid w:val="00E44F65"/>
    <w:rsid w:val="00E45086"/>
    <w:rsid w:val="00E452EB"/>
    <w:rsid w:val="00E4582A"/>
    <w:rsid w:val="00E45B0B"/>
    <w:rsid w:val="00E45D5B"/>
    <w:rsid w:val="00E46167"/>
    <w:rsid w:val="00E4646A"/>
    <w:rsid w:val="00E46476"/>
    <w:rsid w:val="00E46594"/>
    <w:rsid w:val="00E46744"/>
    <w:rsid w:val="00E467D0"/>
    <w:rsid w:val="00E469EA"/>
    <w:rsid w:val="00E46A79"/>
    <w:rsid w:val="00E47323"/>
    <w:rsid w:val="00E47668"/>
    <w:rsid w:val="00E47D0A"/>
    <w:rsid w:val="00E47F6A"/>
    <w:rsid w:val="00E5073B"/>
    <w:rsid w:val="00E50831"/>
    <w:rsid w:val="00E51011"/>
    <w:rsid w:val="00E512A9"/>
    <w:rsid w:val="00E51381"/>
    <w:rsid w:val="00E51398"/>
    <w:rsid w:val="00E51B4B"/>
    <w:rsid w:val="00E51EF0"/>
    <w:rsid w:val="00E5229C"/>
    <w:rsid w:val="00E5238F"/>
    <w:rsid w:val="00E524A5"/>
    <w:rsid w:val="00E527D3"/>
    <w:rsid w:val="00E52834"/>
    <w:rsid w:val="00E5289E"/>
    <w:rsid w:val="00E52984"/>
    <w:rsid w:val="00E543F9"/>
    <w:rsid w:val="00E5441D"/>
    <w:rsid w:val="00E544A8"/>
    <w:rsid w:val="00E54925"/>
    <w:rsid w:val="00E54A02"/>
    <w:rsid w:val="00E54AF1"/>
    <w:rsid w:val="00E54D9C"/>
    <w:rsid w:val="00E54F0F"/>
    <w:rsid w:val="00E55149"/>
    <w:rsid w:val="00E558E2"/>
    <w:rsid w:val="00E559FF"/>
    <w:rsid w:val="00E55A3E"/>
    <w:rsid w:val="00E564D0"/>
    <w:rsid w:val="00E564D2"/>
    <w:rsid w:val="00E56905"/>
    <w:rsid w:val="00E56B60"/>
    <w:rsid w:val="00E57463"/>
    <w:rsid w:val="00E57585"/>
    <w:rsid w:val="00E579FD"/>
    <w:rsid w:val="00E57C10"/>
    <w:rsid w:val="00E57EA2"/>
    <w:rsid w:val="00E57EA9"/>
    <w:rsid w:val="00E601F0"/>
    <w:rsid w:val="00E607F3"/>
    <w:rsid w:val="00E60BBC"/>
    <w:rsid w:val="00E61739"/>
    <w:rsid w:val="00E61784"/>
    <w:rsid w:val="00E61C6C"/>
    <w:rsid w:val="00E61D69"/>
    <w:rsid w:val="00E61E33"/>
    <w:rsid w:val="00E61F88"/>
    <w:rsid w:val="00E62242"/>
    <w:rsid w:val="00E63313"/>
    <w:rsid w:val="00E63596"/>
    <w:rsid w:val="00E6378A"/>
    <w:rsid w:val="00E637A4"/>
    <w:rsid w:val="00E638B4"/>
    <w:rsid w:val="00E63BAC"/>
    <w:rsid w:val="00E63BF6"/>
    <w:rsid w:val="00E641D8"/>
    <w:rsid w:val="00E649B8"/>
    <w:rsid w:val="00E65426"/>
    <w:rsid w:val="00E66854"/>
    <w:rsid w:val="00E66C48"/>
    <w:rsid w:val="00E673D3"/>
    <w:rsid w:val="00E67456"/>
    <w:rsid w:val="00E703E4"/>
    <w:rsid w:val="00E707E4"/>
    <w:rsid w:val="00E709A6"/>
    <w:rsid w:val="00E70D07"/>
    <w:rsid w:val="00E70D1D"/>
    <w:rsid w:val="00E7128C"/>
    <w:rsid w:val="00E71390"/>
    <w:rsid w:val="00E713BC"/>
    <w:rsid w:val="00E7187B"/>
    <w:rsid w:val="00E71D9E"/>
    <w:rsid w:val="00E722E9"/>
    <w:rsid w:val="00E7232B"/>
    <w:rsid w:val="00E726E0"/>
    <w:rsid w:val="00E72B68"/>
    <w:rsid w:val="00E72B8B"/>
    <w:rsid w:val="00E72C8A"/>
    <w:rsid w:val="00E734E9"/>
    <w:rsid w:val="00E73B5D"/>
    <w:rsid w:val="00E73B83"/>
    <w:rsid w:val="00E747C3"/>
    <w:rsid w:val="00E74C84"/>
    <w:rsid w:val="00E74F7C"/>
    <w:rsid w:val="00E75617"/>
    <w:rsid w:val="00E75745"/>
    <w:rsid w:val="00E759B4"/>
    <w:rsid w:val="00E75B96"/>
    <w:rsid w:val="00E75E10"/>
    <w:rsid w:val="00E76026"/>
    <w:rsid w:val="00E763F6"/>
    <w:rsid w:val="00E76FB3"/>
    <w:rsid w:val="00E776E4"/>
    <w:rsid w:val="00E77896"/>
    <w:rsid w:val="00E77C27"/>
    <w:rsid w:val="00E77CD3"/>
    <w:rsid w:val="00E77D1C"/>
    <w:rsid w:val="00E80075"/>
    <w:rsid w:val="00E803DB"/>
    <w:rsid w:val="00E80858"/>
    <w:rsid w:val="00E809E5"/>
    <w:rsid w:val="00E80A25"/>
    <w:rsid w:val="00E81099"/>
    <w:rsid w:val="00E812F4"/>
    <w:rsid w:val="00E81FEF"/>
    <w:rsid w:val="00E8220E"/>
    <w:rsid w:val="00E82258"/>
    <w:rsid w:val="00E8254D"/>
    <w:rsid w:val="00E8284F"/>
    <w:rsid w:val="00E83430"/>
    <w:rsid w:val="00E83555"/>
    <w:rsid w:val="00E838B9"/>
    <w:rsid w:val="00E84079"/>
    <w:rsid w:val="00E8444C"/>
    <w:rsid w:val="00E8450A"/>
    <w:rsid w:val="00E8456A"/>
    <w:rsid w:val="00E84665"/>
    <w:rsid w:val="00E846AC"/>
    <w:rsid w:val="00E8472C"/>
    <w:rsid w:val="00E84824"/>
    <w:rsid w:val="00E84C85"/>
    <w:rsid w:val="00E84CB2"/>
    <w:rsid w:val="00E84DF8"/>
    <w:rsid w:val="00E84E7B"/>
    <w:rsid w:val="00E85128"/>
    <w:rsid w:val="00E85344"/>
    <w:rsid w:val="00E85777"/>
    <w:rsid w:val="00E85A77"/>
    <w:rsid w:val="00E85D56"/>
    <w:rsid w:val="00E85F83"/>
    <w:rsid w:val="00E867C0"/>
    <w:rsid w:val="00E86A54"/>
    <w:rsid w:val="00E86AD2"/>
    <w:rsid w:val="00E86D08"/>
    <w:rsid w:val="00E87680"/>
    <w:rsid w:val="00E87793"/>
    <w:rsid w:val="00E8782D"/>
    <w:rsid w:val="00E87936"/>
    <w:rsid w:val="00E87C63"/>
    <w:rsid w:val="00E9042B"/>
    <w:rsid w:val="00E90B3A"/>
    <w:rsid w:val="00E90BA2"/>
    <w:rsid w:val="00E9105A"/>
    <w:rsid w:val="00E9135D"/>
    <w:rsid w:val="00E91364"/>
    <w:rsid w:val="00E91583"/>
    <w:rsid w:val="00E91E8E"/>
    <w:rsid w:val="00E91FB4"/>
    <w:rsid w:val="00E9211B"/>
    <w:rsid w:val="00E92521"/>
    <w:rsid w:val="00E92609"/>
    <w:rsid w:val="00E9274A"/>
    <w:rsid w:val="00E92BC1"/>
    <w:rsid w:val="00E92CC5"/>
    <w:rsid w:val="00E93091"/>
    <w:rsid w:val="00E93101"/>
    <w:rsid w:val="00E93187"/>
    <w:rsid w:val="00E93239"/>
    <w:rsid w:val="00E936F9"/>
    <w:rsid w:val="00E94205"/>
    <w:rsid w:val="00E9460F"/>
    <w:rsid w:val="00E9469B"/>
    <w:rsid w:val="00E94825"/>
    <w:rsid w:val="00E94AC3"/>
    <w:rsid w:val="00E94BFB"/>
    <w:rsid w:val="00E94E7D"/>
    <w:rsid w:val="00E950C1"/>
    <w:rsid w:val="00E958D5"/>
    <w:rsid w:val="00E95B15"/>
    <w:rsid w:val="00E95B85"/>
    <w:rsid w:val="00E96215"/>
    <w:rsid w:val="00E9672A"/>
    <w:rsid w:val="00E9679F"/>
    <w:rsid w:val="00E9686E"/>
    <w:rsid w:val="00E96E5C"/>
    <w:rsid w:val="00E96E6C"/>
    <w:rsid w:val="00E97372"/>
    <w:rsid w:val="00E97BE4"/>
    <w:rsid w:val="00E97E25"/>
    <w:rsid w:val="00EA182F"/>
    <w:rsid w:val="00EA1ADD"/>
    <w:rsid w:val="00EA1BFA"/>
    <w:rsid w:val="00EA2063"/>
    <w:rsid w:val="00EA2376"/>
    <w:rsid w:val="00EA2466"/>
    <w:rsid w:val="00EA2828"/>
    <w:rsid w:val="00EA2903"/>
    <w:rsid w:val="00EA2CE6"/>
    <w:rsid w:val="00EA3308"/>
    <w:rsid w:val="00EA34A3"/>
    <w:rsid w:val="00EA3733"/>
    <w:rsid w:val="00EA3FDA"/>
    <w:rsid w:val="00EA4007"/>
    <w:rsid w:val="00EA4F8E"/>
    <w:rsid w:val="00EA5139"/>
    <w:rsid w:val="00EA555D"/>
    <w:rsid w:val="00EA5BF6"/>
    <w:rsid w:val="00EA6232"/>
    <w:rsid w:val="00EA6E65"/>
    <w:rsid w:val="00EA7145"/>
    <w:rsid w:val="00EA7237"/>
    <w:rsid w:val="00EA781C"/>
    <w:rsid w:val="00EA7DAF"/>
    <w:rsid w:val="00EB03B2"/>
    <w:rsid w:val="00EB0B10"/>
    <w:rsid w:val="00EB0DDF"/>
    <w:rsid w:val="00EB0E2D"/>
    <w:rsid w:val="00EB110D"/>
    <w:rsid w:val="00EB147F"/>
    <w:rsid w:val="00EB1668"/>
    <w:rsid w:val="00EB1685"/>
    <w:rsid w:val="00EB17DE"/>
    <w:rsid w:val="00EB1EA2"/>
    <w:rsid w:val="00EB2201"/>
    <w:rsid w:val="00EB2855"/>
    <w:rsid w:val="00EB2D90"/>
    <w:rsid w:val="00EB2EF7"/>
    <w:rsid w:val="00EB3110"/>
    <w:rsid w:val="00EB312B"/>
    <w:rsid w:val="00EB33CC"/>
    <w:rsid w:val="00EB350D"/>
    <w:rsid w:val="00EB371A"/>
    <w:rsid w:val="00EB380A"/>
    <w:rsid w:val="00EB384B"/>
    <w:rsid w:val="00EB3A4C"/>
    <w:rsid w:val="00EB3C30"/>
    <w:rsid w:val="00EB402B"/>
    <w:rsid w:val="00EB47DA"/>
    <w:rsid w:val="00EB481E"/>
    <w:rsid w:val="00EB501D"/>
    <w:rsid w:val="00EB5060"/>
    <w:rsid w:val="00EB5805"/>
    <w:rsid w:val="00EB5DFF"/>
    <w:rsid w:val="00EB64A2"/>
    <w:rsid w:val="00EB6A52"/>
    <w:rsid w:val="00EB6BFC"/>
    <w:rsid w:val="00EB6C85"/>
    <w:rsid w:val="00EB6FB7"/>
    <w:rsid w:val="00EB743D"/>
    <w:rsid w:val="00EB7854"/>
    <w:rsid w:val="00EB78B8"/>
    <w:rsid w:val="00EB7A69"/>
    <w:rsid w:val="00EB7E0F"/>
    <w:rsid w:val="00EC017E"/>
    <w:rsid w:val="00EC01D5"/>
    <w:rsid w:val="00EC032C"/>
    <w:rsid w:val="00EC07DA"/>
    <w:rsid w:val="00EC0BF8"/>
    <w:rsid w:val="00EC0D47"/>
    <w:rsid w:val="00EC0F18"/>
    <w:rsid w:val="00EC140B"/>
    <w:rsid w:val="00EC1E5C"/>
    <w:rsid w:val="00EC1F8A"/>
    <w:rsid w:val="00EC2641"/>
    <w:rsid w:val="00EC2700"/>
    <w:rsid w:val="00EC2B7E"/>
    <w:rsid w:val="00EC2F27"/>
    <w:rsid w:val="00EC2FC9"/>
    <w:rsid w:val="00EC300B"/>
    <w:rsid w:val="00EC3464"/>
    <w:rsid w:val="00EC3CFA"/>
    <w:rsid w:val="00EC4EF6"/>
    <w:rsid w:val="00EC51E3"/>
    <w:rsid w:val="00EC57CA"/>
    <w:rsid w:val="00EC5961"/>
    <w:rsid w:val="00EC5BDB"/>
    <w:rsid w:val="00EC70B3"/>
    <w:rsid w:val="00EC71D0"/>
    <w:rsid w:val="00EC73C4"/>
    <w:rsid w:val="00EC73D2"/>
    <w:rsid w:val="00EC7A24"/>
    <w:rsid w:val="00EC7D70"/>
    <w:rsid w:val="00ED0292"/>
    <w:rsid w:val="00ED0837"/>
    <w:rsid w:val="00ED0BC3"/>
    <w:rsid w:val="00ED1208"/>
    <w:rsid w:val="00ED122A"/>
    <w:rsid w:val="00ED160F"/>
    <w:rsid w:val="00ED164A"/>
    <w:rsid w:val="00ED19C4"/>
    <w:rsid w:val="00ED1AB5"/>
    <w:rsid w:val="00ED2274"/>
    <w:rsid w:val="00ED22CF"/>
    <w:rsid w:val="00ED22EB"/>
    <w:rsid w:val="00ED234E"/>
    <w:rsid w:val="00ED235B"/>
    <w:rsid w:val="00ED2388"/>
    <w:rsid w:val="00ED26DE"/>
    <w:rsid w:val="00ED3250"/>
    <w:rsid w:val="00ED335E"/>
    <w:rsid w:val="00ED39C4"/>
    <w:rsid w:val="00ED3BBB"/>
    <w:rsid w:val="00ED3C56"/>
    <w:rsid w:val="00ED4070"/>
    <w:rsid w:val="00ED461A"/>
    <w:rsid w:val="00ED49DA"/>
    <w:rsid w:val="00ED4C84"/>
    <w:rsid w:val="00ED557C"/>
    <w:rsid w:val="00ED5879"/>
    <w:rsid w:val="00ED59EA"/>
    <w:rsid w:val="00ED6214"/>
    <w:rsid w:val="00ED6268"/>
    <w:rsid w:val="00ED630B"/>
    <w:rsid w:val="00ED64F5"/>
    <w:rsid w:val="00ED6BF2"/>
    <w:rsid w:val="00ED6E8C"/>
    <w:rsid w:val="00ED70AF"/>
    <w:rsid w:val="00ED780E"/>
    <w:rsid w:val="00ED7A73"/>
    <w:rsid w:val="00ED7A7A"/>
    <w:rsid w:val="00ED7BE0"/>
    <w:rsid w:val="00ED7E16"/>
    <w:rsid w:val="00EE033D"/>
    <w:rsid w:val="00EE0ED7"/>
    <w:rsid w:val="00EE143C"/>
    <w:rsid w:val="00EE1967"/>
    <w:rsid w:val="00EE1A28"/>
    <w:rsid w:val="00EE1A2A"/>
    <w:rsid w:val="00EE1BBB"/>
    <w:rsid w:val="00EE21C3"/>
    <w:rsid w:val="00EE220A"/>
    <w:rsid w:val="00EE260B"/>
    <w:rsid w:val="00EE2786"/>
    <w:rsid w:val="00EE2B1B"/>
    <w:rsid w:val="00EE2BB5"/>
    <w:rsid w:val="00EE3466"/>
    <w:rsid w:val="00EE3769"/>
    <w:rsid w:val="00EE3773"/>
    <w:rsid w:val="00EE4127"/>
    <w:rsid w:val="00EE43C0"/>
    <w:rsid w:val="00EE4A16"/>
    <w:rsid w:val="00EE4EAD"/>
    <w:rsid w:val="00EE5226"/>
    <w:rsid w:val="00EE60D4"/>
    <w:rsid w:val="00EE6210"/>
    <w:rsid w:val="00EE6A15"/>
    <w:rsid w:val="00EE6B75"/>
    <w:rsid w:val="00EE6EA2"/>
    <w:rsid w:val="00EE6EBB"/>
    <w:rsid w:val="00EE6F46"/>
    <w:rsid w:val="00EE7DC5"/>
    <w:rsid w:val="00EF0BF7"/>
    <w:rsid w:val="00EF0EA6"/>
    <w:rsid w:val="00EF1531"/>
    <w:rsid w:val="00EF16EF"/>
    <w:rsid w:val="00EF1A8E"/>
    <w:rsid w:val="00EF1E90"/>
    <w:rsid w:val="00EF2A29"/>
    <w:rsid w:val="00EF2B71"/>
    <w:rsid w:val="00EF312E"/>
    <w:rsid w:val="00EF3136"/>
    <w:rsid w:val="00EF32BF"/>
    <w:rsid w:val="00EF3C0B"/>
    <w:rsid w:val="00EF3D41"/>
    <w:rsid w:val="00EF3EC6"/>
    <w:rsid w:val="00EF3FEA"/>
    <w:rsid w:val="00EF454B"/>
    <w:rsid w:val="00EF4E98"/>
    <w:rsid w:val="00EF5010"/>
    <w:rsid w:val="00EF50F0"/>
    <w:rsid w:val="00EF51A8"/>
    <w:rsid w:val="00EF52CB"/>
    <w:rsid w:val="00EF5C5D"/>
    <w:rsid w:val="00EF668D"/>
    <w:rsid w:val="00EF7955"/>
    <w:rsid w:val="00EF7B73"/>
    <w:rsid w:val="00EF7D5E"/>
    <w:rsid w:val="00EF7FF4"/>
    <w:rsid w:val="00F0003C"/>
    <w:rsid w:val="00F0030E"/>
    <w:rsid w:val="00F006A4"/>
    <w:rsid w:val="00F00A44"/>
    <w:rsid w:val="00F00B9C"/>
    <w:rsid w:val="00F00DA7"/>
    <w:rsid w:val="00F021B9"/>
    <w:rsid w:val="00F022BF"/>
    <w:rsid w:val="00F02AE3"/>
    <w:rsid w:val="00F02CC3"/>
    <w:rsid w:val="00F02F67"/>
    <w:rsid w:val="00F02FED"/>
    <w:rsid w:val="00F03060"/>
    <w:rsid w:val="00F031C2"/>
    <w:rsid w:val="00F03214"/>
    <w:rsid w:val="00F03314"/>
    <w:rsid w:val="00F033F1"/>
    <w:rsid w:val="00F034A1"/>
    <w:rsid w:val="00F03670"/>
    <w:rsid w:val="00F03B3C"/>
    <w:rsid w:val="00F0406A"/>
    <w:rsid w:val="00F04137"/>
    <w:rsid w:val="00F04C76"/>
    <w:rsid w:val="00F04CCD"/>
    <w:rsid w:val="00F04DCA"/>
    <w:rsid w:val="00F04E67"/>
    <w:rsid w:val="00F057B2"/>
    <w:rsid w:val="00F057C5"/>
    <w:rsid w:val="00F05C93"/>
    <w:rsid w:val="00F05D3F"/>
    <w:rsid w:val="00F06925"/>
    <w:rsid w:val="00F06F0D"/>
    <w:rsid w:val="00F07035"/>
    <w:rsid w:val="00F076E6"/>
    <w:rsid w:val="00F07BEC"/>
    <w:rsid w:val="00F07F90"/>
    <w:rsid w:val="00F10054"/>
    <w:rsid w:val="00F10769"/>
    <w:rsid w:val="00F10B7A"/>
    <w:rsid w:val="00F10CFC"/>
    <w:rsid w:val="00F10DD8"/>
    <w:rsid w:val="00F10DDB"/>
    <w:rsid w:val="00F113C7"/>
    <w:rsid w:val="00F11452"/>
    <w:rsid w:val="00F12183"/>
    <w:rsid w:val="00F1269D"/>
    <w:rsid w:val="00F12E9F"/>
    <w:rsid w:val="00F12FD9"/>
    <w:rsid w:val="00F132D3"/>
    <w:rsid w:val="00F137CC"/>
    <w:rsid w:val="00F13B36"/>
    <w:rsid w:val="00F14219"/>
    <w:rsid w:val="00F144F1"/>
    <w:rsid w:val="00F1460E"/>
    <w:rsid w:val="00F146C5"/>
    <w:rsid w:val="00F14A50"/>
    <w:rsid w:val="00F14A7D"/>
    <w:rsid w:val="00F14A80"/>
    <w:rsid w:val="00F15296"/>
    <w:rsid w:val="00F15603"/>
    <w:rsid w:val="00F156C7"/>
    <w:rsid w:val="00F15E3D"/>
    <w:rsid w:val="00F16FE9"/>
    <w:rsid w:val="00F1705D"/>
    <w:rsid w:val="00F1709B"/>
    <w:rsid w:val="00F172B0"/>
    <w:rsid w:val="00F17868"/>
    <w:rsid w:val="00F17C81"/>
    <w:rsid w:val="00F17D92"/>
    <w:rsid w:val="00F2003E"/>
    <w:rsid w:val="00F20B46"/>
    <w:rsid w:val="00F21804"/>
    <w:rsid w:val="00F22377"/>
    <w:rsid w:val="00F224FA"/>
    <w:rsid w:val="00F22507"/>
    <w:rsid w:val="00F225DA"/>
    <w:rsid w:val="00F22C46"/>
    <w:rsid w:val="00F234CF"/>
    <w:rsid w:val="00F23629"/>
    <w:rsid w:val="00F23AE3"/>
    <w:rsid w:val="00F23DDB"/>
    <w:rsid w:val="00F23EFA"/>
    <w:rsid w:val="00F23F3B"/>
    <w:rsid w:val="00F23FC4"/>
    <w:rsid w:val="00F24257"/>
    <w:rsid w:val="00F24288"/>
    <w:rsid w:val="00F243E5"/>
    <w:rsid w:val="00F24C0C"/>
    <w:rsid w:val="00F25987"/>
    <w:rsid w:val="00F25E96"/>
    <w:rsid w:val="00F26A7E"/>
    <w:rsid w:val="00F26B40"/>
    <w:rsid w:val="00F2702B"/>
    <w:rsid w:val="00F272B8"/>
    <w:rsid w:val="00F2743A"/>
    <w:rsid w:val="00F27B19"/>
    <w:rsid w:val="00F30D82"/>
    <w:rsid w:val="00F312D5"/>
    <w:rsid w:val="00F312DA"/>
    <w:rsid w:val="00F31341"/>
    <w:rsid w:val="00F3147A"/>
    <w:rsid w:val="00F314D8"/>
    <w:rsid w:val="00F315EF"/>
    <w:rsid w:val="00F317A6"/>
    <w:rsid w:val="00F31ECF"/>
    <w:rsid w:val="00F323A3"/>
    <w:rsid w:val="00F324F7"/>
    <w:rsid w:val="00F325ED"/>
    <w:rsid w:val="00F32628"/>
    <w:rsid w:val="00F32BF3"/>
    <w:rsid w:val="00F32DE5"/>
    <w:rsid w:val="00F32F7D"/>
    <w:rsid w:val="00F33141"/>
    <w:rsid w:val="00F331C4"/>
    <w:rsid w:val="00F332FB"/>
    <w:rsid w:val="00F33393"/>
    <w:rsid w:val="00F336E2"/>
    <w:rsid w:val="00F33B7E"/>
    <w:rsid w:val="00F344C6"/>
    <w:rsid w:val="00F345C0"/>
    <w:rsid w:val="00F3466B"/>
    <w:rsid w:val="00F34B10"/>
    <w:rsid w:val="00F34C4A"/>
    <w:rsid w:val="00F34DB6"/>
    <w:rsid w:val="00F35101"/>
    <w:rsid w:val="00F352B8"/>
    <w:rsid w:val="00F353A2"/>
    <w:rsid w:val="00F35631"/>
    <w:rsid w:val="00F35CD1"/>
    <w:rsid w:val="00F35E0E"/>
    <w:rsid w:val="00F365BC"/>
    <w:rsid w:val="00F36699"/>
    <w:rsid w:val="00F367A1"/>
    <w:rsid w:val="00F3682C"/>
    <w:rsid w:val="00F36D63"/>
    <w:rsid w:val="00F3711A"/>
    <w:rsid w:val="00F3716E"/>
    <w:rsid w:val="00F37211"/>
    <w:rsid w:val="00F37C56"/>
    <w:rsid w:val="00F37CA4"/>
    <w:rsid w:val="00F37E1A"/>
    <w:rsid w:val="00F37E7F"/>
    <w:rsid w:val="00F37E94"/>
    <w:rsid w:val="00F37F5B"/>
    <w:rsid w:val="00F40252"/>
    <w:rsid w:val="00F40413"/>
    <w:rsid w:val="00F407EA"/>
    <w:rsid w:val="00F40A65"/>
    <w:rsid w:val="00F40BF6"/>
    <w:rsid w:val="00F412E7"/>
    <w:rsid w:val="00F413C3"/>
    <w:rsid w:val="00F41833"/>
    <w:rsid w:val="00F41AF8"/>
    <w:rsid w:val="00F41B47"/>
    <w:rsid w:val="00F41D60"/>
    <w:rsid w:val="00F42754"/>
    <w:rsid w:val="00F42D98"/>
    <w:rsid w:val="00F438CE"/>
    <w:rsid w:val="00F43960"/>
    <w:rsid w:val="00F446C1"/>
    <w:rsid w:val="00F44A46"/>
    <w:rsid w:val="00F44B2D"/>
    <w:rsid w:val="00F44BA8"/>
    <w:rsid w:val="00F44CCB"/>
    <w:rsid w:val="00F44D1F"/>
    <w:rsid w:val="00F45091"/>
    <w:rsid w:val="00F45A4B"/>
    <w:rsid w:val="00F45CD6"/>
    <w:rsid w:val="00F46070"/>
    <w:rsid w:val="00F461F3"/>
    <w:rsid w:val="00F4680B"/>
    <w:rsid w:val="00F468AC"/>
    <w:rsid w:val="00F46B46"/>
    <w:rsid w:val="00F46B68"/>
    <w:rsid w:val="00F46D8B"/>
    <w:rsid w:val="00F46E63"/>
    <w:rsid w:val="00F47183"/>
    <w:rsid w:val="00F4772F"/>
    <w:rsid w:val="00F508B1"/>
    <w:rsid w:val="00F50CF6"/>
    <w:rsid w:val="00F50E06"/>
    <w:rsid w:val="00F5119B"/>
    <w:rsid w:val="00F513C1"/>
    <w:rsid w:val="00F517D7"/>
    <w:rsid w:val="00F52174"/>
    <w:rsid w:val="00F52194"/>
    <w:rsid w:val="00F523C0"/>
    <w:rsid w:val="00F529CD"/>
    <w:rsid w:val="00F52F63"/>
    <w:rsid w:val="00F53D02"/>
    <w:rsid w:val="00F53F67"/>
    <w:rsid w:val="00F54352"/>
    <w:rsid w:val="00F54551"/>
    <w:rsid w:val="00F546A8"/>
    <w:rsid w:val="00F547E4"/>
    <w:rsid w:val="00F555B2"/>
    <w:rsid w:val="00F55702"/>
    <w:rsid w:val="00F55D8A"/>
    <w:rsid w:val="00F55E5B"/>
    <w:rsid w:val="00F5608C"/>
    <w:rsid w:val="00F56AB4"/>
    <w:rsid w:val="00F56C06"/>
    <w:rsid w:val="00F56C8E"/>
    <w:rsid w:val="00F57239"/>
    <w:rsid w:val="00F5737D"/>
    <w:rsid w:val="00F576C9"/>
    <w:rsid w:val="00F57794"/>
    <w:rsid w:val="00F578E1"/>
    <w:rsid w:val="00F57C34"/>
    <w:rsid w:val="00F57C72"/>
    <w:rsid w:val="00F57E4D"/>
    <w:rsid w:val="00F60105"/>
    <w:rsid w:val="00F60235"/>
    <w:rsid w:val="00F602CB"/>
    <w:rsid w:val="00F608A7"/>
    <w:rsid w:val="00F608C0"/>
    <w:rsid w:val="00F60B3E"/>
    <w:rsid w:val="00F60B61"/>
    <w:rsid w:val="00F61375"/>
    <w:rsid w:val="00F618C2"/>
    <w:rsid w:val="00F61CD6"/>
    <w:rsid w:val="00F61E9A"/>
    <w:rsid w:val="00F62799"/>
    <w:rsid w:val="00F62E01"/>
    <w:rsid w:val="00F6353F"/>
    <w:rsid w:val="00F636D0"/>
    <w:rsid w:val="00F645D2"/>
    <w:rsid w:val="00F64643"/>
    <w:rsid w:val="00F64945"/>
    <w:rsid w:val="00F64ABB"/>
    <w:rsid w:val="00F64B43"/>
    <w:rsid w:val="00F64EDF"/>
    <w:rsid w:val="00F6539D"/>
    <w:rsid w:val="00F65B01"/>
    <w:rsid w:val="00F65C51"/>
    <w:rsid w:val="00F65E64"/>
    <w:rsid w:val="00F660B4"/>
    <w:rsid w:val="00F661DE"/>
    <w:rsid w:val="00F664ED"/>
    <w:rsid w:val="00F667B4"/>
    <w:rsid w:val="00F66FE0"/>
    <w:rsid w:val="00F6758F"/>
    <w:rsid w:val="00F67AB7"/>
    <w:rsid w:val="00F67BF9"/>
    <w:rsid w:val="00F67CDE"/>
    <w:rsid w:val="00F67D95"/>
    <w:rsid w:val="00F7034D"/>
    <w:rsid w:val="00F706BE"/>
    <w:rsid w:val="00F70B45"/>
    <w:rsid w:val="00F7118D"/>
    <w:rsid w:val="00F71625"/>
    <w:rsid w:val="00F7234C"/>
    <w:rsid w:val="00F72A4E"/>
    <w:rsid w:val="00F72BFF"/>
    <w:rsid w:val="00F72EE9"/>
    <w:rsid w:val="00F72F46"/>
    <w:rsid w:val="00F72F5C"/>
    <w:rsid w:val="00F72F6A"/>
    <w:rsid w:val="00F7445E"/>
    <w:rsid w:val="00F74BDF"/>
    <w:rsid w:val="00F7537B"/>
    <w:rsid w:val="00F753A7"/>
    <w:rsid w:val="00F754E6"/>
    <w:rsid w:val="00F75795"/>
    <w:rsid w:val="00F75A00"/>
    <w:rsid w:val="00F75FD9"/>
    <w:rsid w:val="00F7641C"/>
    <w:rsid w:val="00F76B01"/>
    <w:rsid w:val="00F77509"/>
    <w:rsid w:val="00F7756E"/>
    <w:rsid w:val="00F7765E"/>
    <w:rsid w:val="00F77840"/>
    <w:rsid w:val="00F77962"/>
    <w:rsid w:val="00F77A3C"/>
    <w:rsid w:val="00F80060"/>
    <w:rsid w:val="00F80756"/>
    <w:rsid w:val="00F80AA0"/>
    <w:rsid w:val="00F80BC8"/>
    <w:rsid w:val="00F8115A"/>
    <w:rsid w:val="00F812D2"/>
    <w:rsid w:val="00F81308"/>
    <w:rsid w:val="00F8151F"/>
    <w:rsid w:val="00F8165B"/>
    <w:rsid w:val="00F81A88"/>
    <w:rsid w:val="00F81BB9"/>
    <w:rsid w:val="00F82053"/>
    <w:rsid w:val="00F821E8"/>
    <w:rsid w:val="00F82510"/>
    <w:rsid w:val="00F82A49"/>
    <w:rsid w:val="00F82ABC"/>
    <w:rsid w:val="00F8307C"/>
    <w:rsid w:val="00F8336D"/>
    <w:rsid w:val="00F8393D"/>
    <w:rsid w:val="00F840A7"/>
    <w:rsid w:val="00F8442B"/>
    <w:rsid w:val="00F84B2E"/>
    <w:rsid w:val="00F853FA"/>
    <w:rsid w:val="00F85401"/>
    <w:rsid w:val="00F85562"/>
    <w:rsid w:val="00F8578A"/>
    <w:rsid w:val="00F85938"/>
    <w:rsid w:val="00F85BE2"/>
    <w:rsid w:val="00F85BF2"/>
    <w:rsid w:val="00F86075"/>
    <w:rsid w:val="00F861E7"/>
    <w:rsid w:val="00F862A9"/>
    <w:rsid w:val="00F86B08"/>
    <w:rsid w:val="00F8741F"/>
    <w:rsid w:val="00F877FF"/>
    <w:rsid w:val="00F87D30"/>
    <w:rsid w:val="00F87D4A"/>
    <w:rsid w:val="00F903C0"/>
    <w:rsid w:val="00F90673"/>
    <w:rsid w:val="00F909FD"/>
    <w:rsid w:val="00F91020"/>
    <w:rsid w:val="00F914EA"/>
    <w:rsid w:val="00F91773"/>
    <w:rsid w:val="00F91DBF"/>
    <w:rsid w:val="00F91DDA"/>
    <w:rsid w:val="00F9200A"/>
    <w:rsid w:val="00F923E1"/>
    <w:rsid w:val="00F92415"/>
    <w:rsid w:val="00F925EC"/>
    <w:rsid w:val="00F92AB3"/>
    <w:rsid w:val="00F92DA6"/>
    <w:rsid w:val="00F933D5"/>
    <w:rsid w:val="00F937FC"/>
    <w:rsid w:val="00F93B1C"/>
    <w:rsid w:val="00F93F2A"/>
    <w:rsid w:val="00F9404E"/>
    <w:rsid w:val="00F94424"/>
    <w:rsid w:val="00F94614"/>
    <w:rsid w:val="00F9467D"/>
    <w:rsid w:val="00F95070"/>
    <w:rsid w:val="00F95460"/>
    <w:rsid w:val="00F95584"/>
    <w:rsid w:val="00F9574B"/>
    <w:rsid w:val="00F9580E"/>
    <w:rsid w:val="00F95CF2"/>
    <w:rsid w:val="00F9605E"/>
    <w:rsid w:val="00F967A3"/>
    <w:rsid w:val="00F96884"/>
    <w:rsid w:val="00F9696F"/>
    <w:rsid w:val="00F96A65"/>
    <w:rsid w:val="00F96ACC"/>
    <w:rsid w:val="00F9708B"/>
    <w:rsid w:val="00F970D3"/>
    <w:rsid w:val="00F972A4"/>
    <w:rsid w:val="00F972DA"/>
    <w:rsid w:val="00F978A8"/>
    <w:rsid w:val="00F97BD3"/>
    <w:rsid w:val="00F97C36"/>
    <w:rsid w:val="00F97C76"/>
    <w:rsid w:val="00F97D94"/>
    <w:rsid w:val="00FA0356"/>
    <w:rsid w:val="00FA0535"/>
    <w:rsid w:val="00FA08AB"/>
    <w:rsid w:val="00FA0FFE"/>
    <w:rsid w:val="00FA1195"/>
    <w:rsid w:val="00FA11DF"/>
    <w:rsid w:val="00FA188F"/>
    <w:rsid w:val="00FA19A5"/>
    <w:rsid w:val="00FA1DCE"/>
    <w:rsid w:val="00FA25AE"/>
    <w:rsid w:val="00FA29F0"/>
    <w:rsid w:val="00FA2A2C"/>
    <w:rsid w:val="00FA2EE4"/>
    <w:rsid w:val="00FA33AD"/>
    <w:rsid w:val="00FA3A50"/>
    <w:rsid w:val="00FA3A82"/>
    <w:rsid w:val="00FA3D44"/>
    <w:rsid w:val="00FA3DF3"/>
    <w:rsid w:val="00FA4692"/>
    <w:rsid w:val="00FA59A8"/>
    <w:rsid w:val="00FA5C1A"/>
    <w:rsid w:val="00FA5E79"/>
    <w:rsid w:val="00FA5F73"/>
    <w:rsid w:val="00FA6466"/>
    <w:rsid w:val="00FA6C8E"/>
    <w:rsid w:val="00FA72FC"/>
    <w:rsid w:val="00FA7394"/>
    <w:rsid w:val="00FA74C0"/>
    <w:rsid w:val="00FA7F2B"/>
    <w:rsid w:val="00FB07D8"/>
    <w:rsid w:val="00FB0B29"/>
    <w:rsid w:val="00FB0F8D"/>
    <w:rsid w:val="00FB14D3"/>
    <w:rsid w:val="00FB1DC7"/>
    <w:rsid w:val="00FB1E77"/>
    <w:rsid w:val="00FB1F23"/>
    <w:rsid w:val="00FB287D"/>
    <w:rsid w:val="00FB2CD0"/>
    <w:rsid w:val="00FB3352"/>
    <w:rsid w:val="00FB366D"/>
    <w:rsid w:val="00FB39E3"/>
    <w:rsid w:val="00FB4265"/>
    <w:rsid w:val="00FB4564"/>
    <w:rsid w:val="00FB579B"/>
    <w:rsid w:val="00FB59DA"/>
    <w:rsid w:val="00FB5B9B"/>
    <w:rsid w:val="00FB5D0C"/>
    <w:rsid w:val="00FB6103"/>
    <w:rsid w:val="00FB61BB"/>
    <w:rsid w:val="00FB63CC"/>
    <w:rsid w:val="00FB641F"/>
    <w:rsid w:val="00FB6D7B"/>
    <w:rsid w:val="00FB70AA"/>
    <w:rsid w:val="00FB732B"/>
    <w:rsid w:val="00FB7409"/>
    <w:rsid w:val="00FB7B19"/>
    <w:rsid w:val="00FB7CD9"/>
    <w:rsid w:val="00FC00FB"/>
    <w:rsid w:val="00FC01C8"/>
    <w:rsid w:val="00FC025E"/>
    <w:rsid w:val="00FC0920"/>
    <w:rsid w:val="00FC108A"/>
    <w:rsid w:val="00FC1874"/>
    <w:rsid w:val="00FC1BC5"/>
    <w:rsid w:val="00FC1D66"/>
    <w:rsid w:val="00FC220D"/>
    <w:rsid w:val="00FC2E02"/>
    <w:rsid w:val="00FC32ED"/>
    <w:rsid w:val="00FC3539"/>
    <w:rsid w:val="00FC380F"/>
    <w:rsid w:val="00FC3A6D"/>
    <w:rsid w:val="00FC46FC"/>
    <w:rsid w:val="00FC4890"/>
    <w:rsid w:val="00FC5380"/>
    <w:rsid w:val="00FC53D9"/>
    <w:rsid w:val="00FC53E1"/>
    <w:rsid w:val="00FC5488"/>
    <w:rsid w:val="00FC5693"/>
    <w:rsid w:val="00FC5899"/>
    <w:rsid w:val="00FC5ABD"/>
    <w:rsid w:val="00FC5BD4"/>
    <w:rsid w:val="00FC5F68"/>
    <w:rsid w:val="00FC5F87"/>
    <w:rsid w:val="00FC65A2"/>
    <w:rsid w:val="00FC688B"/>
    <w:rsid w:val="00FC6F8F"/>
    <w:rsid w:val="00FC716E"/>
    <w:rsid w:val="00FC7317"/>
    <w:rsid w:val="00FC7771"/>
    <w:rsid w:val="00FC7A1A"/>
    <w:rsid w:val="00FC7AA7"/>
    <w:rsid w:val="00FC7B5F"/>
    <w:rsid w:val="00FC7D47"/>
    <w:rsid w:val="00FC7E13"/>
    <w:rsid w:val="00FD0012"/>
    <w:rsid w:val="00FD018B"/>
    <w:rsid w:val="00FD03B8"/>
    <w:rsid w:val="00FD0649"/>
    <w:rsid w:val="00FD06B7"/>
    <w:rsid w:val="00FD0CA7"/>
    <w:rsid w:val="00FD1BD2"/>
    <w:rsid w:val="00FD1F5C"/>
    <w:rsid w:val="00FD1FC2"/>
    <w:rsid w:val="00FD20E8"/>
    <w:rsid w:val="00FD25CD"/>
    <w:rsid w:val="00FD2C0E"/>
    <w:rsid w:val="00FD2D8E"/>
    <w:rsid w:val="00FD35A2"/>
    <w:rsid w:val="00FD3A5A"/>
    <w:rsid w:val="00FD3B22"/>
    <w:rsid w:val="00FD3BBE"/>
    <w:rsid w:val="00FD3F77"/>
    <w:rsid w:val="00FD4294"/>
    <w:rsid w:val="00FD4442"/>
    <w:rsid w:val="00FD445A"/>
    <w:rsid w:val="00FD4598"/>
    <w:rsid w:val="00FD470E"/>
    <w:rsid w:val="00FD4AB1"/>
    <w:rsid w:val="00FD4DD9"/>
    <w:rsid w:val="00FD4E53"/>
    <w:rsid w:val="00FD4F22"/>
    <w:rsid w:val="00FD4F96"/>
    <w:rsid w:val="00FD533F"/>
    <w:rsid w:val="00FD53BF"/>
    <w:rsid w:val="00FD5884"/>
    <w:rsid w:val="00FD59A4"/>
    <w:rsid w:val="00FD5CAC"/>
    <w:rsid w:val="00FD5E0E"/>
    <w:rsid w:val="00FD5E40"/>
    <w:rsid w:val="00FD6100"/>
    <w:rsid w:val="00FD6109"/>
    <w:rsid w:val="00FD6232"/>
    <w:rsid w:val="00FD6785"/>
    <w:rsid w:val="00FD6D66"/>
    <w:rsid w:val="00FD7647"/>
    <w:rsid w:val="00FD7825"/>
    <w:rsid w:val="00FD7B38"/>
    <w:rsid w:val="00FD7C03"/>
    <w:rsid w:val="00FD7CD0"/>
    <w:rsid w:val="00FE03C2"/>
    <w:rsid w:val="00FE0BEE"/>
    <w:rsid w:val="00FE0C3B"/>
    <w:rsid w:val="00FE100C"/>
    <w:rsid w:val="00FE12B2"/>
    <w:rsid w:val="00FE133F"/>
    <w:rsid w:val="00FE1CFC"/>
    <w:rsid w:val="00FE1FB0"/>
    <w:rsid w:val="00FE21E0"/>
    <w:rsid w:val="00FE2306"/>
    <w:rsid w:val="00FE2D69"/>
    <w:rsid w:val="00FE384F"/>
    <w:rsid w:val="00FE38B1"/>
    <w:rsid w:val="00FE3ABE"/>
    <w:rsid w:val="00FE3BDA"/>
    <w:rsid w:val="00FE3FB9"/>
    <w:rsid w:val="00FE46BB"/>
    <w:rsid w:val="00FE4B3B"/>
    <w:rsid w:val="00FE4D17"/>
    <w:rsid w:val="00FE4E73"/>
    <w:rsid w:val="00FE4FE2"/>
    <w:rsid w:val="00FE567D"/>
    <w:rsid w:val="00FE58E4"/>
    <w:rsid w:val="00FE6341"/>
    <w:rsid w:val="00FE65DF"/>
    <w:rsid w:val="00FE68CD"/>
    <w:rsid w:val="00FE68EB"/>
    <w:rsid w:val="00FE6C1D"/>
    <w:rsid w:val="00FE7006"/>
    <w:rsid w:val="00FE71F9"/>
    <w:rsid w:val="00FE72DD"/>
    <w:rsid w:val="00FE72DF"/>
    <w:rsid w:val="00FE75F4"/>
    <w:rsid w:val="00FE7A02"/>
    <w:rsid w:val="00FF005B"/>
    <w:rsid w:val="00FF02A2"/>
    <w:rsid w:val="00FF02B1"/>
    <w:rsid w:val="00FF0482"/>
    <w:rsid w:val="00FF07C4"/>
    <w:rsid w:val="00FF0B39"/>
    <w:rsid w:val="00FF1097"/>
    <w:rsid w:val="00FF113C"/>
    <w:rsid w:val="00FF1501"/>
    <w:rsid w:val="00FF171E"/>
    <w:rsid w:val="00FF1B26"/>
    <w:rsid w:val="00FF1FE9"/>
    <w:rsid w:val="00FF20A3"/>
    <w:rsid w:val="00FF2426"/>
    <w:rsid w:val="00FF287C"/>
    <w:rsid w:val="00FF28C9"/>
    <w:rsid w:val="00FF2ABD"/>
    <w:rsid w:val="00FF2BB6"/>
    <w:rsid w:val="00FF2E1A"/>
    <w:rsid w:val="00FF2FB9"/>
    <w:rsid w:val="00FF37AF"/>
    <w:rsid w:val="00FF3FF1"/>
    <w:rsid w:val="00FF4862"/>
    <w:rsid w:val="00FF4A55"/>
    <w:rsid w:val="00FF4ACB"/>
    <w:rsid w:val="00FF4DA4"/>
    <w:rsid w:val="00FF5612"/>
    <w:rsid w:val="00FF570D"/>
    <w:rsid w:val="00FF591E"/>
    <w:rsid w:val="00FF64FA"/>
    <w:rsid w:val="00FF68EB"/>
    <w:rsid w:val="00FF7311"/>
    <w:rsid w:val="00FF767A"/>
    <w:rsid w:val="00FF7E17"/>
    <w:rsid w:val="00FF7E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style="mso-position-vertical-relative:line"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caption" w:uiPriority="35" w:qFormat="1"/>
    <w:lsdException w:name="List Bullet"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083E"/>
    <w:pPr>
      <w:spacing w:before="200" w:after="200" w:line="276" w:lineRule="auto"/>
    </w:pPr>
    <w:rPr>
      <w:lang w:bidi="en-US"/>
    </w:rPr>
  </w:style>
  <w:style w:type="paragraph" w:styleId="Heading1">
    <w:name w:val="heading 1"/>
    <w:basedOn w:val="Normal"/>
    <w:next w:val="Normal"/>
    <w:link w:val="Heading1Char"/>
    <w:autoRedefine/>
    <w:uiPriority w:val="9"/>
    <w:qFormat/>
    <w:rsid w:val="00EB6A52"/>
    <w:pPr>
      <w:keepNext/>
      <w:pBdr>
        <w:top w:val="single" w:sz="24" w:space="0" w:color="A80000"/>
        <w:left w:val="single" w:sz="24" w:space="0" w:color="A80000"/>
        <w:bottom w:val="single" w:sz="24" w:space="0" w:color="A80000"/>
        <w:right w:val="single" w:sz="24" w:space="0" w:color="A80000"/>
      </w:pBdr>
      <w:shd w:val="clear" w:color="auto" w:fill="A80000"/>
      <w:spacing w:after="0"/>
      <w:ind w:right="-90"/>
      <w:outlineLvl w:val="0"/>
    </w:pPr>
    <w:rPr>
      <w:b/>
      <w:bCs/>
      <w:caps/>
      <w:color w:val="FFFFFF"/>
      <w:spacing w:val="15"/>
      <w:sz w:val="22"/>
      <w:szCs w:val="22"/>
    </w:rPr>
  </w:style>
  <w:style w:type="paragraph" w:styleId="Heading2">
    <w:name w:val="heading 2"/>
    <w:basedOn w:val="Normal"/>
    <w:next w:val="Normal"/>
    <w:link w:val="Heading2Char"/>
    <w:autoRedefine/>
    <w:uiPriority w:val="9"/>
    <w:unhideWhenUsed/>
    <w:qFormat/>
    <w:rsid w:val="00752221"/>
    <w:pPr>
      <w:keepNext/>
      <w:pBdr>
        <w:top w:val="single" w:sz="12" w:space="0" w:color="C00000"/>
        <w:bottom w:val="single" w:sz="12" w:space="0" w:color="C00000"/>
        <w:right w:val="single" w:sz="12" w:space="0" w:color="C00000"/>
      </w:pBdr>
      <w:spacing w:after="0"/>
      <w:outlineLvl w:val="1"/>
    </w:pPr>
    <w:rPr>
      <w:caps/>
      <w:spacing w:val="15"/>
      <w:sz w:val="22"/>
      <w:szCs w:val="22"/>
    </w:rPr>
  </w:style>
  <w:style w:type="paragraph" w:styleId="Heading3">
    <w:name w:val="heading 3"/>
    <w:basedOn w:val="Normal"/>
    <w:next w:val="Normal"/>
    <w:link w:val="Heading3Char"/>
    <w:autoRedefine/>
    <w:uiPriority w:val="9"/>
    <w:unhideWhenUsed/>
    <w:qFormat/>
    <w:rsid w:val="00DD04A7"/>
    <w:pPr>
      <w:keepNext/>
      <w:pBdr>
        <w:bottom w:val="single" w:sz="6" w:space="1" w:color="C00000"/>
      </w:pBdr>
      <w:spacing w:before="300" w:after="0"/>
      <w:outlineLvl w:val="2"/>
    </w:pPr>
    <w:rPr>
      <w:spacing w:val="15"/>
      <w:sz w:val="22"/>
      <w:szCs w:val="22"/>
    </w:rPr>
  </w:style>
  <w:style w:type="paragraph" w:styleId="Heading4">
    <w:name w:val="heading 4"/>
    <w:basedOn w:val="Normal"/>
    <w:next w:val="Normal"/>
    <w:link w:val="Heading4Char"/>
    <w:uiPriority w:val="9"/>
    <w:unhideWhenUsed/>
    <w:rsid w:val="004D083E"/>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
    <w:unhideWhenUsed/>
    <w:rsid w:val="004D083E"/>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unhideWhenUsed/>
    <w:rsid w:val="004D083E"/>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unhideWhenUsed/>
    <w:rsid w:val="004D083E"/>
    <w:pPr>
      <w:spacing w:before="300" w:after="0"/>
      <w:outlineLvl w:val="6"/>
    </w:pPr>
    <w:rPr>
      <w:caps/>
      <w:color w:val="365F91"/>
      <w:spacing w:val="10"/>
      <w:sz w:val="22"/>
      <w:szCs w:val="22"/>
    </w:rPr>
  </w:style>
  <w:style w:type="paragraph" w:styleId="Heading8">
    <w:name w:val="heading 8"/>
    <w:basedOn w:val="Normal"/>
    <w:next w:val="Normal"/>
    <w:link w:val="Heading8Char"/>
    <w:uiPriority w:val="9"/>
    <w:unhideWhenUsed/>
    <w:rsid w:val="004D083E"/>
    <w:pPr>
      <w:spacing w:before="300" w:after="0"/>
      <w:outlineLvl w:val="7"/>
    </w:pPr>
    <w:rPr>
      <w:caps/>
      <w:spacing w:val="10"/>
      <w:sz w:val="18"/>
      <w:szCs w:val="18"/>
    </w:rPr>
  </w:style>
  <w:style w:type="paragraph" w:styleId="Heading9">
    <w:name w:val="heading 9"/>
    <w:basedOn w:val="Normal"/>
    <w:next w:val="Normal"/>
    <w:link w:val="Heading9Char"/>
    <w:uiPriority w:val="9"/>
    <w:unhideWhenUsed/>
    <w:rsid w:val="004D083E"/>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1">
    <w:name w:val="Table Heading 1"/>
    <w:basedOn w:val="Normal"/>
    <w:autoRedefine/>
    <w:rsid w:val="00B220D7"/>
    <w:pPr>
      <w:spacing w:after="0"/>
      <w:jc w:val="center"/>
    </w:pPr>
    <w:rPr>
      <w:b/>
      <w:i/>
      <w:sz w:val="24"/>
    </w:rPr>
  </w:style>
  <w:style w:type="paragraph" w:customStyle="1" w:styleId="TableColumnHead">
    <w:name w:val="Table Column Head"/>
    <w:basedOn w:val="Normal"/>
    <w:autoRedefine/>
    <w:rsid w:val="00B220D7"/>
    <w:pPr>
      <w:spacing w:after="0"/>
    </w:pPr>
    <w:rPr>
      <w:b/>
      <w:snapToGrid w:val="0"/>
    </w:rPr>
  </w:style>
  <w:style w:type="paragraph" w:customStyle="1" w:styleId="TableBody">
    <w:name w:val="Table Body"/>
    <w:basedOn w:val="Normal"/>
    <w:autoRedefine/>
    <w:rsid w:val="00B220D7"/>
    <w:pPr>
      <w:spacing w:after="0"/>
    </w:pPr>
    <w:rPr>
      <w:snapToGrid w:val="0"/>
      <w:sz w:val="18"/>
    </w:rPr>
  </w:style>
  <w:style w:type="paragraph" w:styleId="FootnoteText">
    <w:name w:val="footnote text"/>
    <w:aliases w:val="FootnoteText,ft,Used by Word for text of Help footnotes"/>
    <w:basedOn w:val="FootnoteBase"/>
    <w:semiHidden/>
    <w:rsid w:val="00B220D7"/>
  </w:style>
  <w:style w:type="character" w:styleId="FootnoteReference">
    <w:name w:val="footnote reference"/>
    <w:aliases w:val="fr,Used by Word for Help footnote symbols"/>
    <w:semiHidden/>
    <w:rsid w:val="00B220D7"/>
    <w:rPr>
      <w:vertAlign w:val="superscript"/>
    </w:rPr>
  </w:style>
  <w:style w:type="character" w:styleId="CommentReference">
    <w:name w:val="annotation reference"/>
    <w:semiHidden/>
    <w:rsid w:val="00B220D7"/>
    <w:rPr>
      <w:rFonts w:ascii="Arial" w:hAnsi="Arial"/>
      <w:sz w:val="16"/>
    </w:rPr>
  </w:style>
  <w:style w:type="paragraph" w:styleId="CommentText">
    <w:name w:val="annotation text"/>
    <w:basedOn w:val="FootnoteBase"/>
    <w:semiHidden/>
    <w:rsid w:val="00B220D7"/>
  </w:style>
  <w:style w:type="paragraph" w:customStyle="1" w:styleId="BlockQuotation">
    <w:name w:val="Block Quotation"/>
    <w:basedOn w:val="Normal"/>
    <w:rsid w:val="00B220D7"/>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144"/>
      <w:jc w:val="both"/>
    </w:pPr>
    <w:rPr>
      <w:rFonts w:ascii="Arial Narrow" w:hAnsi="Arial Narrow"/>
      <w:spacing w:val="-5"/>
    </w:rPr>
  </w:style>
  <w:style w:type="paragraph" w:styleId="BodyText">
    <w:name w:val="Body Text"/>
    <w:basedOn w:val="Normal"/>
    <w:link w:val="BodyTextChar"/>
    <w:autoRedefine/>
    <w:rsid w:val="000F34E2"/>
    <w:pPr>
      <w:spacing w:after="240" w:line="240" w:lineRule="atLeast"/>
      <w:jc w:val="both"/>
    </w:pPr>
  </w:style>
  <w:style w:type="paragraph" w:styleId="BodyTextIndent">
    <w:name w:val="Body Text Indent"/>
    <w:basedOn w:val="BodyText"/>
    <w:rsid w:val="00B220D7"/>
    <w:pPr>
      <w:ind w:left="1440"/>
    </w:pPr>
  </w:style>
  <w:style w:type="paragraph" w:styleId="BodyTextIndent2">
    <w:name w:val="Body Text Indent 2"/>
    <w:basedOn w:val="Normal"/>
    <w:rsid w:val="00B220D7"/>
    <w:pPr>
      <w:spacing w:after="120"/>
      <w:ind w:left="1080" w:firstLine="144"/>
    </w:pPr>
    <w:rPr>
      <w:rFonts w:ascii="Arial" w:hAnsi="Arial"/>
      <w:i/>
      <w:spacing w:val="-5"/>
    </w:rPr>
  </w:style>
  <w:style w:type="paragraph" w:styleId="BodyTextIndent3">
    <w:name w:val="Body Text Indent 3"/>
    <w:basedOn w:val="Normal"/>
    <w:rsid w:val="00B220D7"/>
    <w:pPr>
      <w:spacing w:after="120"/>
      <w:ind w:left="1440" w:firstLine="144"/>
    </w:pPr>
    <w:rPr>
      <w:rFonts w:ascii="Arial" w:hAnsi="Arial"/>
      <w:spacing w:val="-5"/>
    </w:rPr>
  </w:style>
  <w:style w:type="paragraph" w:customStyle="1" w:styleId="BodyTextKeep">
    <w:name w:val="Body Text Keep"/>
    <w:basedOn w:val="BodyText"/>
    <w:rsid w:val="00B220D7"/>
    <w:pPr>
      <w:keepNext/>
    </w:pPr>
  </w:style>
  <w:style w:type="paragraph" w:customStyle="1" w:styleId="Picture">
    <w:name w:val="Picture"/>
    <w:basedOn w:val="Normal"/>
    <w:next w:val="Caption"/>
    <w:rsid w:val="00B220D7"/>
    <w:pPr>
      <w:keepNext/>
      <w:spacing w:after="120"/>
      <w:ind w:left="1080" w:firstLine="144"/>
    </w:pPr>
    <w:rPr>
      <w:rFonts w:ascii="Arial" w:hAnsi="Arial"/>
      <w:spacing w:val="-5"/>
    </w:rPr>
  </w:style>
  <w:style w:type="paragraph" w:styleId="Caption">
    <w:name w:val="caption"/>
    <w:basedOn w:val="Normal"/>
    <w:next w:val="Normal"/>
    <w:autoRedefine/>
    <w:uiPriority w:val="35"/>
    <w:unhideWhenUsed/>
    <w:qFormat/>
    <w:rsid w:val="00680ADD"/>
    <w:pPr>
      <w:jc w:val="center"/>
    </w:pPr>
    <w:rPr>
      <w:b/>
      <w:bCs/>
    </w:rPr>
  </w:style>
  <w:style w:type="paragraph" w:customStyle="1" w:styleId="PartLabel">
    <w:name w:val="Part Label"/>
    <w:basedOn w:val="Normal"/>
    <w:rsid w:val="00B220D7"/>
    <w:pPr>
      <w:framePr w:h="1080" w:hRule="exact" w:hSpace="180" w:wrap="around" w:vAnchor="page" w:hAnchor="page" w:x="1861" w:y="1201"/>
      <w:pBdr>
        <w:top w:val="single" w:sz="6" w:space="1" w:color="auto"/>
        <w:left w:val="single" w:sz="6" w:space="1" w:color="auto"/>
      </w:pBdr>
      <w:shd w:val="solid" w:color="auto" w:fill="auto"/>
      <w:spacing w:after="120" w:line="360" w:lineRule="exact"/>
      <w:ind w:left="1080" w:right="7656" w:firstLine="144"/>
      <w:jc w:val="center"/>
    </w:pPr>
    <w:rPr>
      <w:rFonts w:ascii="Arial" w:hAnsi="Arial"/>
      <w:color w:val="FFFFFF"/>
      <w:spacing w:val="-16"/>
      <w:position w:val="4"/>
      <w:sz w:val="26"/>
    </w:rPr>
  </w:style>
  <w:style w:type="paragraph" w:customStyle="1" w:styleId="ChapterLabel">
    <w:name w:val="Chapter Label"/>
    <w:basedOn w:val="PartLabel"/>
    <w:rsid w:val="00B220D7"/>
    <w:pPr>
      <w:framePr w:wrap="around"/>
    </w:pPr>
  </w:style>
  <w:style w:type="paragraph" w:customStyle="1" w:styleId="HeadingBase">
    <w:name w:val="Heading Base"/>
    <w:basedOn w:val="Normal"/>
    <w:next w:val="BodyText"/>
    <w:rsid w:val="00B220D7"/>
    <w:pPr>
      <w:keepNext/>
      <w:keepLines/>
      <w:spacing w:before="140" w:after="120" w:line="220" w:lineRule="atLeast"/>
      <w:ind w:left="1080" w:firstLine="144"/>
    </w:pPr>
    <w:rPr>
      <w:rFonts w:ascii="Arial" w:hAnsi="Arial"/>
      <w:spacing w:val="-4"/>
      <w:kern w:val="28"/>
      <w:sz w:val="22"/>
    </w:rPr>
  </w:style>
  <w:style w:type="paragraph" w:styleId="Title">
    <w:name w:val="Title"/>
    <w:basedOn w:val="Normal"/>
    <w:next w:val="Normal"/>
    <w:link w:val="TitleChar"/>
    <w:autoRedefine/>
    <w:uiPriority w:val="10"/>
    <w:qFormat/>
    <w:rsid w:val="00214DD0"/>
    <w:pPr>
      <w:spacing w:before="720"/>
    </w:pPr>
    <w:rPr>
      <w:caps/>
      <w:color w:val="A80000"/>
      <w:spacing w:val="10"/>
      <w:kern w:val="28"/>
      <w:sz w:val="52"/>
      <w:szCs w:val="52"/>
    </w:rPr>
  </w:style>
  <w:style w:type="paragraph" w:styleId="Subtitle">
    <w:name w:val="Subtitle"/>
    <w:basedOn w:val="Normal"/>
    <w:next w:val="Normal"/>
    <w:link w:val="SubtitleChar"/>
    <w:autoRedefine/>
    <w:uiPriority w:val="11"/>
    <w:qFormat/>
    <w:rsid w:val="004A0A3C"/>
    <w:pPr>
      <w:spacing w:after="240" w:line="240" w:lineRule="auto"/>
    </w:pPr>
    <w:rPr>
      <w:caps/>
      <w:color w:val="595959"/>
      <w:spacing w:val="10"/>
      <w:sz w:val="24"/>
      <w:szCs w:val="24"/>
    </w:rPr>
  </w:style>
  <w:style w:type="paragraph" w:customStyle="1" w:styleId="ChapterSubtitle">
    <w:name w:val="Chapter Subtitle"/>
    <w:basedOn w:val="Subtitle"/>
    <w:rsid w:val="00B220D7"/>
  </w:style>
  <w:style w:type="paragraph" w:customStyle="1" w:styleId="PartTitle">
    <w:name w:val="Part Title"/>
    <w:basedOn w:val="Normal"/>
    <w:rsid w:val="00B220D7"/>
    <w:pPr>
      <w:framePr w:h="1080" w:hRule="exact" w:hSpace="180" w:wrap="around" w:vAnchor="page" w:hAnchor="page" w:x="1861" w:y="1201"/>
      <w:pBdr>
        <w:left w:val="single" w:sz="6" w:space="1" w:color="auto"/>
      </w:pBdr>
      <w:shd w:val="solid" w:color="auto" w:fill="auto"/>
      <w:spacing w:after="240" w:line="660" w:lineRule="exact"/>
      <w:ind w:left="1080" w:right="7656" w:firstLine="144"/>
      <w:jc w:val="center"/>
    </w:pPr>
    <w:rPr>
      <w:rFonts w:ascii="Arial Black" w:hAnsi="Arial Black"/>
      <w:color w:val="FFFFFF"/>
      <w:spacing w:val="-40"/>
      <w:position w:val="-16"/>
      <w:sz w:val="84"/>
    </w:rPr>
  </w:style>
  <w:style w:type="paragraph" w:customStyle="1" w:styleId="ChapterTitle">
    <w:name w:val="Chapter Title"/>
    <w:basedOn w:val="PartTitle"/>
    <w:rsid w:val="00B220D7"/>
    <w:pPr>
      <w:framePr w:wrap="around"/>
    </w:pPr>
  </w:style>
  <w:style w:type="paragraph" w:customStyle="1" w:styleId="FootnoteBase">
    <w:name w:val="Footnote Base"/>
    <w:basedOn w:val="Normal"/>
    <w:rsid w:val="00B220D7"/>
    <w:pPr>
      <w:keepLines/>
      <w:spacing w:after="120" w:line="200" w:lineRule="atLeast"/>
      <w:ind w:left="1080" w:firstLine="144"/>
    </w:pPr>
    <w:rPr>
      <w:rFonts w:ascii="Arial" w:hAnsi="Arial"/>
      <w:spacing w:val="-5"/>
      <w:sz w:val="16"/>
    </w:rPr>
  </w:style>
  <w:style w:type="paragraph" w:customStyle="1" w:styleId="CompanyName">
    <w:name w:val="Company Name"/>
    <w:basedOn w:val="Normal"/>
    <w:rsid w:val="00B220D7"/>
    <w:pPr>
      <w:keepNext/>
      <w:keepLines/>
      <w:framePr w:w="4080" w:h="840" w:hSpace="180" w:wrap="notBeside" w:vAnchor="page" w:hAnchor="margin" w:y="913" w:anchorLock="1"/>
      <w:spacing w:after="120" w:line="220" w:lineRule="atLeast"/>
      <w:ind w:left="1080" w:firstLine="144"/>
    </w:pPr>
    <w:rPr>
      <w:rFonts w:ascii="Arial Black" w:hAnsi="Arial Black"/>
      <w:spacing w:val="-25"/>
      <w:kern w:val="28"/>
      <w:sz w:val="32"/>
    </w:rPr>
  </w:style>
  <w:style w:type="paragraph" w:customStyle="1" w:styleId="TitleCover">
    <w:name w:val="Title Cover"/>
    <w:basedOn w:val="HeadingBase"/>
    <w:next w:val="Normal"/>
    <w:autoRedefine/>
    <w:rsid w:val="00D574F6"/>
    <w:pPr>
      <w:tabs>
        <w:tab w:val="left" w:pos="0"/>
      </w:tabs>
      <w:spacing w:before="240" w:after="500" w:line="640" w:lineRule="exact"/>
      <w:ind w:left="-840" w:right="-840" w:firstLine="0"/>
    </w:pPr>
    <w:rPr>
      <w:rFonts w:ascii="Arial Black" w:hAnsi="Arial Black"/>
      <w:spacing w:val="-48"/>
      <w:sz w:val="52"/>
      <w:szCs w:val="52"/>
    </w:rPr>
  </w:style>
  <w:style w:type="paragraph" w:customStyle="1" w:styleId="DocumentLabel">
    <w:name w:val="Document Label"/>
    <w:basedOn w:val="TitleCover"/>
    <w:rsid w:val="00B220D7"/>
  </w:style>
  <w:style w:type="paragraph" w:styleId="DocumentMap">
    <w:name w:val="Document Map"/>
    <w:basedOn w:val="Normal"/>
    <w:semiHidden/>
    <w:rsid w:val="00B220D7"/>
    <w:pPr>
      <w:shd w:val="clear" w:color="auto" w:fill="000080"/>
      <w:spacing w:after="120"/>
      <w:ind w:left="1080" w:firstLine="144"/>
    </w:pPr>
    <w:rPr>
      <w:rFonts w:ascii="Tahoma" w:hAnsi="Tahoma"/>
      <w:spacing w:val="-5"/>
    </w:rPr>
  </w:style>
  <w:style w:type="character" w:styleId="Emphasis">
    <w:name w:val="Emphasis"/>
    <w:uiPriority w:val="20"/>
    <w:qFormat/>
    <w:rsid w:val="004D083E"/>
    <w:rPr>
      <w:caps/>
      <w:color w:val="243F60"/>
      <w:spacing w:val="5"/>
    </w:rPr>
  </w:style>
  <w:style w:type="character" w:styleId="EndnoteReference">
    <w:name w:val="endnote reference"/>
    <w:semiHidden/>
    <w:rsid w:val="00B220D7"/>
    <w:rPr>
      <w:vertAlign w:val="superscript"/>
    </w:rPr>
  </w:style>
  <w:style w:type="paragraph" w:styleId="EndnoteText">
    <w:name w:val="endnote text"/>
    <w:basedOn w:val="FootnoteBase"/>
    <w:semiHidden/>
    <w:rsid w:val="00B220D7"/>
  </w:style>
  <w:style w:type="character" w:styleId="FollowedHyperlink">
    <w:name w:val="FollowedHyperlink"/>
    <w:basedOn w:val="DefaultParagraphFont"/>
    <w:rsid w:val="00B220D7"/>
    <w:rPr>
      <w:color w:val="800080"/>
      <w:u w:val="single"/>
    </w:rPr>
  </w:style>
  <w:style w:type="paragraph" w:customStyle="1" w:styleId="HeaderBase">
    <w:name w:val="Header Base"/>
    <w:basedOn w:val="Normal"/>
    <w:rsid w:val="00B220D7"/>
    <w:pPr>
      <w:keepLines/>
      <w:tabs>
        <w:tab w:val="center" w:pos="4320"/>
        <w:tab w:val="right" w:pos="8640"/>
      </w:tabs>
      <w:spacing w:after="120" w:line="190" w:lineRule="atLeast"/>
      <w:ind w:left="1080" w:firstLine="144"/>
    </w:pPr>
    <w:rPr>
      <w:rFonts w:ascii="Arial" w:hAnsi="Arial"/>
      <w:caps/>
      <w:spacing w:val="-5"/>
      <w:sz w:val="15"/>
    </w:rPr>
  </w:style>
  <w:style w:type="paragraph" w:styleId="Footer">
    <w:name w:val="footer"/>
    <w:basedOn w:val="HeaderBase"/>
    <w:rsid w:val="00B220D7"/>
  </w:style>
  <w:style w:type="paragraph" w:customStyle="1" w:styleId="FooterEven">
    <w:name w:val="Footer Even"/>
    <w:basedOn w:val="Footer"/>
    <w:rsid w:val="00B220D7"/>
    <w:pPr>
      <w:pBdr>
        <w:top w:val="single" w:sz="6" w:space="2" w:color="auto"/>
      </w:pBdr>
      <w:spacing w:before="600"/>
    </w:pPr>
  </w:style>
  <w:style w:type="paragraph" w:customStyle="1" w:styleId="FooterFirst">
    <w:name w:val="Footer First"/>
    <w:basedOn w:val="Footer"/>
    <w:rsid w:val="00B220D7"/>
    <w:pPr>
      <w:pBdr>
        <w:top w:val="single" w:sz="6" w:space="2" w:color="auto"/>
      </w:pBdr>
      <w:spacing w:before="600"/>
    </w:pPr>
  </w:style>
  <w:style w:type="paragraph" w:customStyle="1" w:styleId="FooterOdd">
    <w:name w:val="Footer Odd"/>
    <w:basedOn w:val="Footer"/>
    <w:rsid w:val="00B220D7"/>
    <w:pPr>
      <w:pBdr>
        <w:top w:val="single" w:sz="6" w:space="2" w:color="auto"/>
      </w:pBdr>
      <w:spacing w:before="600"/>
    </w:pPr>
  </w:style>
  <w:style w:type="paragraph" w:customStyle="1" w:styleId="H1">
    <w:name w:val="H1"/>
    <w:basedOn w:val="Normal"/>
    <w:next w:val="Normal"/>
    <w:rsid w:val="00B220D7"/>
    <w:pPr>
      <w:keepNext/>
      <w:spacing w:before="100" w:after="100"/>
      <w:ind w:left="1080" w:firstLine="144"/>
      <w:outlineLvl w:val="1"/>
    </w:pPr>
    <w:rPr>
      <w:rFonts w:ascii="Arial" w:hAnsi="Arial"/>
      <w:b/>
      <w:snapToGrid w:val="0"/>
      <w:spacing w:val="-5"/>
      <w:kern w:val="36"/>
      <w:sz w:val="48"/>
    </w:rPr>
  </w:style>
  <w:style w:type="paragraph" w:customStyle="1" w:styleId="H3">
    <w:name w:val="H3"/>
    <w:basedOn w:val="Normal"/>
    <w:next w:val="Normal"/>
    <w:rsid w:val="00B220D7"/>
    <w:pPr>
      <w:keepNext/>
      <w:spacing w:before="100" w:after="100"/>
      <w:ind w:left="1080" w:firstLine="144"/>
      <w:outlineLvl w:val="3"/>
    </w:pPr>
    <w:rPr>
      <w:rFonts w:ascii="Arial" w:hAnsi="Arial"/>
      <w:b/>
      <w:snapToGrid w:val="0"/>
      <w:spacing w:val="-5"/>
      <w:sz w:val="28"/>
    </w:rPr>
  </w:style>
  <w:style w:type="paragraph" w:styleId="Header">
    <w:name w:val="header"/>
    <w:basedOn w:val="HeaderBase"/>
    <w:rsid w:val="00B220D7"/>
  </w:style>
  <w:style w:type="paragraph" w:customStyle="1" w:styleId="HeaderEven">
    <w:name w:val="Header Even"/>
    <w:basedOn w:val="Header"/>
    <w:rsid w:val="00B220D7"/>
    <w:pPr>
      <w:pBdr>
        <w:bottom w:val="single" w:sz="6" w:space="1" w:color="auto"/>
      </w:pBdr>
      <w:spacing w:after="600"/>
    </w:pPr>
  </w:style>
  <w:style w:type="paragraph" w:customStyle="1" w:styleId="HeaderFirst">
    <w:name w:val="Header First"/>
    <w:basedOn w:val="Header"/>
    <w:rsid w:val="00B220D7"/>
    <w:pPr>
      <w:pBdr>
        <w:top w:val="single" w:sz="6" w:space="2" w:color="auto"/>
      </w:pBdr>
      <w:jc w:val="right"/>
    </w:pPr>
  </w:style>
  <w:style w:type="paragraph" w:customStyle="1" w:styleId="HeaderOdd">
    <w:name w:val="Header Odd"/>
    <w:basedOn w:val="Header"/>
    <w:rsid w:val="00B220D7"/>
    <w:pPr>
      <w:pBdr>
        <w:bottom w:val="single" w:sz="6" w:space="1" w:color="auto"/>
      </w:pBdr>
      <w:spacing w:after="600"/>
    </w:pPr>
  </w:style>
  <w:style w:type="character" w:styleId="HTMLTypewriter">
    <w:name w:val="HTML Typewriter"/>
    <w:basedOn w:val="DefaultParagraphFont"/>
    <w:rsid w:val="00B220D7"/>
    <w:rPr>
      <w:rFonts w:ascii="Times New Roman" w:eastAsia="Courier New" w:hAnsi="Times New Roman" w:cs="Times New Roman"/>
      <w:sz w:val="20"/>
      <w:szCs w:val="20"/>
    </w:rPr>
  </w:style>
  <w:style w:type="character" w:styleId="Hyperlink">
    <w:name w:val="Hyperlink"/>
    <w:basedOn w:val="DefaultParagraphFont"/>
    <w:uiPriority w:val="99"/>
    <w:rsid w:val="00B220D7"/>
    <w:rPr>
      <w:color w:val="0000FF"/>
      <w:u w:val="single"/>
    </w:rPr>
  </w:style>
  <w:style w:type="paragraph" w:customStyle="1" w:styleId="IndexBase">
    <w:name w:val="Index Base"/>
    <w:basedOn w:val="Normal"/>
    <w:rsid w:val="00B220D7"/>
    <w:pPr>
      <w:spacing w:after="120" w:line="240" w:lineRule="atLeast"/>
      <w:ind w:left="360" w:hanging="360"/>
    </w:pPr>
    <w:rPr>
      <w:rFonts w:ascii="Arial" w:hAnsi="Arial"/>
      <w:spacing w:val="-5"/>
      <w:sz w:val="18"/>
    </w:rPr>
  </w:style>
  <w:style w:type="paragraph" w:styleId="Index1">
    <w:name w:val="index 1"/>
    <w:basedOn w:val="IndexBase"/>
    <w:autoRedefine/>
    <w:semiHidden/>
    <w:rsid w:val="00B220D7"/>
  </w:style>
  <w:style w:type="paragraph" w:styleId="Index2">
    <w:name w:val="index 2"/>
    <w:basedOn w:val="IndexBase"/>
    <w:autoRedefine/>
    <w:semiHidden/>
    <w:rsid w:val="00B220D7"/>
    <w:pPr>
      <w:spacing w:line="240" w:lineRule="auto"/>
      <w:ind w:left="720"/>
    </w:pPr>
  </w:style>
  <w:style w:type="paragraph" w:styleId="Index3">
    <w:name w:val="index 3"/>
    <w:basedOn w:val="IndexBase"/>
    <w:autoRedefine/>
    <w:semiHidden/>
    <w:rsid w:val="00B220D7"/>
    <w:pPr>
      <w:spacing w:line="240" w:lineRule="auto"/>
      <w:ind w:left="1080"/>
    </w:pPr>
  </w:style>
  <w:style w:type="paragraph" w:styleId="Index4">
    <w:name w:val="index 4"/>
    <w:basedOn w:val="IndexBase"/>
    <w:autoRedefine/>
    <w:semiHidden/>
    <w:rsid w:val="00B220D7"/>
    <w:pPr>
      <w:spacing w:line="240" w:lineRule="auto"/>
      <w:ind w:left="1440"/>
    </w:pPr>
  </w:style>
  <w:style w:type="paragraph" w:styleId="Index5">
    <w:name w:val="index 5"/>
    <w:basedOn w:val="IndexBase"/>
    <w:autoRedefine/>
    <w:semiHidden/>
    <w:rsid w:val="00B220D7"/>
    <w:pPr>
      <w:spacing w:line="240" w:lineRule="auto"/>
      <w:ind w:left="1800"/>
    </w:pPr>
  </w:style>
  <w:style w:type="paragraph" w:styleId="IndexHeading">
    <w:name w:val="index heading"/>
    <w:basedOn w:val="HeadingBase"/>
    <w:next w:val="Index1"/>
    <w:semiHidden/>
    <w:rsid w:val="00B220D7"/>
    <w:pPr>
      <w:keepLines w:val="0"/>
      <w:spacing w:before="0" w:line="480" w:lineRule="atLeast"/>
      <w:ind w:left="0"/>
    </w:pPr>
    <w:rPr>
      <w:rFonts w:ascii="Arial Black" w:hAnsi="Arial Black"/>
      <w:spacing w:val="-5"/>
      <w:kern w:val="0"/>
      <w:sz w:val="24"/>
    </w:rPr>
  </w:style>
  <w:style w:type="character" w:customStyle="1" w:styleId="Lead-inEmphasis">
    <w:name w:val="Lead-in Emphasis"/>
    <w:rsid w:val="00B220D7"/>
    <w:rPr>
      <w:rFonts w:ascii="Arial Black" w:hAnsi="Arial Black"/>
      <w:spacing w:val="-4"/>
      <w:sz w:val="18"/>
    </w:rPr>
  </w:style>
  <w:style w:type="character" w:styleId="LineNumber">
    <w:name w:val="line number"/>
    <w:rsid w:val="00B220D7"/>
    <w:rPr>
      <w:sz w:val="18"/>
    </w:rPr>
  </w:style>
  <w:style w:type="paragraph" w:styleId="List">
    <w:name w:val="List"/>
    <w:basedOn w:val="BodyText"/>
    <w:rsid w:val="00B220D7"/>
    <w:pPr>
      <w:ind w:left="1440" w:hanging="360"/>
    </w:pPr>
  </w:style>
  <w:style w:type="paragraph" w:styleId="List2">
    <w:name w:val="List 2"/>
    <w:basedOn w:val="List"/>
    <w:rsid w:val="00B220D7"/>
    <w:pPr>
      <w:ind w:left="1800"/>
    </w:pPr>
  </w:style>
  <w:style w:type="paragraph" w:styleId="List3">
    <w:name w:val="List 3"/>
    <w:basedOn w:val="List"/>
    <w:rsid w:val="00B220D7"/>
    <w:pPr>
      <w:ind w:left="2160"/>
    </w:pPr>
  </w:style>
  <w:style w:type="paragraph" w:styleId="List4">
    <w:name w:val="List 4"/>
    <w:basedOn w:val="List"/>
    <w:rsid w:val="00B220D7"/>
    <w:pPr>
      <w:ind w:left="2520"/>
    </w:pPr>
  </w:style>
  <w:style w:type="paragraph" w:styleId="List5">
    <w:name w:val="List 5"/>
    <w:basedOn w:val="List"/>
    <w:rsid w:val="00B220D7"/>
    <w:pPr>
      <w:ind w:left="2880"/>
    </w:pPr>
  </w:style>
  <w:style w:type="paragraph" w:styleId="ListBullet">
    <w:name w:val="List Bullet"/>
    <w:basedOn w:val="List"/>
    <w:autoRedefine/>
    <w:qFormat/>
    <w:rsid w:val="00757D92"/>
    <w:pPr>
      <w:numPr>
        <w:numId w:val="2"/>
      </w:numPr>
      <w:spacing w:after="200" w:line="276" w:lineRule="auto"/>
      <w:ind w:left="360"/>
    </w:pPr>
  </w:style>
  <w:style w:type="paragraph" w:styleId="ListBullet2">
    <w:name w:val="List Bullet 2"/>
    <w:basedOn w:val="ListBullet"/>
    <w:autoRedefine/>
    <w:rsid w:val="00B220D7"/>
    <w:pPr>
      <w:ind w:left="1800"/>
    </w:pPr>
  </w:style>
  <w:style w:type="paragraph" w:styleId="ListBullet3">
    <w:name w:val="List Bullet 3"/>
    <w:basedOn w:val="ListBullet"/>
    <w:autoRedefine/>
    <w:rsid w:val="00B220D7"/>
    <w:pPr>
      <w:ind w:left="2160"/>
    </w:pPr>
  </w:style>
  <w:style w:type="paragraph" w:styleId="ListBullet4">
    <w:name w:val="List Bullet 4"/>
    <w:basedOn w:val="ListBullet"/>
    <w:autoRedefine/>
    <w:rsid w:val="00B220D7"/>
    <w:pPr>
      <w:ind w:left="2520"/>
    </w:pPr>
  </w:style>
  <w:style w:type="paragraph" w:styleId="ListBullet5">
    <w:name w:val="List Bullet 5"/>
    <w:basedOn w:val="ListBullet"/>
    <w:autoRedefine/>
    <w:rsid w:val="00B220D7"/>
    <w:pPr>
      <w:ind w:left="2880"/>
    </w:pPr>
  </w:style>
  <w:style w:type="paragraph" w:styleId="ListContinue">
    <w:name w:val="List Continue"/>
    <w:basedOn w:val="List"/>
    <w:rsid w:val="00B220D7"/>
    <w:pPr>
      <w:ind w:firstLine="0"/>
    </w:pPr>
  </w:style>
  <w:style w:type="paragraph" w:styleId="ListContinue2">
    <w:name w:val="List Continue 2"/>
    <w:basedOn w:val="ListContinue"/>
    <w:rsid w:val="00B220D7"/>
    <w:pPr>
      <w:ind w:left="2160"/>
    </w:pPr>
  </w:style>
  <w:style w:type="paragraph" w:styleId="ListContinue3">
    <w:name w:val="List Continue 3"/>
    <w:basedOn w:val="ListContinue"/>
    <w:rsid w:val="00B220D7"/>
    <w:pPr>
      <w:ind w:left="2520"/>
    </w:pPr>
  </w:style>
  <w:style w:type="paragraph" w:styleId="ListContinue4">
    <w:name w:val="List Continue 4"/>
    <w:basedOn w:val="ListContinue"/>
    <w:rsid w:val="00B220D7"/>
    <w:pPr>
      <w:ind w:left="2880"/>
    </w:pPr>
  </w:style>
  <w:style w:type="paragraph" w:styleId="ListContinue5">
    <w:name w:val="List Continue 5"/>
    <w:basedOn w:val="ListContinue"/>
    <w:rsid w:val="00B220D7"/>
    <w:pPr>
      <w:ind w:left="3240"/>
    </w:pPr>
  </w:style>
  <w:style w:type="paragraph" w:styleId="ListNumber">
    <w:name w:val="List Number"/>
    <w:basedOn w:val="List"/>
    <w:rsid w:val="00B220D7"/>
  </w:style>
  <w:style w:type="paragraph" w:styleId="ListNumber2">
    <w:name w:val="List Number 2"/>
    <w:basedOn w:val="ListNumber"/>
    <w:rsid w:val="00B220D7"/>
    <w:pPr>
      <w:ind w:left="1800"/>
    </w:pPr>
  </w:style>
  <w:style w:type="paragraph" w:styleId="ListNumber3">
    <w:name w:val="List Number 3"/>
    <w:basedOn w:val="ListNumber"/>
    <w:rsid w:val="00B220D7"/>
    <w:pPr>
      <w:ind w:left="2160"/>
    </w:pPr>
  </w:style>
  <w:style w:type="paragraph" w:styleId="ListNumber4">
    <w:name w:val="List Number 4"/>
    <w:basedOn w:val="ListNumber"/>
    <w:rsid w:val="00B220D7"/>
    <w:pPr>
      <w:ind w:left="2520"/>
    </w:pPr>
  </w:style>
  <w:style w:type="paragraph" w:styleId="ListNumber5">
    <w:name w:val="List Number 5"/>
    <w:basedOn w:val="ListNumber"/>
    <w:rsid w:val="00B220D7"/>
    <w:pPr>
      <w:ind w:left="2880"/>
    </w:pPr>
  </w:style>
  <w:style w:type="paragraph" w:styleId="MacroText">
    <w:name w:val="macro"/>
    <w:basedOn w:val="Normal"/>
    <w:semiHidden/>
    <w:rsid w:val="00B220D7"/>
    <w:pPr>
      <w:spacing w:after="120"/>
      <w:ind w:left="1080" w:firstLine="144"/>
    </w:pPr>
    <w:rPr>
      <w:rFonts w:ascii="Courier New" w:hAnsi="Courier New"/>
      <w:spacing w:val="-5"/>
    </w:rPr>
  </w:style>
  <w:style w:type="paragraph" w:styleId="MessageHeader">
    <w:name w:val="Message Header"/>
    <w:basedOn w:val="BodyText"/>
    <w:rsid w:val="00B220D7"/>
    <w:pPr>
      <w:keepLines/>
      <w:tabs>
        <w:tab w:val="left" w:pos="3600"/>
        <w:tab w:val="left" w:pos="4680"/>
      </w:tabs>
      <w:spacing w:after="120" w:line="280" w:lineRule="exact"/>
      <w:ind w:right="2160" w:hanging="1080"/>
      <w:jc w:val="left"/>
    </w:pPr>
    <w:rPr>
      <w:sz w:val="22"/>
    </w:rPr>
  </w:style>
  <w:style w:type="paragraph" w:styleId="NormalIndent">
    <w:name w:val="Normal Indent"/>
    <w:basedOn w:val="Normal"/>
    <w:rsid w:val="00B220D7"/>
    <w:pPr>
      <w:ind w:left="1440"/>
    </w:pPr>
  </w:style>
  <w:style w:type="paragraph" w:customStyle="1" w:styleId="NormalLegal">
    <w:name w:val="Normal Legal"/>
    <w:basedOn w:val="Normal"/>
    <w:rsid w:val="00B220D7"/>
    <w:pPr>
      <w:numPr>
        <w:numId w:val="1"/>
      </w:numPr>
      <w:tabs>
        <w:tab w:val="left" w:pos="1260"/>
      </w:tabs>
      <w:spacing w:line="480" w:lineRule="auto"/>
    </w:pPr>
    <w:rPr>
      <w:rFonts w:ascii="Times New Roman" w:hAnsi="Times New Roman"/>
      <w:sz w:val="24"/>
    </w:rPr>
  </w:style>
  <w:style w:type="character" w:styleId="PageNumber">
    <w:name w:val="page number"/>
    <w:rsid w:val="00B220D7"/>
    <w:rPr>
      <w:rFonts w:ascii="Arial Black" w:hAnsi="Arial Black"/>
      <w:spacing w:val="-10"/>
      <w:sz w:val="18"/>
    </w:rPr>
  </w:style>
  <w:style w:type="paragraph" w:customStyle="1" w:styleId="PartSubtitle">
    <w:name w:val="Part Subtitle"/>
    <w:basedOn w:val="Normal"/>
    <w:next w:val="BodyText"/>
    <w:rsid w:val="00B220D7"/>
    <w:pPr>
      <w:keepNext/>
      <w:spacing w:before="360"/>
    </w:pPr>
    <w:rPr>
      <w:i/>
      <w:kern w:val="28"/>
      <w:sz w:val="26"/>
    </w:rPr>
  </w:style>
  <w:style w:type="paragraph" w:styleId="PlainText">
    <w:name w:val="Plain Text"/>
    <w:basedOn w:val="Normal"/>
    <w:rsid w:val="00B220D7"/>
    <w:rPr>
      <w:rFonts w:ascii="Courier New" w:hAnsi="Courier New"/>
    </w:rPr>
  </w:style>
  <w:style w:type="paragraph" w:customStyle="1" w:styleId="ReplyForwardHeaders">
    <w:name w:val="Reply/Forward Headers"/>
    <w:basedOn w:val="Normal"/>
    <w:next w:val="Normal"/>
    <w:rsid w:val="00B220D7"/>
    <w:pPr>
      <w:pBdr>
        <w:left w:val="single" w:sz="18" w:space="1" w:color="auto"/>
      </w:pBdr>
      <w:shd w:val="pct10" w:color="auto" w:fill="auto"/>
      <w:spacing w:after="0"/>
    </w:pPr>
    <w:rPr>
      <w:b/>
      <w:noProof/>
      <w:sz w:val="22"/>
    </w:rPr>
  </w:style>
  <w:style w:type="paragraph" w:customStyle="1" w:styleId="ReturnAddress">
    <w:name w:val="Return Address"/>
    <w:basedOn w:val="Normal"/>
    <w:rsid w:val="00B220D7"/>
    <w:pPr>
      <w:keepLines/>
      <w:framePr w:w="5160" w:h="840" w:wrap="notBeside" w:vAnchor="page" w:hAnchor="page" w:x="6121" w:y="915" w:anchorLock="1"/>
      <w:tabs>
        <w:tab w:val="left" w:pos="2160"/>
      </w:tabs>
      <w:spacing w:line="160" w:lineRule="atLeast"/>
    </w:pPr>
    <w:rPr>
      <w:sz w:val="14"/>
    </w:rPr>
  </w:style>
  <w:style w:type="paragraph" w:customStyle="1" w:styleId="SectionHeading">
    <w:name w:val="Section Heading"/>
    <w:basedOn w:val="Heading1"/>
    <w:rsid w:val="00B220D7"/>
    <w:pPr>
      <w:outlineLvl w:val="9"/>
    </w:pPr>
  </w:style>
  <w:style w:type="paragraph" w:customStyle="1" w:styleId="SectionLabel">
    <w:name w:val="Section Label"/>
    <w:basedOn w:val="HeadingBase"/>
    <w:next w:val="BodyText"/>
    <w:rsid w:val="00B220D7"/>
    <w:pPr>
      <w:pBdr>
        <w:bottom w:val="single" w:sz="6" w:space="2" w:color="auto"/>
      </w:pBdr>
      <w:spacing w:before="360" w:after="960"/>
      <w:ind w:left="0"/>
    </w:pPr>
    <w:rPr>
      <w:rFonts w:ascii="Arial Black" w:hAnsi="Arial Black"/>
      <w:spacing w:val="-35"/>
      <w:sz w:val="54"/>
    </w:rPr>
  </w:style>
  <w:style w:type="character" w:customStyle="1" w:styleId="Slogan">
    <w:name w:val="Slogan"/>
    <w:basedOn w:val="DefaultParagraphFont"/>
    <w:rsid w:val="00B220D7"/>
    <w:rPr>
      <w:i/>
      <w:spacing w:val="-6"/>
      <w:sz w:val="24"/>
    </w:rPr>
  </w:style>
  <w:style w:type="character" w:styleId="Strong">
    <w:name w:val="Strong"/>
    <w:uiPriority w:val="22"/>
    <w:qFormat/>
    <w:rsid w:val="004D083E"/>
    <w:rPr>
      <w:b/>
      <w:bCs/>
    </w:rPr>
  </w:style>
  <w:style w:type="paragraph" w:customStyle="1" w:styleId="SubtitleCover">
    <w:name w:val="Subtitle Cover"/>
    <w:basedOn w:val="TitleCover"/>
    <w:next w:val="BodyText"/>
    <w:rsid w:val="00B220D7"/>
    <w:pPr>
      <w:pBdr>
        <w:top w:val="single" w:sz="6" w:space="24" w:color="auto"/>
      </w:pBdr>
      <w:tabs>
        <w:tab w:val="clear" w:pos="0"/>
      </w:tabs>
      <w:spacing w:before="0" w:after="0" w:line="480" w:lineRule="atLeast"/>
      <w:ind w:left="0" w:right="0"/>
    </w:pPr>
    <w:rPr>
      <w:rFonts w:ascii="Arial" w:hAnsi="Arial"/>
      <w:b/>
      <w:spacing w:val="-30"/>
      <w:sz w:val="48"/>
    </w:rPr>
  </w:style>
  <w:style w:type="character" w:customStyle="1" w:styleId="Superscript">
    <w:name w:val="Superscript"/>
    <w:rsid w:val="00B220D7"/>
    <w:rPr>
      <w:b/>
      <w:vertAlign w:val="superscript"/>
    </w:rPr>
  </w:style>
  <w:style w:type="paragraph" w:styleId="TableofAuthorities">
    <w:name w:val="table of authorities"/>
    <w:basedOn w:val="Normal"/>
    <w:semiHidden/>
    <w:rsid w:val="00B220D7"/>
    <w:pPr>
      <w:tabs>
        <w:tab w:val="right" w:leader="dot" w:pos="7560"/>
      </w:tabs>
      <w:ind w:left="1440" w:hanging="360"/>
    </w:pPr>
  </w:style>
  <w:style w:type="paragraph" w:customStyle="1" w:styleId="TOCBase">
    <w:name w:val="TOC Base"/>
    <w:basedOn w:val="Normal"/>
    <w:rsid w:val="00B220D7"/>
    <w:pPr>
      <w:tabs>
        <w:tab w:val="right" w:leader="dot" w:pos="6480"/>
      </w:tabs>
      <w:spacing w:after="240" w:line="240" w:lineRule="atLeast"/>
    </w:pPr>
  </w:style>
  <w:style w:type="paragraph" w:styleId="TableofFigures">
    <w:name w:val="table of figures"/>
    <w:basedOn w:val="TOCBase"/>
    <w:semiHidden/>
    <w:rsid w:val="00B220D7"/>
    <w:pPr>
      <w:ind w:left="1440" w:hanging="360"/>
    </w:pPr>
  </w:style>
  <w:style w:type="paragraph" w:styleId="TOAHeading">
    <w:name w:val="toa heading"/>
    <w:basedOn w:val="Normal"/>
    <w:next w:val="TableofAuthorities"/>
    <w:semiHidden/>
    <w:rsid w:val="00B220D7"/>
    <w:pPr>
      <w:keepNext/>
      <w:spacing w:line="480" w:lineRule="atLeast"/>
    </w:pPr>
    <w:rPr>
      <w:rFonts w:ascii="Arial Black" w:hAnsi="Arial Black"/>
      <w:b/>
      <w:spacing w:val="-10"/>
      <w:kern w:val="28"/>
    </w:rPr>
  </w:style>
  <w:style w:type="paragraph" w:styleId="TOC1">
    <w:name w:val="toc 1"/>
    <w:basedOn w:val="TOCBase"/>
    <w:autoRedefine/>
    <w:uiPriority w:val="39"/>
    <w:rsid w:val="00801C65"/>
    <w:pPr>
      <w:tabs>
        <w:tab w:val="clear" w:pos="6480"/>
      </w:tabs>
      <w:spacing w:before="120" w:after="120" w:line="240" w:lineRule="auto"/>
      <w:ind w:left="144"/>
    </w:pPr>
    <w:rPr>
      <w:b/>
    </w:rPr>
  </w:style>
  <w:style w:type="paragraph" w:styleId="TOC2">
    <w:name w:val="toc 2"/>
    <w:basedOn w:val="TOCBase"/>
    <w:autoRedefine/>
    <w:uiPriority w:val="39"/>
    <w:rsid w:val="00B21B1C"/>
    <w:pPr>
      <w:tabs>
        <w:tab w:val="clear" w:pos="6480"/>
        <w:tab w:val="right" w:leader="dot" w:pos="8630"/>
      </w:tabs>
      <w:spacing w:before="120" w:after="0" w:line="240" w:lineRule="auto"/>
      <w:ind w:left="346"/>
    </w:pPr>
  </w:style>
  <w:style w:type="paragraph" w:styleId="TOC3">
    <w:name w:val="toc 3"/>
    <w:basedOn w:val="TOCBase"/>
    <w:autoRedefine/>
    <w:uiPriority w:val="39"/>
    <w:rsid w:val="006D141B"/>
    <w:pPr>
      <w:tabs>
        <w:tab w:val="clear" w:pos="6480"/>
        <w:tab w:val="right" w:leader="dot" w:pos="8630"/>
      </w:tabs>
      <w:spacing w:before="120" w:after="0" w:line="240" w:lineRule="auto"/>
      <w:ind w:left="576"/>
    </w:pPr>
    <w:rPr>
      <w:i/>
      <w:snapToGrid w:val="0"/>
    </w:rPr>
  </w:style>
  <w:style w:type="paragraph" w:styleId="TOC4">
    <w:name w:val="toc 4"/>
    <w:basedOn w:val="TOCBase"/>
    <w:autoRedefine/>
    <w:semiHidden/>
    <w:rsid w:val="00B220D7"/>
    <w:pPr>
      <w:tabs>
        <w:tab w:val="clear" w:pos="6480"/>
      </w:tabs>
      <w:spacing w:after="0" w:line="240" w:lineRule="auto"/>
      <w:ind w:left="600"/>
    </w:pPr>
    <w:rPr>
      <w:rFonts w:ascii="Times New Roman" w:hAnsi="Times New Roman"/>
      <w:sz w:val="18"/>
    </w:rPr>
  </w:style>
  <w:style w:type="paragraph" w:styleId="TOC5">
    <w:name w:val="toc 5"/>
    <w:basedOn w:val="TOCBase"/>
    <w:autoRedefine/>
    <w:semiHidden/>
    <w:rsid w:val="00B220D7"/>
    <w:pPr>
      <w:tabs>
        <w:tab w:val="clear" w:pos="6480"/>
      </w:tabs>
      <w:spacing w:after="0" w:line="240" w:lineRule="auto"/>
      <w:ind w:left="800"/>
    </w:pPr>
    <w:rPr>
      <w:rFonts w:ascii="Times New Roman" w:hAnsi="Times New Roman"/>
      <w:sz w:val="18"/>
    </w:rPr>
  </w:style>
  <w:style w:type="paragraph" w:styleId="TOC6">
    <w:name w:val="toc 6"/>
    <w:basedOn w:val="Normal"/>
    <w:next w:val="Normal"/>
    <w:autoRedefine/>
    <w:semiHidden/>
    <w:rsid w:val="00B220D7"/>
    <w:pPr>
      <w:ind w:left="1000"/>
    </w:pPr>
    <w:rPr>
      <w:rFonts w:ascii="Times New Roman" w:hAnsi="Times New Roman"/>
      <w:sz w:val="18"/>
    </w:rPr>
  </w:style>
  <w:style w:type="paragraph" w:styleId="TOC7">
    <w:name w:val="toc 7"/>
    <w:basedOn w:val="Normal"/>
    <w:next w:val="Normal"/>
    <w:autoRedefine/>
    <w:semiHidden/>
    <w:rsid w:val="00B220D7"/>
    <w:pPr>
      <w:ind w:left="1200"/>
    </w:pPr>
    <w:rPr>
      <w:rFonts w:ascii="Times New Roman" w:hAnsi="Times New Roman"/>
      <w:sz w:val="18"/>
    </w:rPr>
  </w:style>
  <w:style w:type="paragraph" w:styleId="TOC8">
    <w:name w:val="toc 8"/>
    <w:basedOn w:val="Normal"/>
    <w:next w:val="Normal"/>
    <w:autoRedefine/>
    <w:semiHidden/>
    <w:rsid w:val="00B220D7"/>
    <w:pPr>
      <w:ind w:left="1400"/>
    </w:pPr>
    <w:rPr>
      <w:rFonts w:ascii="Times New Roman" w:hAnsi="Times New Roman"/>
      <w:sz w:val="18"/>
    </w:rPr>
  </w:style>
  <w:style w:type="paragraph" w:styleId="TOC9">
    <w:name w:val="toc 9"/>
    <w:basedOn w:val="Normal"/>
    <w:next w:val="Normal"/>
    <w:autoRedefine/>
    <w:semiHidden/>
    <w:rsid w:val="00B220D7"/>
    <w:pPr>
      <w:ind w:left="1600"/>
    </w:pPr>
    <w:rPr>
      <w:rFonts w:ascii="Times New Roman" w:hAnsi="Times New Roman"/>
      <w:sz w:val="18"/>
    </w:rPr>
  </w:style>
  <w:style w:type="paragraph" w:customStyle="1" w:styleId="Bullet">
    <w:name w:val="Bullet"/>
    <w:basedOn w:val="Normal"/>
    <w:rsid w:val="00B220D7"/>
    <w:pPr>
      <w:numPr>
        <w:numId w:val="3"/>
      </w:numPr>
      <w:spacing w:after="0"/>
    </w:pPr>
    <w:rPr>
      <w:rFonts w:ascii="Times New Roman" w:hAnsi="Times New Roman"/>
      <w:lang w:bidi="ar-SA"/>
    </w:rPr>
  </w:style>
  <w:style w:type="paragraph" w:customStyle="1" w:styleId="Pullquote">
    <w:name w:val="Pullquote"/>
    <w:basedOn w:val="BlockQuotation"/>
    <w:autoRedefine/>
    <w:rsid w:val="00B220D7"/>
    <w:pPr>
      <w:ind w:left="0" w:right="0"/>
      <w:jc w:val="left"/>
    </w:pPr>
  </w:style>
  <w:style w:type="paragraph" w:customStyle="1" w:styleId="PullquoteAttribution">
    <w:name w:val="Pullquote Attribution"/>
    <w:basedOn w:val="Pullquote"/>
    <w:autoRedefine/>
    <w:rsid w:val="00B220D7"/>
    <w:pPr>
      <w:spacing w:after="0"/>
      <w:ind w:firstLine="0"/>
    </w:pPr>
    <w:rPr>
      <w:i/>
      <w:sz w:val="18"/>
    </w:rPr>
  </w:style>
  <w:style w:type="paragraph" w:styleId="BodyText2">
    <w:name w:val="Body Text 2"/>
    <w:basedOn w:val="Normal"/>
    <w:rsid w:val="00B220D7"/>
    <w:pPr>
      <w:spacing w:after="0"/>
    </w:pPr>
    <w:rPr>
      <w:rFonts w:ascii="Courier New" w:hAnsi="Courier New" w:cs="Courier New"/>
      <w:color w:val="FFFFFF"/>
      <w:sz w:val="12"/>
      <w:szCs w:val="12"/>
    </w:rPr>
  </w:style>
  <w:style w:type="paragraph" w:styleId="BalloonText">
    <w:name w:val="Balloon Text"/>
    <w:basedOn w:val="Normal"/>
    <w:semiHidden/>
    <w:rsid w:val="00B220D7"/>
    <w:rPr>
      <w:rFonts w:ascii="Tahoma" w:hAnsi="Tahoma" w:cs="Tahoma"/>
      <w:sz w:val="16"/>
      <w:szCs w:val="16"/>
    </w:rPr>
  </w:style>
  <w:style w:type="paragraph" w:styleId="CommentSubject">
    <w:name w:val="annotation subject"/>
    <w:basedOn w:val="CommentText"/>
    <w:next w:val="CommentText"/>
    <w:semiHidden/>
    <w:rsid w:val="00B220D7"/>
    <w:pPr>
      <w:keepLines w:val="0"/>
      <w:spacing w:line="240" w:lineRule="auto"/>
      <w:ind w:firstLine="0"/>
    </w:pPr>
    <w:rPr>
      <w:b/>
      <w:bCs/>
      <w:sz w:val="20"/>
    </w:rPr>
  </w:style>
  <w:style w:type="paragraph" w:styleId="NormalWeb">
    <w:name w:val="Normal (Web)"/>
    <w:basedOn w:val="Normal"/>
    <w:uiPriority w:val="99"/>
    <w:rsid w:val="00D46F3A"/>
    <w:pPr>
      <w:spacing w:before="100" w:beforeAutospacing="1" w:after="100" w:afterAutospacing="1"/>
    </w:pPr>
    <w:rPr>
      <w:rFonts w:ascii="Times New Roman" w:hAnsi="Times New Roman"/>
      <w:sz w:val="24"/>
      <w:szCs w:val="24"/>
      <w:lang w:bidi="ar-SA"/>
    </w:rPr>
  </w:style>
  <w:style w:type="character" w:customStyle="1" w:styleId="Bold">
    <w:name w:val="Bold"/>
    <w:aliases w:val="b"/>
    <w:basedOn w:val="DefaultParagraphFont"/>
    <w:rsid w:val="00CB37D5"/>
    <w:rPr>
      <w:b/>
    </w:rPr>
  </w:style>
  <w:style w:type="paragraph" w:customStyle="1" w:styleId="Text">
    <w:name w:val="Text"/>
    <w:aliases w:val="t"/>
    <w:rsid w:val="00CB37D5"/>
    <w:pPr>
      <w:spacing w:before="60" w:after="60" w:line="260" w:lineRule="exact"/>
    </w:pPr>
    <w:rPr>
      <w:rFonts w:ascii="Verdana" w:hAnsi="Verdana"/>
      <w:color w:val="000000"/>
      <w:sz w:val="22"/>
      <w:szCs w:val="22"/>
    </w:rPr>
  </w:style>
  <w:style w:type="character" w:customStyle="1" w:styleId="EmailStyle126">
    <w:name w:val="EmailStyle1261"/>
    <w:aliases w:val="EmailStyle1261"/>
    <w:basedOn w:val="DefaultParagraphFont"/>
    <w:semiHidden/>
    <w:personal/>
    <w:personalReply/>
    <w:rsid w:val="000217FC"/>
    <w:rPr>
      <w:rFonts w:ascii="Arial" w:hAnsi="Arial" w:cs="Arial"/>
      <w:color w:val="000080"/>
      <w:sz w:val="20"/>
      <w:szCs w:val="20"/>
    </w:rPr>
  </w:style>
  <w:style w:type="paragraph" w:customStyle="1" w:styleId="StyleChapterSubtitle20ptJustified">
    <w:name w:val="Style Chapter Subtitle + 20 pt Justified"/>
    <w:basedOn w:val="ChapterSubtitle"/>
    <w:autoRedefine/>
    <w:rsid w:val="00583F47"/>
    <w:pPr>
      <w:ind w:left="-835"/>
    </w:pPr>
    <w:rPr>
      <w:sz w:val="40"/>
    </w:rPr>
  </w:style>
  <w:style w:type="paragraph" w:customStyle="1" w:styleId="StyleChapterSubtitleLeft025Firstline05">
    <w:name w:val="Style Chapter Subtitle + Left:  0.25&quot; First line:  0.5&quot;"/>
    <w:basedOn w:val="ChapterSubtitle"/>
    <w:autoRedefine/>
    <w:rsid w:val="00583F47"/>
    <w:pPr>
      <w:ind w:left="360"/>
    </w:pPr>
  </w:style>
  <w:style w:type="character" w:customStyle="1" w:styleId="BodyTextChar">
    <w:name w:val="Body Text Char"/>
    <w:basedOn w:val="DefaultParagraphFont"/>
    <w:link w:val="BodyText"/>
    <w:rsid w:val="00D467A2"/>
    <w:rPr>
      <w:rFonts w:ascii="Arial" w:hAnsi="Arial"/>
      <w:spacing w:val="-5"/>
      <w:lang w:val="en-US" w:eastAsia="en-US" w:bidi="he-IL"/>
    </w:rPr>
  </w:style>
  <w:style w:type="paragraph" w:customStyle="1" w:styleId="StyleTOC3Left038">
    <w:name w:val="Style TOC 3 + Left:  0.38&quot;"/>
    <w:basedOn w:val="TOC3"/>
    <w:autoRedefine/>
    <w:rsid w:val="00801C65"/>
    <w:pPr>
      <w:ind w:left="547"/>
      <w:jc w:val="right"/>
    </w:pPr>
    <w:rPr>
      <w:iCs/>
    </w:rPr>
  </w:style>
  <w:style w:type="paragraph" w:customStyle="1" w:styleId="StyleTOC2">
    <w:name w:val="Style TOC 2 +"/>
    <w:basedOn w:val="TOC2"/>
    <w:autoRedefine/>
    <w:rsid w:val="00801C65"/>
    <w:pPr>
      <w:jc w:val="right"/>
    </w:pPr>
  </w:style>
  <w:style w:type="paragraph" w:customStyle="1" w:styleId="StyleTOC1">
    <w:name w:val="Style TOC 1 +"/>
    <w:basedOn w:val="TOC1"/>
    <w:autoRedefine/>
    <w:rsid w:val="00801C65"/>
    <w:pPr>
      <w:jc w:val="right"/>
    </w:pPr>
    <w:rPr>
      <w:bCs/>
    </w:rPr>
  </w:style>
  <w:style w:type="paragraph" w:customStyle="1" w:styleId="Contents">
    <w:name w:val="Contents"/>
    <w:basedOn w:val="Heading1"/>
    <w:next w:val="Normal"/>
    <w:rsid w:val="00A05032"/>
    <w:pPr>
      <w:pageBreakBefore/>
      <w:pBdr>
        <w:top w:val="single" w:sz="6" w:space="3" w:color="auto"/>
      </w:pBdr>
      <w:spacing w:before="360" w:after="200"/>
    </w:pPr>
    <w:rPr>
      <w:rFonts w:asciiTheme="minorHAnsi" w:hAnsiTheme="minorHAnsi" w:cs="Arial"/>
      <w:bCs w:val="0"/>
      <w:spacing w:val="0"/>
      <w:kern w:val="28"/>
      <w:lang w:bidi="ar-SA"/>
    </w:rPr>
  </w:style>
  <w:style w:type="character" w:customStyle="1" w:styleId="Heading1Char">
    <w:name w:val="Heading 1 Char"/>
    <w:basedOn w:val="DefaultParagraphFont"/>
    <w:link w:val="Heading1"/>
    <w:uiPriority w:val="9"/>
    <w:rsid w:val="00EB6A52"/>
    <w:rPr>
      <w:b/>
      <w:bCs/>
      <w:caps/>
      <w:color w:val="FFFFFF"/>
      <w:spacing w:val="15"/>
      <w:sz w:val="22"/>
      <w:szCs w:val="22"/>
      <w:shd w:val="clear" w:color="auto" w:fill="A80000"/>
      <w:lang w:bidi="en-US"/>
    </w:rPr>
  </w:style>
  <w:style w:type="character" w:customStyle="1" w:styleId="Heading2Char">
    <w:name w:val="Heading 2 Char"/>
    <w:basedOn w:val="DefaultParagraphFont"/>
    <w:link w:val="Heading2"/>
    <w:uiPriority w:val="9"/>
    <w:rsid w:val="00752221"/>
    <w:rPr>
      <w:caps/>
      <w:spacing w:val="15"/>
      <w:sz w:val="22"/>
      <w:szCs w:val="22"/>
      <w:lang w:bidi="en-US"/>
    </w:rPr>
  </w:style>
  <w:style w:type="character" w:customStyle="1" w:styleId="Heading3Char">
    <w:name w:val="Heading 3 Char"/>
    <w:basedOn w:val="DefaultParagraphFont"/>
    <w:link w:val="Heading3"/>
    <w:uiPriority w:val="9"/>
    <w:rsid w:val="00DD04A7"/>
    <w:rPr>
      <w:spacing w:val="15"/>
      <w:sz w:val="22"/>
      <w:szCs w:val="22"/>
      <w:lang w:bidi="en-US"/>
    </w:rPr>
  </w:style>
  <w:style w:type="character" w:customStyle="1" w:styleId="Heading4Char">
    <w:name w:val="Heading 4 Char"/>
    <w:basedOn w:val="DefaultParagraphFont"/>
    <w:link w:val="Heading4"/>
    <w:uiPriority w:val="9"/>
    <w:rsid w:val="004D083E"/>
    <w:rPr>
      <w:caps/>
      <w:color w:val="365F91"/>
      <w:spacing w:val="10"/>
    </w:rPr>
  </w:style>
  <w:style w:type="character" w:customStyle="1" w:styleId="Heading5Char">
    <w:name w:val="Heading 5 Char"/>
    <w:basedOn w:val="DefaultParagraphFont"/>
    <w:link w:val="Heading5"/>
    <w:uiPriority w:val="9"/>
    <w:rsid w:val="004D083E"/>
    <w:rPr>
      <w:caps/>
      <w:color w:val="365F91"/>
      <w:spacing w:val="10"/>
    </w:rPr>
  </w:style>
  <w:style w:type="character" w:customStyle="1" w:styleId="Heading6Char">
    <w:name w:val="Heading 6 Char"/>
    <w:basedOn w:val="DefaultParagraphFont"/>
    <w:link w:val="Heading6"/>
    <w:uiPriority w:val="9"/>
    <w:rsid w:val="004D083E"/>
    <w:rPr>
      <w:caps/>
      <w:color w:val="365F91"/>
      <w:spacing w:val="10"/>
    </w:rPr>
  </w:style>
  <w:style w:type="character" w:customStyle="1" w:styleId="Heading7Char">
    <w:name w:val="Heading 7 Char"/>
    <w:basedOn w:val="DefaultParagraphFont"/>
    <w:link w:val="Heading7"/>
    <w:uiPriority w:val="9"/>
    <w:rsid w:val="004D083E"/>
    <w:rPr>
      <w:caps/>
      <w:color w:val="365F91"/>
      <w:spacing w:val="10"/>
    </w:rPr>
  </w:style>
  <w:style w:type="character" w:customStyle="1" w:styleId="Heading8Char">
    <w:name w:val="Heading 8 Char"/>
    <w:basedOn w:val="DefaultParagraphFont"/>
    <w:link w:val="Heading8"/>
    <w:uiPriority w:val="9"/>
    <w:rsid w:val="004D083E"/>
    <w:rPr>
      <w:caps/>
      <w:spacing w:val="10"/>
      <w:sz w:val="18"/>
      <w:szCs w:val="18"/>
    </w:rPr>
  </w:style>
  <w:style w:type="character" w:customStyle="1" w:styleId="Heading9Char">
    <w:name w:val="Heading 9 Char"/>
    <w:basedOn w:val="DefaultParagraphFont"/>
    <w:link w:val="Heading9"/>
    <w:uiPriority w:val="9"/>
    <w:rsid w:val="004D083E"/>
    <w:rPr>
      <w:i/>
      <w:caps/>
      <w:spacing w:val="10"/>
      <w:sz w:val="18"/>
      <w:szCs w:val="18"/>
    </w:rPr>
  </w:style>
  <w:style w:type="character" w:customStyle="1" w:styleId="TitleChar">
    <w:name w:val="Title Char"/>
    <w:basedOn w:val="DefaultParagraphFont"/>
    <w:link w:val="Title"/>
    <w:uiPriority w:val="10"/>
    <w:rsid w:val="00214DD0"/>
    <w:rPr>
      <w:caps/>
      <w:color w:val="A80000"/>
      <w:spacing w:val="10"/>
      <w:kern w:val="28"/>
      <w:sz w:val="52"/>
      <w:szCs w:val="52"/>
      <w:lang w:bidi="en-US"/>
    </w:rPr>
  </w:style>
  <w:style w:type="character" w:customStyle="1" w:styleId="SubtitleChar">
    <w:name w:val="Subtitle Char"/>
    <w:basedOn w:val="DefaultParagraphFont"/>
    <w:link w:val="Subtitle"/>
    <w:uiPriority w:val="11"/>
    <w:rsid w:val="004A0A3C"/>
    <w:rPr>
      <w:caps/>
      <w:color w:val="595959"/>
      <w:spacing w:val="10"/>
      <w:sz w:val="24"/>
      <w:szCs w:val="24"/>
      <w:lang w:bidi="en-US"/>
    </w:rPr>
  </w:style>
  <w:style w:type="paragraph" w:styleId="NoSpacing">
    <w:name w:val="No Spacing"/>
    <w:aliases w:val="Code,c"/>
    <w:basedOn w:val="Normal"/>
    <w:link w:val="NoSpacingChar"/>
    <w:qFormat/>
    <w:rsid w:val="000A622E"/>
    <w:pPr>
      <w:spacing w:before="0" w:after="0" w:line="240" w:lineRule="auto"/>
    </w:pPr>
    <w:rPr>
      <w:rFonts w:ascii="Courier New" w:hAnsi="Courier New" w:cs="Courier New"/>
      <w:b/>
    </w:rPr>
  </w:style>
  <w:style w:type="paragraph" w:styleId="ListParagraph">
    <w:name w:val="List Paragraph"/>
    <w:basedOn w:val="Normal"/>
    <w:uiPriority w:val="34"/>
    <w:qFormat/>
    <w:rsid w:val="004D083E"/>
    <w:pPr>
      <w:ind w:left="720"/>
      <w:contextualSpacing/>
    </w:pPr>
  </w:style>
  <w:style w:type="paragraph" w:styleId="Quote">
    <w:name w:val="Quote"/>
    <w:basedOn w:val="Normal"/>
    <w:next w:val="Normal"/>
    <w:link w:val="QuoteChar"/>
    <w:uiPriority w:val="29"/>
    <w:qFormat/>
    <w:rsid w:val="004D083E"/>
    <w:rPr>
      <w:i/>
      <w:iCs/>
    </w:rPr>
  </w:style>
  <w:style w:type="character" w:customStyle="1" w:styleId="QuoteChar">
    <w:name w:val="Quote Char"/>
    <w:basedOn w:val="DefaultParagraphFont"/>
    <w:link w:val="Quote"/>
    <w:uiPriority w:val="29"/>
    <w:rsid w:val="004D083E"/>
    <w:rPr>
      <w:i/>
      <w:iCs/>
      <w:sz w:val="20"/>
      <w:szCs w:val="20"/>
    </w:rPr>
  </w:style>
  <w:style w:type="paragraph" w:styleId="IntenseQuote">
    <w:name w:val="Intense Quote"/>
    <w:basedOn w:val="Normal"/>
    <w:next w:val="Normal"/>
    <w:link w:val="IntenseQuoteChar"/>
    <w:uiPriority w:val="30"/>
    <w:qFormat/>
    <w:rsid w:val="004D083E"/>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sid w:val="004D083E"/>
    <w:rPr>
      <w:i/>
      <w:iCs/>
      <w:color w:val="4F81BD"/>
      <w:sz w:val="20"/>
      <w:szCs w:val="20"/>
    </w:rPr>
  </w:style>
  <w:style w:type="character" w:styleId="SubtleEmphasis">
    <w:name w:val="Subtle Emphasis"/>
    <w:uiPriority w:val="19"/>
    <w:qFormat/>
    <w:rsid w:val="004D083E"/>
    <w:rPr>
      <w:i/>
      <w:iCs/>
      <w:color w:val="243F60"/>
    </w:rPr>
  </w:style>
  <w:style w:type="character" w:styleId="IntenseEmphasis">
    <w:name w:val="Intense Emphasis"/>
    <w:uiPriority w:val="21"/>
    <w:qFormat/>
    <w:rsid w:val="004D083E"/>
    <w:rPr>
      <w:b/>
      <w:bCs/>
      <w:caps/>
      <w:color w:val="243F60"/>
      <w:spacing w:val="10"/>
    </w:rPr>
  </w:style>
  <w:style w:type="character" w:styleId="SubtleReference">
    <w:name w:val="Subtle Reference"/>
    <w:uiPriority w:val="31"/>
    <w:qFormat/>
    <w:rsid w:val="004D083E"/>
    <w:rPr>
      <w:b/>
      <w:bCs/>
      <w:color w:val="4F81BD"/>
    </w:rPr>
  </w:style>
  <w:style w:type="character" w:styleId="IntenseReference">
    <w:name w:val="Intense Reference"/>
    <w:uiPriority w:val="32"/>
    <w:qFormat/>
    <w:rsid w:val="004D083E"/>
    <w:rPr>
      <w:b/>
      <w:bCs/>
      <w:i/>
      <w:iCs/>
      <w:caps/>
      <w:color w:val="4F81BD"/>
    </w:rPr>
  </w:style>
  <w:style w:type="character" w:styleId="BookTitle">
    <w:name w:val="Book Title"/>
    <w:uiPriority w:val="33"/>
    <w:qFormat/>
    <w:rsid w:val="004D083E"/>
    <w:rPr>
      <w:b/>
      <w:bCs/>
      <w:i/>
      <w:iCs/>
      <w:spacing w:val="9"/>
    </w:rPr>
  </w:style>
  <w:style w:type="paragraph" w:styleId="TOCHeading">
    <w:name w:val="TOC Heading"/>
    <w:basedOn w:val="Heading1"/>
    <w:next w:val="Normal"/>
    <w:uiPriority w:val="39"/>
    <w:semiHidden/>
    <w:unhideWhenUsed/>
    <w:qFormat/>
    <w:rsid w:val="004D083E"/>
    <w:pPr>
      <w:outlineLvl w:val="9"/>
    </w:pPr>
  </w:style>
  <w:style w:type="character" w:customStyle="1" w:styleId="NoSpacingChar">
    <w:name w:val="No Spacing Char"/>
    <w:aliases w:val="Code Char,c Char"/>
    <w:basedOn w:val="DefaultParagraphFont"/>
    <w:link w:val="NoSpacing"/>
    <w:rsid w:val="000A622E"/>
    <w:rPr>
      <w:rFonts w:ascii="Courier New" w:hAnsi="Courier New" w:cs="Courier New"/>
      <w:b/>
      <w:lang w:bidi="en-US"/>
    </w:rPr>
  </w:style>
  <w:style w:type="paragraph" w:customStyle="1" w:styleId="Body">
    <w:name w:val="Body"/>
    <w:autoRedefine/>
    <w:rsid w:val="00A22B2E"/>
    <w:pPr>
      <w:keepLines/>
      <w:spacing w:after="280" w:line="480" w:lineRule="auto"/>
      <w:ind w:left="720"/>
    </w:pPr>
    <w:rPr>
      <w:rFonts w:ascii="Times New Roman" w:hAnsi="Times New Roman"/>
      <w:sz w:val="22"/>
    </w:rPr>
  </w:style>
</w:styles>
</file>

<file path=word/webSettings.xml><?xml version="1.0" encoding="utf-8"?>
<w:webSettings xmlns:r="http://schemas.openxmlformats.org/officeDocument/2006/relationships" xmlns:w="http://schemas.openxmlformats.org/wordprocessingml/2006/main">
  <w:divs>
    <w:div w:id="9189759">
      <w:bodyDiv w:val="1"/>
      <w:marLeft w:val="0"/>
      <w:marRight w:val="0"/>
      <w:marTop w:val="0"/>
      <w:marBottom w:val="0"/>
      <w:divBdr>
        <w:top w:val="none" w:sz="0" w:space="0" w:color="auto"/>
        <w:left w:val="none" w:sz="0" w:space="0" w:color="auto"/>
        <w:bottom w:val="none" w:sz="0" w:space="0" w:color="auto"/>
        <w:right w:val="none" w:sz="0" w:space="0" w:color="auto"/>
      </w:divBdr>
      <w:divsChild>
        <w:div w:id="1100755351">
          <w:marLeft w:val="0"/>
          <w:marRight w:val="0"/>
          <w:marTop w:val="86"/>
          <w:marBottom w:val="0"/>
          <w:divBdr>
            <w:top w:val="none" w:sz="0" w:space="0" w:color="auto"/>
            <w:left w:val="none" w:sz="0" w:space="0" w:color="auto"/>
            <w:bottom w:val="none" w:sz="0" w:space="0" w:color="auto"/>
            <w:right w:val="none" w:sz="0" w:space="0" w:color="auto"/>
          </w:divBdr>
        </w:div>
      </w:divsChild>
    </w:div>
    <w:div w:id="11805288">
      <w:bodyDiv w:val="1"/>
      <w:marLeft w:val="0"/>
      <w:marRight w:val="0"/>
      <w:marTop w:val="0"/>
      <w:marBottom w:val="0"/>
      <w:divBdr>
        <w:top w:val="none" w:sz="0" w:space="0" w:color="auto"/>
        <w:left w:val="none" w:sz="0" w:space="0" w:color="auto"/>
        <w:bottom w:val="none" w:sz="0" w:space="0" w:color="auto"/>
        <w:right w:val="none" w:sz="0" w:space="0" w:color="auto"/>
      </w:divBdr>
    </w:div>
    <w:div w:id="24793324">
      <w:bodyDiv w:val="1"/>
      <w:marLeft w:val="0"/>
      <w:marRight w:val="0"/>
      <w:marTop w:val="0"/>
      <w:marBottom w:val="0"/>
      <w:divBdr>
        <w:top w:val="none" w:sz="0" w:space="0" w:color="auto"/>
        <w:left w:val="none" w:sz="0" w:space="0" w:color="auto"/>
        <w:bottom w:val="none" w:sz="0" w:space="0" w:color="auto"/>
        <w:right w:val="none" w:sz="0" w:space="0" w:color="auto"/>
      </w:divBdr>
      <w:divsChild>
        <w:div w:id="267350431">
          <w:marLeft w:val="0"/>
          <w:marRight w:val="0"/>
          <w:marTop w:val="0"/>
          <w:marBottom w:val="0"/>
          <w:divBdr>
            <w:top w:val="none" w:sz="0" w:space="0" w:color="auto"/>
            <w:left w:val="none" w:sz="0" w:space="0" w:color="auto"/>
            <w:bottom w:val="none" w:sz="0" w:space="0" w:color="auto"/>
            <w:right w:val="none" w:sz="0" w:space="0" w:color="auto"/>
          </w:divBdr>
          <w:divsChild>
            <w:div w:id="685401685">
              <w:marLeft w:val="0"/>
              <w:marRight w:val="0"/>
              <w:marTop w:val="0"/>
              <w:marBottom w:val="0"/>
              <w:divBdr>
                <w:top w:val="none" w:sz="0" w:space="0" w:color="auto"/>
                <w:left w:val="none" w:sz="0" w:space="0" w:color="auto"/>
                <w:bottom w:val="none" w:sz="0" w:space="0" w:color="auto"/>
                <w:right w:val="none" w:sz="0" w:space="0" w:color="auto"/>
              </w:divBdr>
            </w:div>
            <w:div w:id="748041659">
              <w:marLeft w:val="0"/>
              <w:marRight w:val="0"/>
              <w:marTop w:val="0"/>
              <w:marBottom w:val="0"/>
              <w:divBdr>
                <w:top w:val="none" w:sz="0" w:space="0" w:color="auto"/>
                <w:left w:val="none" w:sz="0" w:space="0" w:color="auto"/>
                <w:bottom w:val="none" w:sz="0" w:space="0" w:color="auto"/>
                <w:right w:val="none" w:sz="0" w:space="0" w:color="auto"/>
              </w:divBdr>
            </w:div>
            <w:div w:id="1424186210">
              <w:marLeft w:val="0"/>
              <w:marRight w:val="0"/>
              <w:marTop w:val="0"/>
              <w:marBottom w:val="0"/>
              <w:divBdr>
                <w:top w:val="none" w:sz="0" w:space="0" w:color="auto"/>
                <w:left w:val="none" w:sz="0" w:space="0" w:color="auto"/>
                <w:bottom w:val="none" w:sz="0" w:space="0" w:color="auto"/>
                <w:right w:val="none" w:sz="0" w:space="0" w:color="auto"/>
              </w:divBdr>
            </w:div>
            <w:div w:id="1736780590">
              <w:marLeft w:val="0"/>
              <w:marRight w:val="0"/>
              <w:marTop w:val="0"/>
              <w:marBottom w:val="0"/>
              <w:divBdr>
                <w:top w:val="none" w:sz="0" w:space="0" w:color="auto"/>
                <w:left w:val="none" w:sz="0" w:space="0" w:color="auto"/>
                <w:bottom w:val="none" w:sz="0" w:space="0" w:color="auto"/>
                <w:right w:val="none" w:sz="0" w:space="0" w:color="auto"/>
              </w:divBdr>
            </w:div>
            <w:div w:id="207265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5410">
      <w:bodyDiv w:val="1"/>
      <w:marLeft w:val="0"/>
      <w:marRight w:val="0"/>
      <w:marTop w:val="0"/>
      <w:marBottom w:val="0"/>
      <w:divBdr>
        <w:top w:val="none" w:sz="0" w:space="0" w:color="auto"/>
        <w:left w:val="none" w:sz="0" w:space="0" w:color="auto"/>
        <w:bottom w:val="none" w:sz="0" w:space="0" w:color="auto"/>
        <w:right w:val="none" w:sz="0" w:space="0" w:color="auto"/>
      </w:divBdr>
    </w:div>
    <w:div w:id="148911814">
      <w:bodyDiv w:val="1"/>
      <w:marLeft w:val="0"/>
      <w:marRight w:val="0"/>
      <w:marTop w:val="0"/>
      <w:marBottom w:val="0"/>
      <w:divBdr>
        <w:top w:val="none" w:sz="0" w:space="0" w:color="auto"/>
        <w:left w:val="none" w:sz="0" w:space="0" w:color="auto"/>
        <w:bottom w:val="none" w:sz="0" w:space="0" w:color="auto"/>
        <w:right w:val="none" w:sz="0" w:space="0" w:color="auto"/>
      </w:divBdr>
    </w:div>
    <w:div w:id="151340558">
      <w:bodyDiv w:val="1"/>
      <w:marLeft w:val="0"/>
      <w:marRight w:val="0"/>
      <w:marTop w:val="0"/>
      <w:marBottom w:val="0"/>
      <w:divBdr>
        <w:top w:val="none" w:sz="0" w:space="0" w:color="auto"/>
        <w:left w:val="none" w:sz="0" w:space="0" w:color="auto"/>
        <w:bottom w:val="none" w:sz="0" w:space="0" w:color="auto"/>
        <w:right w:val="none" w:sz="0" w:space="0" w:color="auto"/>
      </w:divBdr>
    </w:div>
    <w:div w:id="173230670">
      <w:bodyDiv w:val="1"/>
      <w:marLeft w:val="0"/>
      <w:marRight w:val="0"/>
      <w:marTop w:val="0"/>
      <w:marBottom w:val="0"/>
      <w:divBdr>
        <w:top w:val="none" w:sz="0" w:space="0" w:color="auto"/>
        <w:left w:val="none" w:sz="0" w:space="0" w:color="auto"/>
        <w:bottom w:val="none" w:sz="0" w:space="0" w:color="auto"/>
        <w:right w:val="none" w:sz="0" w:space="0" w:color="auto"/>
      </w:divBdr>
    </w:div>
    <w:div w:id="179393380">
      <w:bodyDiv w:val="1"/>
      <w:marLeft w:val="0"/>
      <w:marRight w:val="0"/>
      <w:marTop w:val="0"/>
      <w:marBottom w:val="0"/>
      <w:divBdr>
        <w:top w:val="none" w:sz="0" w:space="0" w:color="auto"/>
        <w:left w:val="none" w:sz="0" w:space="0" w:color="auto"/>
        <w:bottom w:val="none" w:sz="0" w:space="0" w:color="auto"/>
        <w:right w:val="none" w:sz="0" w:space="0" w:color="auto"/>
      </w:divBdr>
    </w:div>
    <w:div w:id="198396889">
      <w:bodyDiv w:val="1"/>
      <w:marLeft w:val="0"/>
      <w:marRight w:val="0"/>
      <w:marTop w:val="0"/>
      <w:marBottom w:val="0"/>
      <w:divBdr>
        <w:top w:val="none" w:sz="0" w:space="0" w:color="auto"/>
        <w:left w:val="none" w:sz="0" w:space="0" w:color="auto"/>
        <w:bottom w:val="none" w:sz="0" w:space="0" w:color="auto"/>
        <w:right w:val="none" w:sz="0" w:space="0" w:color="auto"/>
      </w:divBdr>
    </w:div>
    <w:div w:id="218253349">
      <w:bodyDiv w:val="1"/>
      <w:marLeft w:val="0"/>
      <w:marRight w:val="0"/>
      <w:marTop w:val="0"/>
      <w:marBottom w:val="0"/>
      <w:divBdr>
        <w:top w:val="none" w:sz="0" w:space="0" w:color="auto"/>
        <w:left w:val="none" w:sz="0" w:space="0" w:color="auto"/>
        <w:bottom w:val="none" w:sz="0" w:space="0" w:color="auto"/>
        <w:right w:val="none" w:sz="0" w:space="0" w:color="auto"/>
      </w:divBdr>
      <w:divsChild>
        <w:div w:id="83496981">
          <w:marLeft w:val="0"/>
          <w:marRight w:val="0"/>
          <w:marTop w:val="0"/>
          <w:marBottom w:val="0"/>
          <w:divBdr>
            <w:top w:val="none" w:sz="0" w:space="0" w:color="auto"/>
            <w:left w:val="none" w:sz="0" w:space="0" w:color="auto"/>
            <w:bottom w:val="none" w:sz="0" w:space="0" w:color="auto"/>
            <w:right w:val="none" w:sz="0" w:space="0" w:color="auto"/>
          </w:divBdr>
          <w:divsChild>
            <w:div w:id="133957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675491">
      <w:bodyDiv w:val="1"/>
      <w:marLeft w:val="0"/>
      <w:marRight w:val="0"/>
      <w:marTop w:val="0"/>
      <w:marBottom w:val="0"/>
      <w:divBdr>
        <w:top w:val="none" w:sz="0" w:space="0" w:color="auto"/>
        <w:left w:val="none" w:sz="0" w:space="0" w:color="auto"/>
        <w:bottom w:val="none" w:sz="0" w:space="0" w:color="auto"/>
        <w:right w:val="none" w:sz="0" w:space="0" w:color="auto"/>
      </w:divBdr>
      <w:divsChild>
        <w:div w:id="1486895899">
          <w:marLeft w:val="0"/>
          <w:marRight w:val="0"/>
          <w:marTop w:val="0"/>
          <w:marBottom w:val="0"/>
          <w:divBdr>
            <w:top w:val="none" w:sz="0" w:space="0" w:color="auto"/>
            <w:left w:val="none" w:sz="0" w:space="0" w:color="auto"/>
            <w:bottom w:val="none" w:sz="0" w:space="0" w:color="auto"/>
            <w:right w:val="none" w:sz="0" w:space="0" w:color="auto"/>
          </w:divBdr>
          <w:divsChild>
            <w:div w:id="8100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3399">
      <w:bodyDiv w:val="1"/>
      <w:marLeft w:val="0"/>
      <w:marRight w:val="0"/>
      <w:marTop w:val="0"/>
      <w:marBottom w:val="0"/>
      <w:divBdr>
        <w:top w:val="none" w:sz="0" w:space="0" w:color="auto"/>
        <w:left w:val="none" w:sz="0" w:space="0" w:color="auto"/>
        <w:bottom w:val="none" w:sz="0" w:space="0" w:color="auto"/>
        <w:right w:val="none" w:sz="0" w:space="0" w:color="auto"/>
      </w:divBdr>
      <w:divsChild>
        <w:div w:id="701442491">
          <w:marLeft w:val="0"/>
          <w:marRight w:val="0"/>
          <w:marTop w:val="0"/>
          <w:marBottom w:val="0"/>
          <w:divBdr>
            <w:top w:val="none" w:sz="0" w:space="0" w:color="auto"/>
            <w:left w:val="none" w:sz="0" w:space="0" w:color="auto"/>
            <w:bottom w:val="none" w:sz="0" w:space="0" w:color="auto"/>
            <w:right w:val="none" w:sz="0" w:space="0" w:color="auto"/>
          </w:divBdr>
          <w:divsChild>
            <w:div w:id="183121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87772">
      <w:bodyDiv w:val="1"/>
      <w:marLeft w:val="0"/>
      <w:marRight w:val="0"/>
      <w:marTop w:val="0"/>
      <w:marBottom w:val="0"/>
      <w:divBdr>
        <w:top w:val="none" w:sz="0" w:space="0" w:color="auto"/>
        <w:left w:val="none" w:sz="0" w:space="0" w:color="auto"/>
        <w:bottom w:val="none" w:sz="0" w:space="0" w:color="auto"/>
        <w:right w:val="none" w:sz="0" w:space="0" w:color="auto"/>
      </w:divBdr>
      <w:divsChild>
        <w:div w:id="3284409">
          <w:marLeft w:val="1166"/>
          <w:marRight w:val="0"/>
          <w:marTop w:val="140"/>
          <w:marBottom w:val="0"/>
          <w:divBdr>
            <w:top w:val="none" w:sz="0" w:space="0" w:color="auto"/>
            <w:left w:val="none" w:sz="0" w:space="0" w:color="auto"/>
            <w:bottom w:val="none" w:sz="0" w:space="0" w:color="auto"/>
            <w:right w:val="none" w:sz="0" w:space="0" w:color="auto"/>
          </w:divBdr>
        </w:div>
        <w:div w:id="174922342">
          <w:marLeft w:val="533"/>
          <w:marRight w:val="0"/>
          <w:marTop w:val="230"/>
          <w:marBottom w:val="0"/>
          <w:divBdr>
            <w:top w:val="none" w:sz="0" w:space="0" w:color="auto"/>
            <w:left w:val="none" w:sz="0" w:space="0" w:color="auto"/>
            <w:bottom w:val="none" w:sz="0" w:space="0" w:color="auto"/>
            <w:right w:val="none" w:sz="0" w:space="0" w:color="auto"/>
          </w:divBdr>
        </w:div>
        <w:div w:id="383482715">
          <w:marLeft w:val="1800"/>
          <w:marRight w:val="0"/>
          <w:marTop w:val="120"/>
          <w:marBottom w:val="0"/>
          <w:divBdr>
            <w:top w:val="none" w:sz="0" w:space="0" w:color="auto"/>
            <w:left w:val="none" w:sz="0" w:space="0" w:color="auto"/>
            <w:bottom w:val="none" w:sz="0" w:space="0" w:color="auto"/>
            <w:right w:val="none" w:sz="0" w:space="0" w:color="auto"/>
          </w:divBdr>
        </w:div>
        <w:div w:id="499128555">
          <w:marLeft w:val="1800"/>
          <w:marRight w:val="0"/>
          <w:marTop w:val="120"/>
          <w:marBottom w:val="0"/>
          <w:divBdr>
            <w:top w:val="none" w:sz="0" w:space="0" w:color="auto"/>
            <w:left w:val="none" w:sz="0" w:space="0" w:color="auto"/>
            <w:bottom w:val="none" w:sz="0" w:space="0" w:color="auto"/>
            <w:right w:val="none" w:sz="0" w:space="0" w:color="auto"/>
          </w:divBdr>
        </w:div>
        <w:div w:id="517234024">
          <w:marLeft w:val="1166"/>
          <w:marRight w:val="0"/>
          <w:marTop w:val="140"/>
          <w:marBottom w:val="0"/>
          <w:divBdr>
            <w:top w:val="none" w:sz="0" w:space="0" w:color="auto"/>
            <w:left w:val="none" w:sz="0" w:space="0" w:color="auto"/>
            <w:bottom w:val="none" w:sz="0" w:space="0" w:color="auto"/>
            <w:right w:val="none" w:sz="0" w:space="0" w:color="auto"/>
          </w:divBdr>
        </w:div>
        <w:div w:id="646933616">
          <w:marLeft w:val="1166"/>
          <w:marRight w:val="0"/>
          <w:marTop w:val="140"/>
          <w:marBottom w:val="0"/>
          <w:divBdr>
            <w:top w:val="none" w:sz="0" w:space="0" w:color="auto"/>
            <w:left w:val="none" w:sz="0" w:space="0" w:color="auto"/>
            <w:bottom w:val="none" w:sz="0" w:space="0" w:color="auto"/>
            <w:right w:val="none" w:sz="0" w:space="0" w:color="auto"/>
          </w:divBdr>
        </w:div>
        <w:div w:id="951205997">
          <w:marLeft w:val="1800"/>
          <w:marRight w:val="0"/>
          <w:marTop w:val="120"/>
          <w:marBottom w:val="0"/>
          <w:divBdr>
            <w:top w:val="none" w:sz="0" w:space="0" w:color="auto"/>
            <w:left w:val="none" w:sz="0" w:space="0" w:color="auto"/>
            <w:bottom w:val="none" w:sz="0" w:space="0" w:color="auto"/>
            <w:right w:val="none" w:sz="0" w:space="0" w:color="auto"/>
          </w:divBdr>
        </w:div>
        <w:div w:id="1151365242">
          <w:marLeft w:val="1166"/>
          <w:marRight w:val="0"/>
          <w:marTop w:val="140"/>
          <w:marBottom w:val="0"/>
          <w:divBdr>
            <w:top w:val="none" w:sz="0" w:space="0" w:color="auto"/>
            <w:left w:val="none" w:sz="0" w:space="0" w:color="auto"/>
            <w:bottom w:val="none" w:sz="0" w:space="0" w:color="auto"/>
            <w:right w:val="none" w:sz="0" w:space="0" w:color="auto"/>
          </w:divBdr>
        </w:div>
        <w:div w:id="1365595356">
          <w:marLeft w:val="1800"/>
          <w:marRight w:val="0"/>
          <w:marTop w:val="120"/>
          <w:marBottom w:val="0"/>
          <w:divBdr>
            <w:top w:val="none" w:sz="0" w:space="0" w:color="auto"/>
            <w:left w:val="none" w:sz="0" w:space="0" w:color="auto"/>
            <w:bottom w:val="none" w:sz="0" w:space="0" w:color="auto"/>
            <w:right w:val="none" w:sz="0" w:space="0" w:color="auto"/>
          </w:divBdr>
        </w:div>
        <w:div w:id="1993413618">
          <w:marLeft w:val="533"/>
          <w:marRight w:val="0"/>
          <w:marTop w:val="230"/>
          <w:marBottom w:val="0"/>
          <w:divBdr>
            <w:top w:val="none" w:sz="0" w:space="0" w:color="auto"/>
            <w:left w:val="none" w:sz="0" w:space="0" w:color="auto"/>
            <w:bottom w:val="none" w:sz="0" w:space="0" w:color="auto"/>
            <w:right w:val="none" w:sz="0" w:space="0" w:color="auto"/>
          </w:divBdr>
        </w:div>
      </w:divsChild>
    </w:div>
    <w:div w:id="317079735">
      <w:bodyDiv w:val="1"/>
      <w:marLeft w:val="0"/>
      <w:marRight w:val="0"/>
      <w:marTop w:val="0"/>
      <w:marBottom w:val="0"/>
      <w:divBdr>
        <w:top w:val="none" w:sz="0" w:space="0" w:color="auto"/>
        <w:left w:val="none" w:sz="0" w:space="0" w:color="auto"/>
        <w:bottom w:val="none" w:sz="0" w:space="0" w:color="auto"/>
        <w:right w:val="none" w:sz="0" w:space="0" w:color="auto"/>
      </w:divBdr>
    </w:div>
    <w:div w:id="332075394">
      <w:bodyDiv w:val="1"/>
      <w:marLeft w:val="0"/>
      <w:marRight w:val="0"/>
      <w:marTop w:val="0"/>
      <w:marBottom w:val="0"/>
      <w:divBdr>
        <w:top w:val="none" w:sz="0" w:space="0" w:color="auto"/>
        <w:left w:val="none" w:sz="0" w:space="0" w:color="auto"/>
        <w:bottom w:val="none" w:sz="0" w:space="0" w:color="auto"/>
        <w:right w:val="none" w:sz="0" w:space="0" w:color="auto"/>
      </w:divBdr>
    </w:div>
    <w:div w:id="336077153">
      <w:bodyDiv w:val="1"/>
      <w:marLeft w:val="0"/>
      <w:marRight w:val="0"/>
      <w:marTop w:val="0"/>
      <w:marBottom w:val="0"/>
      <w:divBdr>
        <w:top w:val="none" w:sz="0" w:space="0" w:color="auto"/>
        <w:left w:val="none" w:sz="0" w:space="0" w:color="auto"/>
        <w:bottom w:val="none" w:sz="0" w:space="0" w:color="auto"/>
        <w:right w:val="none" w:sz="0" w:space="0" w:color="auto"/>
      </w:divBdr>
    </w:div>
    <w:div w:id="434791943">
      <w:bodyDiv w:val="1"/>
      <w:marLeft w:val="0"/>
      <w:marRight w:val="0"/>
      <w:marTop w:val="0"/>
      <w:marBottom w:val="0"/>
      <w:divBdr>
        <w:top w:val="none" w:sz="0" w:space="0" w:color="auto"/>
        <w:left w:val="none" w:sz="0" w:space="0" w:color="auto"/>
        <w:bottom w:val="none" w:sz="0" w:space="0" w:color="auto"/>
        <w:right w:val="none" w:sz="0" w:space="0" w:color="auto"/>
      </w:divBdr>
      <w:divsChild>
        <w:div w:id="1560168434">
          <w:marLeft w:val="547"/>
          <w:marRight w:val="0"/>
          <w:marTop w:val="134"/>
          <w:marBottom w:val="0"/>
          <w:divBdr>
            <w:top w:val="none" w:sz="0" w:space="0" w:color="auto"/>
            <w:left w:val="none" w:sz="0" w:space="0" w:color="auto"/>
            <w:bottom w:val="none" w:sz="0" w:space="0" w:color="auto"/>
            <w:right w:val="none" w:sz="0" w:space="0" w:color="auto"/>
          </w:divBdr>
        </w:div>
        <w:div w:id="546726764">
          <w:marLeft w:val="1166"/>
          <w:marRight w:val="0"/>
          <w:marTop w:val="134"/>
          <w:marBottom w:val="0"/>
          <w:divBdr>
            <w:top w:val="none" w:sz="0" w:space="0" w:color="auto"/>
            <w:left w:val="none" w:sz="0" w:space="0" w:color="auto"/>
            <w:bottom w:val="none" w:sz="0" w:space="0" w:color="auto"/>
            <w:right w:val="none" w:sz="0" w:space="0" w:color="auto"/>
          </w:divBdr>
        </w:div>
        <w:div w:id="161359317">
          <w:marLeft w:val="547"/>
          <w:marRight w:val="0"/>
          <w:marTop w:val="134"/>
          <w:marBottom w:val="0"/>
          <w:divBdr>
            <w:top w:val="none" w:sz="0" w:space="0" w:color="auto"/>
            <w:left w:val="none" w:sz="0" w:space="0" w:color="auto"/>
            <w:bottom w:val="none" w:sz="0" w:space="0" w:color="auto"/>
            <w:right w:val="none" w:sz="0" w:space="0" w:color="auto"/>
          </w:divBdr>
        </w:div>
        <w:div w:id="1554804789">
          <w:marLeft w:val="1166"/>
          <w:marRight w:val="0"/>
          <w:marTop w:val="134"/>
          <w:marBottom w:val="0"/>
          <w:divBdr>
            <w:top w:val="none" w:sz="0" w:space="0" w:color="auto"/>
            <w:left w:val="none" w:sz="0" w:space="0" w:color="auto"/>
            <w:bottom w:val="none" w:sz="0" w:space="0" w:color="auto"/>
            <w:right w:val="none" w:sz="0" w:space="0" w:color="auto"/>
          </w:divBdr>
        </w:div>
        <w:div w:id="1330793109">
          <w:marLeft w:val="1166"/>
          <w:marRight w:val="0"/>
          <w:marTop w:val="134"/>
          <w:marBottom w:val="0"/>
          <w:divBdr>
            <w:top w:val="none" w:sz="0" w:space="0" w:color="auto"/>
            <w:left w:val="none" w:sz="0" w:space="0" w:color="auto"/>
            <w:bottom w:val="none" w:sz="0" w:space="0" w:color="auto"/>
            <w:right w:val="none" w:sz="0" w:space="0" w:color="auto"/>
          </w:divBdr>
        </w:div>
        <w:div w:id="1561598197">
          <w:marLeft w:val="1800"/>
          <w:marRight w:val="0"/>
          <w:marTop w:val="115"/>
          <w:marBottom w:val="0"/>
          <w:divBdr>
            <w:top w:val="none" w:sz="0" w:space="0" w:color="auto"/>
            <w:left w:val="none" w:sz="0" w:space="0" w:color="auto"/>
            <w:bottom w:val="none" w:sz="0" w:space="0" w:color="auto"/>
            <w:right w:val="none" w:sz="0" w:space="0" w:color="auto"/>
          </w:divBdr>
        </w:div>
        <w:div w:id="1957590775">
          <w:marLeft w:val="1800"/>
          <w:marRight w:val="0"/>
          <w:marTop w:val="115"/>
          <w:marBottom w:val="0"/>
          <w:divBdr>
            <w:top w:val="none" w:sz="0" w:space="0" w:color="auto"/>
            <w:left w:val="none" w:sz="0" w:space="0" w:color="auto"/>
            <w:bottom w:val="none" w:sz="0" w:space="0" w:color="auto"/>
            <w:right w:val="none" w:sz="0" w:space="0" w:color="auto"/>
          </w:divBdr>
        </w:div>
        <w:div w:id="1390419874">
          <w:marLeft w:val="547"/>
          <w:marRight w:val="0"/>
          <w:marTop w:val="134"/>
          <w:marBottom w:val="0"/>
          <w:divBdr>
            <w:top w:val="none" w:sz="0" w:space="0" w:color="auto"/>
            <w:left w:val="none" w:sz="0" w:space="0" w:color="auto"/>
            <w:bottom w:val="none" w:sz="0" w:space="0" w:color="auto"/>
            <w:right w:val="none" w:sz="0" w:space="0" w:color="auto"/>
          </w:divBdr>
        </w:div>
        <w:div w:id="1773427132">
          <w:marLeft w:val="547"/>
          <w:marRight w:val="0"/>
          <w:marTop w:val="134"/>
          <w:marBottom w:val="0"/>
          <w:divBdr>
            <w:top w:val="none" w:sz="0" w:space="0" w:color="auto"/>
            <w:left w:val="none" w:sz="0" w:space="0" w:color="auto"/>
            <w:bottom w:val="none" w:sz="0" w:space="0" w:color="auto"/>
            <w:right w:val="none" w:sz="0" w:space="0" w:color="auto"/>
          </w:divBdr>
        </w:div>
      </w:divsChild>
    </w:div>
    <w:div w:id="446318410">
      <w:bodyDiv w:val="1"/>
      <w:marLeft w:val="0"/>
      <w:marRight w:val="0"/>
      <w:marTop w:val="0"/>
      <w:marBottom w:val="0"/>
      <w:divBdr>
        <w:top w:val="none" w:sz="0" w:space="0" w:color="auto"/>
        <w:left w:val="none" w:sz="0" w:space="0" w:color="auto"/>
        <w:bottom w:val="none" w:sz="0" w:space="0" w:color="auto"/>
        <w:right w:val="none" w:sz="0" w:space="0" w:color="auto"/>
      </w:divBdr>
    </w:div>
    <w:div w:id="515194596">
      <w:bodyDiv w:val="1"/>
      <w:marLeft w:val="0"/>
      <w:marRight w:val="0"/>
      <w:marTop w:val="0"/>
      <w:marBottom w:val="0"/>
      <w:divBdr>
        <w:top w:val="none" w:sz="0" w:space="0" w:color="auto"/>
        <w:left w:val="none" w:sz="0" w:space="0" w:color="auto"/>
        <w:bottom w:val="none" w:sz="0" w:space="0" w:color="auto"/>
        <w:right w:val="none" w:sz="0" w:space="0" w:color="auto"/>
      </w:divBdr>
      <w:divsChild>
        <w:div w:id="1052969882">
          <w:marLeft w:val="0"/>
          <w:marRight w:val="0"/>
          <w:marTop w:val="0"/>
          <w:marBottom w:val="0"/>
          <w:divBdr>
            <w:top w:val="none" w:sz="0" w:space="0" w:color="auto"/>
            <w:left w:val="none" w:sz="0" w:space="0" w:color="auto"/>
            <w:bottom w:val="none" w:sz="0" w:space="0" w:color="auto"/>
            <w:right w:val="none" w:sz="0" w:space="0" w:color="auto"/>
          </w:divBdr>
        </w:div>
      </w:divsChild>
    </w:div>
    <w:div w:id="530384766">
      <w:bodyDiv w:val="1"/>
      <w:marLeft w:val="0"/>
      <w:marRight w:val="0"/>
      <w:marTop w:val="0"/>
      <w:marBottom w:val="0"/>
      <w:divBdr>
        <w:top w:val="none" w:sz="0" w:space="0" w:color="auto"/>
        <w:left w:val="none" w:sz="0" w:space="0" w:color="auto"/>
        <w:bottom w:val="none" w:sz="0" w:space="0" w:color="auto"/>
        <w:right w:val="none" w:sz="0" w:space="0" w:color="auto"/>
      </w:divBdr>
      <w:divsChild>
        <w:div w:id="408118674">
          <w:marLeft w:val="547"/>
          <w:marRight w:val="0"/>
          <w:marTop w:val="154"/>
          <w:marBottom w:val="0"/>
          <w:divBdr>
            <w:top w:val="none" w:sz="0" w:space="0" w:color="auto"/>
            <w:left w:val="none" w:sz="0" w:space="0" w:color="auto"/>
            <w:bottom w:val="none" w:sz="0" w:space="0" w:color="auto"/>
            <w:right w:val="none" w:sz="0" w:space="0" w:color="auto"/>
          </w:divBdr>
        </w:div>
        <w:div w:id="877738424">
          <w:marLeft w:val="1166"/>
          <w:marRight w:val="0"/>
          <w:marTop w:val="134"/>
          <w:marBottom w:val="0"/>
          <w:divBdr>
            <w:top w:val="none" w:sz="0" w:space="0" w:color="auto"/>
            <w:left w:val="none" w:sz="0" w:space="0" w:color="auto"/>
            <w:bottom w:val="none" w:sz="0" w:space="0" w:color="auto"/>
            <w:right w:val="none" w:sz="0" w:space="0" w:color="auto"/>
          </w:divBdr>
        </w:div>
        <w:div w:id="1652444939">
          <w:marLeft w:val="1166"/>
          <w:marRight w:val="0"/>
          <w:marTop w:val="134"/>
          <w:marBottom w:val="0"/>
          <w:divBdr>
            <w:top w:val="none" w:sz="0" w:space="0" w:color="auto"/>
            <w:left w:val="none" w:sz="0" w:space="0" w:color="auto"/>
            <w:bottom w:val="none" w:sz="0" w:space="0" w:color="auto"/>
            <w:right w:val="none" w:sz="0" w:space="0" w:color="auto"/>
          </w:divBdr>
        </w:div>
        <w:div w:id="1804494121">
          <w:marLeft w:val="1166"/>
          <w:marRight w:val="0"/>
          <w:marTop w:val="134"/>
          <w:marBottom w:val="0"/>
          <w:divBdr>
            <w:top w:val="none" w:sz="0" w:space="0" w:color="auto"/>
            <w:left w:val="none" w:sz="0" w:space="0" w:color="auto"/>
            <w:bottom w:val="none" w:sz="0" w:space="0" w:color="auto"/>
            <w:right w:val="none" w:sz="0" w:space="0" w:color="auto"/>
          </w:divBdr>
        </w:div>
        <w:div w:id="1835025423">
          <w:marLeft w:val="547"/>
          <w:marRight w:val="0"/>
          <w:marTop w:val="154"/>
          <w:marBottom w:val="0"/>
          <w:divBdr>
            <w:top w:val="none" w:sz="0" w:space="0" w:color="auto"/>
            <w:left w:val="none" w:sz="0" w:space="0" w:color="auto"/>
            <w:bottom w:val="none" w:sz="0" w:space="0" w:color="auto"/>
            <w:right w:val="none" w:sz="0" w:space="0" w:color="auto"/>
          </w:divBdr>
        </w:div>
        <w:div w:id="1883905542">
          <w:marLeft w:val="1166"/>
          <w:marRight w:val="0"/>
          <w:marTop w:val="134"/>
          <w:marBottom w:val="0"/>
          <w:divBdr>
            <w:top w:val="none" w:sz="0" w:space="0" w:color="auto"/>
            <w:left w:val="none" w:sz="0" w:space="0" w:color="auto"/>
            <w:bottom w:val="none" w:sz="0" w:space="0" w:color="auto"/>
            <w:right w:val="none" w:sz="0" w:space="0" w:color="auto"/>
          </w:divBdr>
        </w:div>
        <w:div w:id="2085762933">
          <w:marLeft w:val="547"/>
          <w:marRight w:val="0"/>
          <w:marTop w:val="154"/>
          <w:marBottom w:val="0"/>
          <w:divBdr>
            <w:top w:val="none" w:sz="0" w:space="0" w:color="auto"/>
            <w:left w:val="none" w:sz="0" w:space="0" w:color="auto"/>
            <w:bottom w:val="none" w:sz="0" w:space="0" w:color="auto"/>
            <w:right w:val="none" w:sz="0" w:space="0" w:color="auto"/>
          </w:divBdr>
        </w:div>
      </w:divsChild>
    </w:div>
    <w:div w:id="532884347">
      <w:bodyDiv w:val="1"/>
      <w:marLeft w:val="0"/>
      <w:marRight w:val="0"/>
      <w:marTop w:val="0"/>
      <w:marBottom w:val="0"/>
      <w:divBdr>
        <w:top w:val="none" w:sz="0" w:space="0" w:color="auto"/>
        <w:left w:val="none" w:sz="0" w:space="0" w:color="auto"/>
        <w:bottom w:val="none" w:sz="0" w:space="0" w:color="auto"/>
        <w:right w:val="none" w:sz="0" w:space="0" w:color="auto"/>
      </w:divBdr>
    </w:div>
    <w:div w:id="574317108">
      <w:bodyDiv w:val="1"/>
      <w:marLeft w:val="0"/>
      <w:marRight w:val="0"/>
      <w:marTop w:val="0"/>
      <w:marBottom w:val="0"/>
      <w:divBdr>
        <w:top w:val="none" w:sz="0" w:space="0" w:color="auto"/>
        <w:left w:val="none" w:sz="0" w:space="0" w:color="auto"/>
        <w:bottom w:val="none" w:sz="0" w:space="0" w:color="auto"/>
        <w:right w:val="none" w:sz="0" w:space="0" w:color="auto"/>
      </w:divBdr>
      <w:divsChild>
        <w:div w:id="1704086974">
          <w:marLeft w:val="0"/>
          <w:marRight w:val="0"/>
          <w:marTop w:val="0"/>
          <w:marBottom w:val="0"/>
          <w:divBdr>
            <w:top w:val="none" w:sz="0" w:space="0" w:color="auto"/>
            <w:left w:val="none" w:sz="0" w:space="0" w:color="auto"/>
            <w:bottom w:val="none" w:sz="0" w:space="0" w:color="auto"/>
            <w:right w:val="none" w:sz="0" w:space="0" w:color="auto"/>
          </w:divBdr>
        </w:div>
      </w:divsChild>
    </w:div>
    <w:div w:id="627585827">
      <w:bodyDiv w:val="1"/>
      <w:marLeft w:val="0"/>
      <w:marRight w:val="0"/>
      <w:marTop w:val="0"/>
      <w:marBottom w:val="0"/>
      <w:divBdr>
        <w:top w:val="none" w:sz="0" w:space="0" w:color="auto"/>
        <w:left w:val="none" w:sz="0" w:space="0" w:color="auto"/>
        <w:bottom w:val="none" w:sz="0" w:space="0" w:color="auto"/>
        <w:right w:val="none" w:sz="0" w:space="0" w:color="auto"/>
      </w:divBdr>
      <w:divsChild>
        <w:div w:id="324631826">
          <w:marLeft w:val="547"/>
          <w:marRight w:val="0"/>
          <w:marTop w:val="154"/>
          <w:marBottom w:val="0"/>
          <w:divBdr>
            <w:top w:val="none" w:sz="0" w:space="0" w:color="auto"/>
            <w:left w:val="none" w:sz="0" w:space="0" w:color="auto"/>
            <w:bottom w:val="none" w:sz="0" w:space="0" w:color="auto"/>
            <w:right w:val="none" w:sz="0" w:space="0" w:color="auto"/>
          </w:divBdr>
        </w:div>
        <w:div w:id="399837332">
          <w:marLeft w:val="547"/>
          <w:marRight w:val="0"/>
          <w:marTop w:val="154"/>
          <w:marBottom w:val="0"/>
          <w:divBdr>
            <w:top w:val="none" w:sz="0" w:space="0" w:color="auto"/>
            <w:left w:val="none" w:sz="0" w:space="0" w:color="auto"/>
            <w:bottom w:val="none" w:sz="0" w:space="0" w:color="auto"/>
            <w:right w:val="none" w:sz="0" w:space="0" w:color="auto"/>
          </w:divBdr>
        </w:div>
        <w:div w:id="546647297">
          <w:marLeft w:val="547"/>
          <w:marRight w:val="0"/>
          <w:marTop w:val="154"/>
          <w:marBottom w:val="0"/>
          <w:divBdr>
            <w:top w:val="none" w:sz="0" w:space="0" w:color="auto"/>
            <w:left w:val="none" w:sz="0" w:space="0" w:color="auto"/>
            <w:bottom w:val="none" w:sz="0" w:space="0" w:color="auto"/>
            <w:right w:val="none" w:sz="0" w:space="0" w:color="auto"/>
          </w:divBdr>
        </w:div>
        <w:div w:id="1503202609">
          <w:marLeft w:val="1166"/>
          <w:marRight w:val="0"/>
          <w:marTop w:val="134"/>
          <w:marBottom w:val="0"/>
          <w:divBdr>
            <w:top w:val="none" w:sz="0" w:space="0" w:color="auto"/>
            <w:left w:val="none" w:sz="0" w:space="0" w:color="auto"/>
            <w:bottom w:val="none" w:sz="0" w:space="0" w:color="auto"/>
            <w:right w:val="none" w:sz="0" w:space="0" w:color="auto"/>
          </w:divBdr>
        </w:div>
      </w:divsChild>
    </w:div>
    <w:div w:id="647441297">
      <w:bodyDiv w:val="1"/>
      <w:marLeft w:val="0"/>
      <w:marRight w:val="0"/>
      <w:marTop w:val="0"/>
      <w:marBottom w:val="0"/>
      <w:divBdr>
        <w:top w:val="none" w:sz="0" w:space="0" w:color="auto"/>
        <w:left w:val="none" w:sz="0" w:space="0" w:color="auto"/>
        <w:bottom w:val="none" w:sz="0" w:space="0" w:color="auto"/>
        <w:right w:val="none" w:sz="0" w:space="0" w:color="auto"/>
      </w:divBdr>
      <w:divsChild>
        <w:div w:id="1709064285">
          <w:marLeft w:val="0"/>
          <w:marRight w:val="0"/>
          <w:marTop w:val="86"/>
          <w:marBottom w:val="0"/>
          <w:divBdr>
            <w:top w:val="none" w:sz="0" w:space="0" w:color="auto"/>
            <w:left w:val="none" w:sz="0" w:space="0" w:color="auto"/>
            <w:bottom w:val="none" w:sz="0" w:space="0" w:color="auto"/>
            <w:right w:val="none" w:sz="0" w:space="0" w:color="auto"/>
          </w:divBdr>
        </w:div>
        <w:div w:id="1495335834">
          <w:marLeft w:val="720"/>
          <w:marRight w:val="0"/>
          <w:marTop w:val="86"/>
          <w:marBottom w:val="0"/>
          <w:divBdr>
            <w:top w:val="none" w:sz="0" w:space="0" w:color="auto"/>
            <w:left w:val="none" w:sz="0" w:space="0" w:color="auto"/>
            <w:bottom w:val="none" w:sz="0" w:space="0" w:color="auto"/>
            <w:right w:val="none" w:sz="0" w:space="0" w:color="auto"/>
          </w:divBdr>
        </w:div>
        <w:div w:id="1052660022">
          <w:marLeft w:val="0"/>
          <w:marRight w:val="0"/>
          <w:marTop w:val="86"/>
          <w:marBottom w:val="0"/>
          <w:divBdr>
            <w:top w:val="none" w:sz="0" w:space="0" w:color="auto"/>
            <w:left w:val="none" w:sz="0" w:space="0" w:color="auto"/>
            <w:bottom w:val="none" w:sz="0" w:space="0" w:color="auto"/>
            <w:right w:val="none" w:sz="0" w:space="0" w:color="auto"/>
          </w:divBdr>
        </w:div>
      </w:divsChild>
    </w:div>
    <w:div w:id="665208906">
      <w:bodyDiv w:val="1"/>
      <w:marLeft w:val="0"/>
      <w:marRight w:val="0"/>
      <w:marTop w:val="0"/>
      <w:marBottom w:val="0"/>
      <w:divBdr>
        <w:top w:val="none" w:sz="0" w:space="0" w:color="auto"/>
        <w:left w:val="none" w:sz="0" w:space="0" w:color="auto"/>
        <w:bottom w:val="none" w:sz="0" w:space="0" w:color="auto"/>
        <w:right w:val="none" w:sz="0" w:space="0" w:color="auto"/>
      </w:divBdr>
      <w:divsChild>
        <w:div w:id="2025939339">
          <w:marLeft w:val="547"/>
          <w:marRight w:val="0"/>
          <w:marTop w:val="134"/>
          <w:marBottom w:val="0"/>
          <w:divBdr>
            <w:top w:val="none" w:sz="0" w:space="0" w:color="auto"/>
            <w:left w:val="none" w:sz="0" w:space="0" w:color="auto"/>
            <w:bottom w:val="none" w:sz="0" w:space="0" w:color="auto"/>
            <w:right w:val="none" w:sz="0" w:space="0" w:color="auto"/>
          </w:divBdr>
        </w:div>
        <w:div w:id="1055157118">
          <w:marLeft w:val="1166"/>
          <w:marRight w:val="0"/>
          <w:marTop w:val="134"/>
          <w:marBottom w:val="0"/>
          <w:divBdr>
            <w:top w:val="none" w:sz="0" w:space="0" w:color="auto"/>
            <w:left w:val="none" w:sz="0" w:space="0" w:color="auto"/>
            <w:bottom w:val="none" w:sz="0" w:space="0" w:color="auto"/>
            <w:right w:val="none" w:sz="0" w:space="0" w:color="auto"/>
          </w:divBdr>
        </w:div>
        <w:div w:id="1528367677">
          <w:marLeft w:val="547"/>
          <w:marRight w:val="0"/>
          <w:marTop w:val="134"/>
          <w:marBottom w:val="0"/>
          <w:divBdr>
            <w:top w:val="none" w:sz="0" w:space="0" w:color="auto"/>
            <w:left w:val="none" w:sz="0" w:space="0" w:color="auto"/>
            <w:bottom w:val="none" w:sz="0" w:space="0" w:color="auto"/>
            <w:right w:val="none" w:sz="0" w:space="0" w:color="auto"/>
          </w:divBdr>
        </w:div>
        <w:div w:id="1568806818">
          <w:marLeft w:val="1166"/>
          <w:marRight w:val="0"/>
          <w:marTop w:val="134"/>
          <w:marBottom w:val="0"/>
          <w:divBdr>
            <w:top w:val="none" w:sz="0" w:space="0" w:color="auto"/>
            <w:left w:val="none" w:sz="0" w:space="0" w:color="auto"/>
            <w:bottom w:val="none" w:sz="0" w:space="0" w:color="auto"/>
            <w:right w:val="none" w:sz="0" w:space="0" w:color="auto"/>
          </w:divBdr>
        </w:div>
      </w:divsChild>
    </w:div>
    <w:div w:id="698051224">
      <w:bodyDiv w:val="1"/>
      <w:marLeft w:val="0"/>
      <w:marRight w:val="0"/>
      <w:marTop w:val="0"/>
      <w:marBottom w:val="0"/>
      <w:divBdr>
        <w:top w:val="none" w:sz="0" w:space="0" w:color="auto"/>
        <w:left w:val="none" w:sz="0" w:space="0" w:color="auto"/>
        <w:bottom w:val="none" w:sz="0" w:space="0" w:color="auto"/>
        <w:right w:val="none" w:sz="0" w:space="0" w:color="auto"/>
      </w:divBdr>
      <w:divsChild>
        <w:div w:id="2117941490">
          <w:marLeft w:val="0"/>
          <w:marRight w:val="0"/>
          <w:marTop w:val="0"/>
          <w:marBottom w:val="0"/>
          <w:divBdr>
            <w:top w:val="none" w:sz="0" w:space="0" w:color="auto"/>
            <w:left w:val="none" w:sz="0" w:space="0" w:color="auto"/>
            <w:bottom w:val="none" w:sz="0" w:space="0" w:color="auto"/>
            <w:right w:val="none" w:sz="0" w:space="0" w:color="auto"/>
          </w:divBdr>
          <w:divsChild>
            <w:div w:id="2058627465">
              <w:marLeft w:val="0"/>
              <w:marRight w:val="0"/>
              <w:marTop w:val="0"/>
              <w:marBottom w:val="0"/>
              <w:divBdr>
                <w:top w:val="none" w:sz="0" w:space="0" w:color="auto"/>
                <w:left w:val="none" w:sz="0" w:space="0" w:color="auto"/>
                <w:bottom w:val="none" w:sz="0" w:space="0" w:color="auto"/>
                <w:right w:val="none" w:sz="0" w:space="0" w:color="auto"/>
              </w:divBdr>
              <w:divsChild>
                <w:div w:id="245579680">
                  <w:marLeft w:val="0"/>
                  <w:marRight w:val="0"/>
                  <w:marTop w:val="0"/>
                  <w:marBottom w:val="0"/>
                  <w:divBdr>
                    <w:top w:val="none" w:sz="0" w:space="0" w:color="auto"/>
                    <w:left w:val="none" w:sz="0" w:space="0" w:color="auto"/>
                    <w:bottom w:val="none" w:sz="0" w:space="0" w:color="auto"/>
                    <w:right w:val="none" w:sz="0" w:space="0" w:color="auto"/>
                  </w:divBdr>
                  <w:divsChild>
                    <w:div w:id="971785084">
                      <w:marLeft w:val="0"/>
                      <w:marRight w:val="0"/>
                      <w:marTop w:val="0"/>
                      <w:marBottom w:val="0"/>
                      <w:divBdr>
                        <w:top w:val="none" w:sz="0" w:space="0" w:color="auto"/>
                        <w:left w:val="none" w:sz="0" w:space="0" w:color="auto"/>
                        <w:bottom w:val="none" w:sz="0" w:space="0" w:color="auto"/>
                        <w:right w:val="none" w:sz="0" w:space="0" w:color="auto"/>
                      </w:divBdr>
                      <w:divsChild>
                        <w:div w:id="396519703">
                          <w:marLeft w:val="0"/>
                          <w:marRight w:val="0"/>
                          <w:marTop w:val="0"/>
                          <w:marBottom w:val="0"/>
                          <w:divBdr>
                            <w:top w:val="none" w:sz="0" w:space="0" w:color="auto"/>
                            <w:left w:val="none" w:sz="0" w:space="0" w:color="auto"/>
                            <w:bottom w:val="none" w:sz="0" w:space="0" w:color="auto"/>
                            <w:right w:val="none" w:sz="0" w:space="0" w:color="auto"/>
                          </w:divBdr>
                          <w:divsChild>
                            <w:div w:id="72821687">
                              <w:marLeft w:val="0"/>
                              <w:marRight w:val="0"/>
                              <w:marTop w:val="0"/>
                              <w:marBottom w:val="0"/>
                              <w:divBdr>
                                <w:top w:val="none" w:sz="0" w:space="0" w:color="auto"/>
                                <w:left w:val="none" w:sz="0" w:space="0" w:color="auto"/>
                                <w:bottom w:val="none" w:sz="0" w:space="0" w:color="auto"/>
                                <w:right w:val="none" w:sz="0" w:space="0" w:color="auto"/>
                              </w:divBdr>
                              <w:divsChild>
                                <w:div w:id="26334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0791692">
      <w:bodyDiv w:val="1"/>
      <w:marLeft w:val="0"/>
      <w:marRight w:val="0"/>
      <w:marTop w:val="0"/>
      <w:marBottom w:val="0"/>
      <w:divBdr>
        <w:top w:val="none" w:sz="0" w:space="0" w:color="auto"/>
        <w:left w:val="none" w:sz="0" w:space="0" w:color="auto"/>
        <w:bottom w:val="none" w:sz="0" w:space="0" w:color="auto"/>
        <w:right w:val="none" w:sz="0" w:space="0" w:color="auto"/>
      </w:divBdr>
      <w:divsChild>
        <w:div w:id="1897007122">
          <w:marLeft w:val="0"/>
          <w:marRight w:val="0"/>
          <w:marTop w:val="0"/>
          <w:marBottom w:val="0"/>
          <w:divBdr>
            <w:top w:val="none" w:sz="0" w:space="0" w:color="auto"/>
            <w:left w:val="none" w:sz="0" w:space="0" w:color="auto"/>
            <w:bottom w:val="none" w:sz="0" w:space="0" w:color="auto"/>
            <w:right w:val="none" w:sz="0" w:space="0" w:color="auto"/>
          </w:divBdr>
          <w:divsChild>
            <w:div w:id="130441608">
              <w:marLeft w:val="0"/>
              <w:marRight w:val="0"/>
              <w:marTop w:val="0"/>
              <w:marBottom w:val="0"/>
              <w:divBdr>
                <w:top w:val="none" w:sz="0" w:space="0" w:color="auto"/>
                <w:left w:val="none" w:sz="0" w:space="0" w:color="auto"/>
                <w:bottom w:val="none" w:sz="0" w:space="0" w:color="auto"/>
                <w:right w:val="none" w:sz="0" w:space="0" w:color="auto"/>
              </w:divBdr>
            </w:div>
            <w:div w:id="198591148">
              <w:marLeft w:val="0"/>
              <w:marRight w:val="0"/>
              <w:marTop w:val="0"/>
              <w:marBottom w:val="0"/>
              <w:divBdr>
                <w:top w:val="none" w:sz="0" w:space="0" w:color="auto"/>
                <w:left w:val="none" w:sz="0" w:space="0" w:color="auto"/>
                <w:bottom w:val="none" w:sz="0" w:space="0" w:color="auto"/>
                <w:right w:val="none" w:sz="0" w:space="0" w:color="auto"/>
              </w:divBdr>
            </w:div>
            <w:div w:id="1075399879">
              <w:marLeft w:val="0"/>
              <w:marRight w:val="0"/>
              <w:marTop w:val="0"/>
              <w:marBottom w:val="0"/>
              <w:divBdr>
                <w:top w:val="none" w:sz="0" w:space="0" w:color="auto"/>
                <w:left w:val="none" w:sz="0" w:space="0" w:color="auto"/>
                <w:bottom w:val="none" w:sz="0" w:space="0" w:color="auto"/>
                <w:right w:val="none" w:sz="0" w:space="0" w:color="auto"/>
              </w:divBdr>
            </w:div>
            <w:div w:id="1393313879">
              <w:marLeft w:val="0"/>
              <w:marRight w:val="0"/>
              <w:marTop w:val="0"/>
              <w:marBottom w:val="0"/>
              <w:divBdr>
                <w:top w:val="none" w:sz="0" w:space="0" w:color="auto"/>
                <w:left w:val="none" w:sz="0" w:space="0" w:color="auto"/>
                <w:bottom w:val="none" w:sz="0" w:space="0" w:color="auto"/>
                <w:right w:val="none" w:sz="0" w:space="0" w:color="auto"/>
              </w:divBdr>
            </w:div>
            <w:div w:id="1419908107">
              <w:marLeft w:val="0"/>
              <w:marRight w:val="0"/>
              <w:marTop w:val="0"/>
              <w:marBottom w:val="0"/>
              <w:divBdr>
                <w:top w:val="none" w:sz="0" w:space="0" w:color="auto"/>
                <w:left w:val="none" w:sz="0" w:space="0" w:color="auto"/>
                <w:bottom w:val="none" w:sz="0" w:space="0" w:color="auto"/>
                <w:right w:val="none" w:sz="0" w:space="0" w:color="auto"/>
              </w:divBdr>
            </w:div>
            <w:div w:id="1462263788">
              <w:marLeft w:val="0"/>
              <w:marRight w:val="0"/>
              <w:marTop w:val="0"/>
              <w:marBottom w:val="0"/>
              <w:divBdr>
                <w:top w:val="none" w:sz="0" w:space="0" w:color="auto"/>
                <w:left w:val="none" w:sz="0" w:space="0" w:color="auto"/>
                <w:bottom w:val="none" w:sz="0" w:space="0" w:color="auto"/>
                <w:right w:val="none" w:sz="0" w:space="0" w:color="auto"/>
              </w:divBdr>
            </w:div>
            <w:div w:id="1631208863">
              <w:marLeft w:val="0"/>
              <w:marRight w:val="0"/>
              <w:marTop w:val="0"/>
              <w:marBottom w:val="0"/>
              <w:divBdr>
                <w:top w:val="none" w:sz="0" w:space="0" w:color="auto"/>
                <w:left w:val="none" w:sz="0" w:space="0" w:color="auto"/>
                <w:bottom w:val="none" w:sz="0" w:space="0" w:color="auto"/>
                <w:right w:val="none" w:sz="0" w:space="0" w:color="auto"/>
              </w:divBdr>
            </w:div>
            <w:div w:id="185410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16289">
      <w:bodyDiv w:val="1"/>
      <w:marLeft w:val="0"/>
      <w:marRight w:val="0"/>
      <w:marTop w:val="0"/>
      <w:marBottom w:val="0"/>
      <w:divBdr>
        <w:top w:val="none" w:sz="0" w:space="0" w:color="auto"/>
        <w:left w:val="none" w:sz="0" w:space="0" w:color="auto"/>
        <w:bottom w:val="none" w:sz="0" w:space="0" w:color="auto"/>
        <w:right w:val="none" w:sz="0" w:space="0" w:color="auto"/>
      </w:divBdr>
    </w:div>
    <w:div w:id="747311158">
      <w:bodyDiv w:val="1"/>
      <w:marLeft w:val="0"/>
      <w:marRight w:val="0"/>
      <w:marTop w:val="0"/>
      <w:marBottom w:val="0"/>
      <w:divBdr>
        <w:top w:val="none" w:sz="0" w:space="0" w:color="auto"/>
        <w:left w:val="none" w:sz="0" w:space="0" w:color="auto"/>
        <w:bottom w:val="none" w:sz="0" w:space="0" w:color="auto"/>
        <w:right w:val="none" w:sz="0" w:space="0" w:color="auto"/>
      </w:divBdr>
      <w:divsChild>
        <w:div w:id="2144732842">
          <w:marLeft w:val="605"/>
          <w:marRight w:val="0"/>
          <w:marTop w:val="140"/>
          <w:marBottom w:val="0"/>
          <w:divBdr>
            <w:top w:val="none" w:sz="0" w:space="0" w:color="auto"/>
            <w:left w:val="none" w:sz="0" w:space="0" w:color="auto"/>
            <w:bottom w:val="none" w:sz="0" w:space="0" w:color="auto"/>
            <w:right w:val="none" w:sz="0" w:space="0" w:color="auto"/>
          </w:divBdr>
        </w:div>
        <w:div w:id="611713356">
          <w:marLeft w:val="1166"/>
          <w:marRight w:val="0"/>
          <w:marTop w:val="140"/>
          <w:marBottom w:val="0"/>
          <w:divBdr>
            <w:top w:val="none" w:sz="0" w:space="0" w:color="auto"/>
            <w:left w:val="none" w:sz="0" w:space="0" w:color="auto"/>
            <w:bottom w:val="none" w:sz="0" w:space="0" w:color="auto"/>
            <w:right w:val="none" w:sz="0" w:space="0" w:color="auto"/>
          </w:divBdr>
        </w:div>
        <w:div w:id="1891723423">
          <w:marLeft w:val="605"/>
          <w:marRight w:val="0"/>
          <w:marTop w:val="140"/>
          <w:marBottom w:val="0"/>
          <w:divBdr>
            <w:top w:val="none" w:sz="0" w:space="0" w:color="auto"/>
            <w:left w:val="none" w:sz="0" w:space="0" w:color="auto"/>
            <w:bottom w:val="none" w:sz="0" w:space="0" w:color="auto"/>
            <w:right w:val="none" w:sz="0" w:space="0" w:color="auto"/>
          </w:divBdr>
        </w:div>
        <w:div w:id="1049651125">
          <w:marLeft w:val="1166"/>
          <w:marRight w:val="0"/>
          <w:marTop w:val="140"/>
          <w:marBottom w:val="0"/>
          <w:divBdr>
            <w:top w:val="none" w:sz="0" w:space="0" w:color="auto"/>
            <w:left w:val="none" w:sz="0" w:space="0" w:color="auto"/>
            <w:bottom w:val="none" w:sz="0" w:space="0" w:color="auto"/>
            <w:right w:val="none" w:sz="0" w:space="0" w:color="auto"/>
          </w:divBdr>
        </w:div>
        <w:div w:id="616985642">
          <w:marLeft w:val="1166"/>
          <w:marRight w:val="0"/>
          <w:marTop w:val="140"/>
          <w:marBottom w:val="0"/>
          <w:divBdr>
            <w:top w:val="none" w:sz="0" w:space="0" w:color="auto"/>
            <w:left w:val="none" w:sz="0" w:space="0" w:color="auto"/>
            <w:bottom w:val="none" w:sz="0" w:space="0" w:color="auto"/>
            <w:right w:val="none" w:sz="0" w:space="0" w:color="auto"/>
          </w:divBdr>
        </w:div>
      </w:divsChild>
    </w:div>
    <w:div w:id="786698465">
      <w:bodyDiv w:val="1"/>
      <w:marLeft w:val="0"/>
      <w:marRight w:val="0"/>
      <w:marTop w:val="0"/>
      <w:marBottom w:val="0"/>
      <w:divBdr>
        <w:top w:val="none" w:sz="0" w:space="0" w:color="auto"/>
        <w:left w:val="none" w:sz="0" w:space="0" w:color="auto"/>
        <w:bottom w:val="none" w:sz="0" w:space="0" w:color="auto"/>
        <w:right w:val="none" w:sz="0" w:space="0" w:color="auto"/>
      </w:divBdr>
    </w:div>
    <w:div w:id="811367379">
      <w:bodyDiv w:val="1"/>
      <w:marLeft w:val="0"/>
      <w:marRight w:val="0"/>
      <w:marTop w:val="0"/>
      <w:marBottom w:val="0"/>
      <w:divBdr>
        <w:top w:val="none" w:sz="0" w:space="0" w:color="auto"/>
        <w:left w:val="none" w:sz="0" w:space="0" w:color="auto"/>
        <w:bottom w:val="none" w:sz="0" w:space="0" w:color="auto"/>
        <w:right w:val="none" w:sz="0" w:space="0" w:color="auto"/>
      </w:divBdr>
      <w:divsChild>
        <w:div w:id="1684819157">
          <w:marLeft w:val="0"/>
          <w:marRight w:val="0"/>
          <w:marTop w:val="0"/>
          <w:marBottom w:val="0"/>
          <w:divBdr>
            <w:top w:val="none" w:sz="0" w:space="0" w:color="auto"/>
            <w:left w:val="none" w:sz="0" w:space="0" w:color="auto"/>
            <w:bottom w:val="none" w:sz="0" w:space="0" w:color="auto"/>
            <w:right w:val="none" w:sz="0" w:space="0" w:color="auto"/>
          </w:divBdr>
        </w:div>
      </w:divsChild>
    </w:div>
    <w:div w:id="840392860">
      <w:bodyDiv w:val="1"/>
      <w:marLeft w:val="0"/>
      <w:marRight w:val="0"/>
      <w:marTop w:val="0"/>
      <w:marBottom w:val="0"/>
      <w:divBdr>
        <w:top w:val="none" w:sz="0" w:space="0" w:color="auto"/>
        <w:left w:val="none" w:sz="0" w:space="0" w:color="auto"/>
        <w:bottom w:val="none" w:sz="0" w:space="0" w:color="auto"/>
        <w:right w:val="none" w:sz="0" w:space="0" w:color="auto"/>
      </w:divBdr>
      <w:divsChild>
        <w:div w:id="456460747">
          <w:marLeft w:val="0"/>
          <w:marRight w:val="0"/>
          <w:marTop w:val="86"/>
          <w:marBottom w:val="0"/>
          <w:divBdr>
            <w:top w:val="none" w:sz="0" w:space="0" w:color="auto"/>
            <w:left w:val="none" w:sz="0" w:space="0" w:color="auto"/>
            <w:bottom w:val="none" w:sz="0" w:space="0" w:color="auto"/>
            <w:right w:val="none" w:sz="0" w:space="0" w:color="auto"/>
          </w:divBdr>
        </w:div>
        <w:div w:id="708458430">
          <w:marLeft w:val="0"/>
          <w:marRight w:val="0"/>
          <w:marTop w:val="86"/>
          <w:marBottom w:val="0"/>
          <w:divBdr>
            <w:top w:val="none" w:sz="0" w:space="0" w:color="auto"/>
            <w:left w:val="none" w:sz="0" w:space="0" w:color="auto"/>
            <w:bottom w:val="none" w:sz="0" w:space="0" w:color="auto"/>
            <w:right w:val="none" w:sz="0" w:space="0" w:color="auto"/>
          </w:divBdr>
        </w:div>
      </w:divsChild>
    </w:div>
    <w:div w:id="864097699">
      <w:bodyDiv w:val="1"/>
      <w:marLeft w:val="0"/>
      <w:marRight w:val="0"/>
      <w:marTop w:val="0"/>
      <w:marBottom w:val="0"/>
      <w:divBdr>
        <w:top w:val="none" w:sz="0" w:space="0" w:color="auto"/>
        <w:left w:val="none" w:sz="0" w:space="0" w:color="auto"/>
        <w:bottom w:val="none" w:sz="0" w:space="0" w:color="auto"/>
        <w:right w:val="none" w:sz="0" w:space="0" w:color="auto"/>
      </w:divBdr>
    </w:div>
    <w:div w:id="901907397">
      <w:bodyDiv w:val="1"/>
      <w:marLeft w:val="0"/>
      <w:marRight w:val="0"/>
      <w:marTop w:val="0"/>
      <w:marBottom w:val="0"/>
      <w:divBdr>
        <w:top w:val="none" w:sz="0" w:space="0" w:color="auto"/>
        <w:left w:val="none" w:sz="0" w:space="0" w:color="auto"/>
        <w:bottom w:val="none" w:sz="0" w:space="0" w:color="auto"/>
        <w:right w:val="none" w:sz="0" w:space="0" w:color="auto"/>
      </w:divBdr>
      <w:divsChild>
        <w:div w:id="941181987">
          <w:marLeft w:val="547"/>
          <w:marRight w:val="0"/>
          <w:marTop w:val="134"/>
          <w:marBottom w:val="0"/>
          <w:divBdr>
            <w:top w:val="none" w:sz="0" w:space="0" w:color="auto"/>
            <w:left w:val="none" w:sz="0" w:space="0" w:color="auto"/>
            <w:bottom w:val="none" w:sz="0" w:space="0" w:color="auto"/>
            <w:right w:val="none" w:sz="0" w:space="0" w:color="auto"/>
          </w:divBdr>
        </w:div>
        <w:div w:id="1140004554">
          <w:marLeft w:val="547"/>
          <w:marRight w:val="0"/>
          <w:marTop w:val="134"/>
          <w:marBottom w:val="0"/>
          <w:divBdr>
            <w:top w:val="none" w:sz="0" w:space="0" w:color="auto"/>
            <w:left w:val="none" w:sz="0" w:space="0" w:color="auto"/>
            <w:bottom w:val="none" w:sz="0" w:space="0" w:color="auto"/>
            <w:right w:val="none" w:sz="0" w:space="0" w:color="auto"/>
          </w:divBdr>
        </w:div>
        <w:div w:id="70125317">
          <w:marLeft w:val="547"/>
          <w:marRight w:val="0"/>
          <w:marTop w:val="134"/>
          <w:marBottom w:val="0"/>
          <w:divBdr>
            <w:top w:val="none" w:sz="0" w:space="0" w:color="auto"/>
            <w:left w:val="none" w:sz="0" w:space="0" w:color="auto"/>
            <w:bottom w:val="none" w:sz="0" w:space="0" w:color="auto"/>
            <w:right w:val="none" w:sz="0" w:space="0" w:color="auto"/>
          </w:divBdr>
        </w:div>
        <w:div w:id="1090660700">
          <w:marLeft w:val="547"/>
          <w:marRight w:val="0"/>
          <w:marTop w:val="134"/>
          <w:marBottom w:val="0"/>
          <w:divBdr>
            <w:top w:val="none" w:sz="0" w:space="0" w:color="auto"/>
            <w:left w:val="none" w:sz="0" w:space="0" w:color="auto"/>
            <w:bottom w:val="none" w:sz="0" w:space="0" w:color="auto"/>
            <w:right w:val="none" w:sz="0" w:space="0" w:color="auto"/>
          </w:divBdr>
        </w:div>
      </w:divsChild>
    </w:div>
    <w:div w:id="945625517">
      <w:bodyDiv w:val="1"/>
      <w:marLeft w:val="0"/>
      <w:marRight w:val="0"/>
      <w:marTop w:val="0"/>
      <w:marBottom w:val="0"/>
      <w:divBdr>
        <w:top w:val="none" w:sz="0" w:space="0" w:color="auto"/>
        <w:left w:val="none" w:sz="0" w:space="0" w:color="auto"/>
        <w:bottom w:val="none" w:sz="0" w:space="0" w:color="auto"/>
        <w:right w:val="none" w:sz="0" w:space="0" w:color="auto"/>
      </w:divBdr>
    </w:div>
    <w:div w:id="953944144">
      <w:bodyDiv w:val="1"/>
      <w:marLeft w:val="0"/>
      <w:marRight w:val="0"/>
      <w:marTop w:val="0"/>
      <w:marBottom w:val="0"/>
      <w:divBdr>
        <w:top w:val="none" w:sz="0" w:space="0" w:color="auto"/>
        <w:left w:val="none" w:sz="0" w:space="0" w:color="auto"/>
        <w:bottom w:val="none" w:sz="0" w:space="0" w:color="auto"/>
        <w:right w:val="none" w:sz="0" w:space="0" w:color="auto"/>
      </w:divBdr>
      <w:divsChild>
        <w:div w:id="95365495">
          <w:marLeft w:val="533"/>
          <w:marRight w:val="0"/>
          <w:marTop w:val="230"/>
          <w:marBottom w:val="0"/>
          <w:divBdr>
            <w:top w:val="none" w:sz="0" w:space="0" w:color="auto"/>
            <w:left w:val="none" w:sz="0" w:space="0" w:color="auto"/>
            <w:bottom w:val="none" w:sz="0" w:space="0" w:color="auto"/>
            <w:right w:val="none" w:sz="0" w:space="0" w:color="auto"/>
          </w:divBdr>
        </w:div>
        <w:div w:id="274096507">
          <w:marLeft w:val="533"/>
          <w:marRight w:val="0"/>
          <w:marTop w:val="230"/>
          <w:marBottom w:val="0"/>
          <w:divBdr>
            <w:top w:val="none" w:sz="0" w:space="0" w:color="auto"/>
            <w:left w:val="none" w:sz="0" w:space="0" w:color="auto"/>
            <w:bottom w:val="none" w:sz="0" w:space="0" w:color="auto"/>
            <w:right w:val="none" w:sz="0" w:space="0" w:color="auto"/>
          </w:divBdr>
        </w:div>
        <w:div w:id="519974208">
          <w:marLeft w:val="1166"/>
          <w:marRight w:val="0"/>
          <w:marTop w:val="140"/>
          <w:marBottom w:val="0"/>
          <w:divBdr>
            <w:top w:val="none" w:sz="0" w:space="0" w:color="auto"/>
            <w:left w:val="none" w:sz="0" w:space="0" w:color="auto"/>
            <w:bottom w:val="none" w:sz="0" w:space="0" w:color="auto"/>
            <w:right w:val="none" w:sz="0" w:space="0" w:color="auto"/>
          </w:divBdr>
        </w:div>
        <w:div w:id="599070469">
          <w:marLeft w:val="533"/>
          <w:marRight w:val="0"/>
          <w:marTop w:val="230"/>
          <w:marBottom w:val="0"/>
          <w:divBdr>
            <w:top w:val="none" w:sz="0" w:space="0" w:color="auto"/>
            <w:left w:val="none" w:sz="0" w:space="0" w:color="auto"/>
            <w:bottom w:val="none" w:sz="0" w:space="0" w:color="auto"/>
            <w:right w:val="none" w:sz="0" w:space="0" w:color="auto"/>
          </w:divBdr>
        </w:div>
        <w:div w:id="704410164">
          <w:marLeft w:val="1166"/>
          <w:marRight w:val="0"/>
          <w:marTop w:val="140"/>
          <w:marBottom w:val="0"/>
          <w:divBdr>
            <w:top w:val="none" w:sz="0" w:space="0" w:color="auto"/>
            <w:left w:val="none" w:sz="0" w:space="0" w:color="auto"/>
            <w:bottom w:val="none" w:sz="0" w:space="0" w:color="auto"/>
            <w:right w:val="none" w:sz="0" w:space="0" w:color="auto"/>
          </w:divBdr>
        </w:div>
        <w:div w:id="1380130355">
          <w:marLeft w:val="1166"/>
          <w:marRight w:val="0"/>
          <w:marTop w:val="140"/>
          <w:marBottom w:val="0"/>
          <w:divBdr>
            <w:top w:val="none" w:sz="0" w:space="0" w:color="auto"/>
            <w:left w:val="none" w:sz="0" w:space="0" w:color="auto"/>
            <w:bottom w:val="none" w:sz="0" w:space="0" w:color="auto"/>
            <w:right w:val="none" w:sz="0" w:space="0" w:color="auto"/>
          </w:divBdr>
        </w:div>
        <w:div w:id="1590504105">
          <w:marLeft w:val="1166"/>
          <w:marRight w:val="0"/>
          <w:marTop w:val="140"/>
          <w:marBottom w:val="0"/>
          <w:divBdr>
            <w:top w:val="none" w:sz="0" w:space="0" w:color="auto"/>
            <w:left w:val="none" w:sz="0" w:space="0" w:color="auto"/>
            <w:bottom w:val="none" w:sz="0" w:space="0" w:color="auto"/>
            <w:right w:val="none" w:sz="0" w:space="0" w:color="auto"/>
          </w:divBdr>
        </w:div>
        <w:div w:id="1819833193">
          <w:marLeft w:val="1166"/>
          <w:marRight w:val="0"/>
          <w:marTop w:val="140"/>
          <w:marBottom w:val="0"/>
          <w:divBdr>
            <w:top w:val="none" w:sz="0" w:space="0" w:color="auto"/>
            <w:left w:val="none" w:sz="0" w:space="0" w:color="auto"/>
            <w:bottom w:val="none" w:sz="0" w:space="0" w:color="auto"/>
            <w:right w:val="none" w:sz="0" w:space="0" w:color="auto"/>
          </w:divBdr>
        </w:div>
      </w:divsChild>
    </w:div>
    <w:div w:id="954404399">
      <w:bodyDiv w:val="1"/>
      <w:marLeft w:val="0"/>
      <w:marRight w:val="0"/>
      <w:marTop w:val="0"/>
      <w:marBottom w:val="0"/>
      <w:divBdr>
        <w:top w:val="none" w:sz="0" w:space="0" w:color="auto"/>
        <w:left w:val="none" w:sz="0" w:space="0" w:color="auto"/>
        <w:bottom w:val="none" w:sz="0" w:space="0" w:color="auto"/>
        <w:right w:val="none" w:sz="0" w:space="0" w:color="auto"/>
      </w:divBdr>
    </w:div>
    <w:div w:id="1020399842">
      <w:bodyDiv w:val="1"/>
      <w:marLeft w:val="0"/>
      <w:marRight w:val="0"/>
      <w:marTop w:val="0"/>
      <w:marBottom w:val="0"/>
      <w:divBdr>
        <w:top w:val="none" w:sz="0" w:space="0" w:color="auto"/>
        <w:left w:val="none" w:sz="0" w:space="0" w:color="auto"/>
        <w:bottom w:val="none" w:sz="0" w:space="0" w:color="auto"/>
        <w:right w:val="none" w:sz="0" w:space="0" w:color="auto"/>
      </w:divBdr>
    </w:div>
    <w:div w:id="1062942395">
      <w:bodyDiv w:val="1"/>
      <w:marLeft w:val="0"/>
      <w:marRight w:val="0"/>
      <w:marTop w:val="0"/>
      <w:marBottom w:val="0"/>
      <w:divBdr>
        <w:top w:val="none" w:sz="0" w:space="0" w:color="auto"/>
        <w:left w:val="none" w:sz="0" w:space="0" w:color="auto"/>
        <w:bottom w:val="none" w:sz="0" w:space="0" w:color="auto"/>
        <w:right w:val="none" w:sz="0" w:space="0" w:color="auto"/>
      </w:divBdr>
      <w:divsChild>
        <w:div w:id="905409312">
          <w:marLeft w:val="0"/>
          <w:marRight w:val="0"/>
          <w:marTop w:val="0"/>
          <w:marBottom w:val="0"/>
          <w:divBdr>
            <w:top w:val="none" w:sz="0" w:space="0" w:color="auto"/>
            <w:left w:val="none" w:sz="0" w:space="0" w:color="auto"/>
            <w:bottom w:val="none" w:sz="0" w:space="0" w:color="auto"/>
            <w:right w:val="none" w:sz="0" w:space="0" w:color="auto"/>
          </w:divBdr>
        </w:div>
      </w:divsChild>
    </w:div>
    <w:div w:id="1177424843">
      <w:bodyDiv w:val="1"/>
      <w:marLeft w:val="0"/>
      <w:marRight w:val="0"/>
      <w:marTop w:val="0"/>
      <w:marBottom w:val="0"/>
      <w:divBdr>
        <w:top w:val="none" w:sz="0" w:space="0" w:color="auto"/>
        <w:left w:val="none" w:sz="0" w:space="0" w:color="auto"/>
        <w:bottom w:val="none" w:sz="0" w:space="0" w:color="auto"/>
        <w:right w:val="none" w:sz="0" w:space="0" w:color="auto"/>
      </w:divBdr>
      <w:divsChild>
        <w:div w:id="334915573">
          <w:marLeft w:val="547"/>
          <w:marRight w:val="0"/>
          <w:marTop w:val="134"/>
          <w:marBottom w:val="0"/>
          <w:divBdr>
            <w:top w:val="none" w:sz="0" w:space="0" w:color="auto"/>
            <w:left w:val="none" w:sz="0" w:space="0" w:color="auto"/>
            <w:bottom w:val="none" w:sz="0" w:space="0" w:color="auto"/>
            <w:right w:val="none" w:sz="0" w:space="0" w:color="auto"/>
          </w:divBdr>
        </w:div>
        <w:div w:id="1374185989">
          <w:marLeft w:val="1166"/>
          <w:marRight w:val="0"/>
          <w:marTop w:val="134"/>
          <w:marBottom w:val="0"/>
          <w:divBdr>
            <w:top w:val="none" w:sz="0" w:space="0" w:color="auto"/>
            <w:left w:val="none" w:sz="0" w:space="0" w:color="auto"/>
            <w:bottom w:val="none" w:sz="0" w:space="0" w:color="auto"/>
            <w:right w:val="none" w:sz="0" w:space="0" w:color="auto"/>
          </w:divBdr>
        </w:div>
        <w:div w:id="1014189510">
          <w:marLeft w:val="547"/>
          <w:marRight w:val="0"/>
          <w:marTop w:val="134"/>
          <w:marBottom w:val="0"/>
          <w:divBdr>
            <w:top w:val="none" w:sz="0" w:space="0" w:color="auto"/>
            <w:left w:val="none" w:sz="0" w:space="0" w:color="auto"/>
            <w:bottom w:val="none" w:sz="0" w:space="0" w:color="auto"/>
            <w:right w:val="none" w:sz="0" w:space="0" w:color="auto"/>
          </w:divBdr>
        </w:div>
      </w:divsChild>
    </w:div>
    <w:div w:id="1209221351">
      <w:bodyDiv w:val="1"/>
      <w:marLeft w:val="0"/>
      <w:marRight w:val="0"/>
      <w:marTop w:val="0"/>
      <w:marBottom w:val="0"/>
      <w:divBdr>
        <w:top w:val="none" w:sz="0" w:space="0" w:color="auto"/>
        <w:left w:val="none" w:sz="0" w:space="0" w:color="auto"/>
        <w:bottom w:val="none" w:sz="0" w:space="0" w:color="auto"/>
        <w:right w:val="none" w:sz="0" w:space="0" w:color="auto"/>
      </w:divBdr>
      <w:divsChild>
        <w:div w:id="972711631">
          <w:marLeft w:val="0"/>
          <w:marRight w:val="0"/>
          <w:marTop w:val="0"/>
          <w:marBottom w:val="0"/>
          <w:divBdr>
            <w:top w:val="none" w:sz="0" w:space="0" w:color="auto"/>
            <w:left w:val="none" w:sz="0" w:space="0" w:color="auto"/>
            <w:bottom w:val="none" w:sz="0" w:space="0" w:color="auto"/>
            <w:right w:val="none" w:sz="0" w:space="0" w:color="auto"/>
          </w:divBdr>
        </w:div>
      </w:divsChild>
    </w:div>
    <w:div w:id="1225871472">
      <w:bodyDiv w:val="1"/>
      <w:marLeft w:val="0"/>
      <w:marRight w:val="0"/>
      <w:marTop w:val="0"/>
      <w:marBottom w:val="0"/>
      <w:divBdr>
        <w:top w:val="none" w:sz="0" w:space="0" w:color="auto"/>
        <w:left w:val="none" w:sz="0" w:space="0" w:color="auto"/>
        <w:bottom w:val="none" w:sz="0" w:space="0" w:color="auto"/>
        <w:right w:val="none" w:sz="0" w:space="0" w:color="auto"/>
      </w:divBdr>
    </w:div>
    <w:div w:id="1262955196">
      <w:bodyDiv w:val="1"/>
      <w:marLeft w:val="0"/>
      <w:marRight w:val="0"/>
      <w:marTop w:val="0"/>
      <w:marBottom w:val="0"/>
      <w:divBdr>
        <w:top w:val="none" w:sz="0" w:space="0" w:color="auto"/>
        <w:left w:val="none" w:sz="0" w:space="0" w:color="auto"/>
        <w:bottom w:val="none" w:sz="0" w:space="0" w:color="auto"/>
        <w:right w:val="none" w:sz="0" w:space="0" w:color="auto"/>
      </w:divBdr>
      <w:divsChild>
        <w:div w:id="898982194">
          <w:marLeft w:val="547"/>
          <w:marRight w:val="0"/>
          <w:marTop w:val="134"/>
          <w:marBottom w:val="0"/>
          <w:divBdr>
            <w:top w:val="none" w:sz="0" w:space="0" w:color="auto"/>
            <w:left w:val="none" w:sz="0" w:space="0" w:color="auto"/>
            <w:bottom w:val="none" w:sz="0" w:space="0" w:color="auto"/>
            <w:right w:val="none" w:sz="0" w:space="0" w:color="auto"/>
          </w:divBdr>
        </w:div>
        <w:div w:id="1293167284">
          <w:marLeft w:val="1166"/>
          <w:marRight w:val="0"/>
          <w:marTop w:val="134"/>
          <w:marBottom w:val="0"/>
          <w:divBdr>
            <w:top w:val="none" w:sz="0" w:space="0" w:color="auto"/>
            <w:left w:val="none" w:sz="0" w:space="0" w:color="auto"/>
            <w:bottom w:val="none" w:sz="0" w:space="0" w:color="auto"/>
            <w:right w:val="none" w:sz="0" w:space="0" w:color="auto"/>
          </w:divBdr>
        </w:div>
        <w:div w:id="2018070515">
          <w:marLeft w:val="547"/>
          <w:marRight w:val="0"/>
          <w:marTop w:val="134"/>
          <w:marBottom w:val="0"/>
          <w:divBdr>
            <w:top w:val="none" w:sz="0" w:space="0" w:color="auto"/>
            <w:left w:val="none" w:sz="0" w:space="0" w:color="auto"/>
            <w:bottom w:val="none" w:sz="0" w:space="0" w:color="auto"/>
            <w:right w:val="none" w:sz="0" w:space="0" w:color="auto"/>
          </w:divBdr>
        </w:div>
        <w:div w:id="901326446">
          <w:marLeft w:val="1166"/>
          <w:marRight w:val="0"/>
          <w:marTop w:val="134"/>
          <w:marBottom w:val="0"/>
          <w:divBdr>
            <w:top w:val="none" w:sz="0" w:space="0" w:color="auto"/>
            <w:left w:val="none" w:sz="0" w:space="0" w:color="auto"/>
            <w:bottom w:val="none" w:sz="0" w:space="0" w:color="auto"/>
            <w:right w:val="none" w:sz="0" w:space="0" w:color="auto"/>
          </w:divBdr>
        </w:div>
      </w:divsChild>
    </w:div>
    <w:div w:id="1276254160">
      <w:bodyDiv w:val="1"/>
      <w:marLeft w:val="0"/>
      <w:marRight w:val="0"/>
      <w:marTop w:val="0"/>
      <w:marBottom w:val="0"/>
      <w:divBdr>
        <w:top w:val="none" w:sz="0" w:space="0" w:color="auto"/>
        <w:left w:val="none" w:sz="0" w:space="0" w:color="auto"/>
        <w:bottom w:val="none" w:sz="0" w:space="0" w:color="auto"/>
        <w:right w:val="none" w:sz="0" w:space="0" w:color="auto"/>
      </w:divBdr>
    </w:div>
    <w:div w:id="1283803387">
      <w:bodyDiv w:val="1"/>
      <w:marLeft w:val="0"/>
      <w:marRight w:val="0"/>
      <w:marTop w:val="0"/>
      <w:marBottom w:val="0"/>
      <w:divBdr>
        <w:top w:val="none" w:sz="0" w:space="0" w:color="auto"/>
        <w:left w:val="none" w:sz="0" w:space="0" w:color="auto"/>
        <w:bottom w:val="none" w:sz="0" w:space="0" w:color="auto"/>
        <w:right w:val="none" w:sz="0" w:space="0" w:color="auto"/>
      </w:divBdr>
    </w:div>
    <w:div w:id="1288897547">
      <w:bodyDiv w:val="1"/>
      <w:marLeft w:val="0"/>
      <w:marRight w:val="0"/>
      <w:marTop w:val="0"/>
      <w:marBottom w:val="0"/>
      <w:divBdr>
        <w:top w:val="none" w:sz="0" w:space="0" w:color="auto"/>
        <w:left w:val="none" w:sz="0" w:space="0" w:color="auto"/>
        <w:bottom w:val="none" w:sz="0" w:space="0" w:color="auto"/>
        <w:right w:val="none" w:sz="0" w:space="0" w:color="auto"/>
      </w:divBdr>
    </w:div>
    <w:div w:id="1289316068">
      <w:bodyDiv w:val="1"/>
      <w:marLeft w:val="0"/>
      <w:marRight w:val="0"/>
      <w:marTop w:val="0"/>
      <w:marBottom w:val="0"/>
      <w:divBdr>
        <w:top w:val="none" w:sz="0" w:space="0" w:color="auto"/>
        <w:left w:val="none" w:sz="0" w:space="0" w:color="auto"/>
        <w:bottom w:val="none" w:sz="0" w:space="0" w:color="auto"/>
        <w:right w:val="none" w:sz="0" w:space="0" w:color="auto"/>
      </w:divBdr>
    </w:div>
    <w:div w:id="1317997548">
      <w:bodyDiv w:val="1"/>
      <w:marLeft w:val="0"/>
      <w:marRight w:val="0"/>
      <w:marTop w:val="0"/>
      <w:marBottom w:val="0"/>
      <w:divBdr>
        <w:top w:val="none" w:sz="0" w:space="0" w:color="auto"/>
        <w:left w:val="none" w:sz="0" w:space="0" w:color="auto"/>
        <w:bottom w:val="none" w:sz="0" w:space="0" w:color="auto"/>
        <w:right w:val="none" w:sz="0" w:space="0" w:color="auto"/>
      </w:divBdr>
      <w:divsChild>
        <w:div w:id="435297190">
          <w:marLeft w:val="547"/>
          <w:marRight w:val="0"/>
          <w:marTop w:val="134"/>
          <w:marBottom w:val="0"/>
          <w:divBdr>
            <w:top w:val="none" w:sz="0" w:space="0" w:color="auto"/>
            <w:left w:val="none" w:sz="0" w:space="0" w:color="auto"/>
            <w:bottom w:val="none" w:sz="0" w:space="0" w:color="auto"/>
            <w:right w:val="none" w:sz="0" w:space="0" w:color="auto"/>
          </w:divBdr>
        </w:div>
        <w:div w:id="822703455">
          <w:marLeft w:val="547"/>
          <w:marRight w:val="0"/>
          <w:marTop w:val="134"/>
          <w:marBottom w:val="0"/>
          <w:divBdr>
            <w:top w:val="none" w:sz="0" w:space="0" w:color="auto"/>
            <w:left w:val="none" w:sz="0" w:space="0" w:color="auto"/>
            <w:bottom w:val="none" w:sz="0" w:space="0" w:color="auto"/>
            <w:right w:val="none" w:sz="0" w:space="0" w:color="auto"/>
          </w:divBdr>
        </w:div>
        <w:div w:id="1495217399">
          <w:marLeft w:val="1166"/>
          <w:marRight w:val="0"/>
          <w:marTop w:val="134"/>
          <w:marBottom w:val="0"/>
          <w:divBdr>
            <w:top w:val="none" w:sz="0" w:space="0" w:color="auto"/>
            <w:left w:val="none" w:sz="0" w:space="0" w:color="auto"/>
            <w:bottom w:val="none" w:sz="0" w:space="0" w:color="auto"/>
            <w:right w:val="none" w:sz="0" w:space="0" w:color="auto"/>
          </w:divBdr>
        </w:div>
        <w:div w:id="1950697229">
          <w:marLeft w:val="1166"/>
          <w:marRight w:val="0"/>
          <w:marTop w:val="134"/>
          <w:marBottom w:val="0"/>
          <w:divBdr>
            <w:top w:val="none" w:sz="0" w:space="0" w:color="auto"/>
            <w:left w:val="none" w:sz="0" w:space="0" w:color="auto"/>
            <w:bottom w:val="none" w:sz="0" w:space="0" w:color="auto"/>
            <w:right w:val="none" w:sz="0" w:space="0" w:color="auto"/>
          </w:divBdr>
        </w:div>
        <w:div w:id="1398549165">
          <w:marLeft w:val="1800"/>
          <w:marRight w:val="0"/>
          <w:marTop w:val="115"/>
          <w:marBottom w:val="0"/>
          <w:divBdr>
            <w:top w:val="none" w:sz="0" w:space="0" w:color="auto"/>
            <w:left w:val="none" w:sz="0" w:space="0" w:color="auto"/>
            <w:bottom w:val="none" w:sz="0" w:space="0" w:color="auto"/>
            <w:right w:val="none" w:sz="0" w:space="0" w:color="auto"/>
          </w:divBdr>
        </w:div>
        <w:div w:id="913125131">
          <w:marLeft w:val="547"/>
          <w:marRight w:val="0"/>
          <w:marTop w:val="134"/>
          <w:marBottom w:val="0"/>
          <w:divBdr>
            <w:top w:val="none" w:sz="0" w:space="0" w:color="auto"/>
            <w:left w:val="none" w:sz="0" w:space="0" w:color="auto"/>
            <w:bottom w:val="none" w:sz="0" w:space="0" w:color="auto"/>
            <w:right w:val="none" w:sz="0" w:space="0" w:color="auto"/>
          </w:divBdr>
        </w:div>
        <w:div w:id="1148327122">
          <w:marLeft w:val="1166"/>
          <w:marRight w:val="0"/>
          <w:marTop w:val="134"/>
          <w:marBottom w:val="0"/>
          <w:divBdr>
            <w:top w:val="none" w:sz="0" w:space="0" w:color="auto"/>
            <w:left w:val="none" w:sz="0" w:space="0" w:color="auto"/>
            <w:bottom w:val="none" w:sz="0" w:space="0" w:color="auto"/>
            <w:right w:val="none" w:sz="0" w:space="0" w:color="auto"/>
          </w:divBdr>
        </w:div>
        <w:div w:id="1344670586">
          <w:marLeft w:val="1800"/>
          <w:marRight w:val="0"/>
          <w:marTop w:val="115"/>
          <w:marBottom w:val="0"/>
          <w:divBdr>
            <w:top w:val="none" w:sz="0" w:space="0" w:color="auto"/>
            <w:left w:val="none" w:sz="0" w:space="0" w:color="auto"/>
            <w:bottom w:val="none" w:sz="0" w:space="0" w:color="auto"/>
            <w:right w:val="none" w:sz="0" w:space="0" w:color="auto"/>
          </w:divBdr>
        </w:div>
        <w:div w:id="1375420646">
          <w:marLeft w:val="1166"/>
          <w:marRight w:val="0"/>
          <w:marTop w:val="134"/>
          <w:marBottom w:val="0"/>
          <w:divBdr>
            <w:top w:val="none" w:sz="0" w:space="0" w:color="auto"/>
            <w:left w:val="none" w:sz="0" w:space="0" w:color="auto"/>
            <w:bottom w:val="none" w:sz="0" w:space="0" w:color="auto"/>
            <w:right w:val="none" w:sz="0" w:space="0" w:color="auto"/>
          </w:divBdr>
        </w:div>
      </w:divsChild>
    </w:div>
    <w:div w:id="1371026749">
      <w:bodyDiv w:val="1"/>
      <w:marLeft w:val="0"/>
      <w:marRight w:val="0"/>
      <w:marTop w:val="0"/>
      <w:marBottom w:val="0"/>
      <w:divBdr>
        <w:top w:val="none" w:sz="0" w:space="0" w:color="auto"/>
        <w:left w:val="none" w:sz="0" w:space="0" w:color="auto"/>
        <w:bottom w:val="none" w:sz="0" w:space="0" w:color="auto"/>
        <w:right w:val="none" w:sz="0" w:space="0" w:color="auto"/>
      </w:divBdr>
      <w:divsChild>
        <w:div w:id="836384133">
          <w:marLeft w:val="1166"/>
          <w:marRight w:val="0"/>
          <w:marTop w:val="140"/>
          <w:marBottom w:val="0"/>
          <w:divBdr>
            <w:top w:val="none" w:sz="0" w:space="0" w:color="auto"/>
            <w:left w:val="none" w:sz="0" w:space="0" w:color="auto"/>
            <w:bottom w:val="none" w:sz="0" w:space="0" w:color="auto"/>
            <w:right w:val="none" w:sz="0" w:space="0" w:color="auto"/>
          </w:divBdr>
        </w:div>
        <w:div w:id="1008408855">
          <w:marLeft w:val="1166"/>
          <w:marRight w:val="0"/>
          <w:marTop w:val="140"/>
          <w:marBottom w:val="0"/>
          <w:divBdr>
            <w:top w:val="none" w:sz="0" w:space="0" w:color="auto"/>
            <w:left w:val="none" w:sz="0" w:space="0" w:color="auto"/>
            <w:bottom w:val="none" w:sz="0" w:space="0" w:color="auto"/>
            <w:right w:val="none" w:sz="0" w:space="0" w:color="auto"/>
          </w:divBdr>
        </w:div>
        <w:div w:id="95685218">
          <w:marLeft w:val="1166"/>
          <w:marRight w:val="0"/>
          <w:marTop w:val="140"/>
          <w:marBottom w:val="0"/>
          <w:divBdr>
            <w:top w:val="none" w:sz="0" w:space="0" w:color="auto"/>
            <w:left w:val="none" w:sz="0" w:space="0" w:color="auto"/>
            <w:bottom w:val="none" w:sz="0" w:space="0" w:color="auto"/>
            <w:right w:val="none" w:sz="0" w:space="0" w:color="auto"/>
          </w:divBdr>
        </w:div>
        <w:div w:id="1864316267">
          <w:marLeft w:val="1166"/>
          <w:marRight w:val="0"/>
          <w:marTop w:val="140"/>
          <w:marBottom w:val="0"/>
          <w:divBdr>
            <w:top w:val="none" w:sz="0" w:space="0" w:color="auto"/>
            <w:left w:val="none" w:sz="0" w:space="0" w:color="auto"/>
            <w:bottom w:val="none" w:sz="0" w:space="0" w:color="auto"/>
            <w:right w:val="none" w:sz="0" w:space="0" w:color="auto"/>
          </w:divBdr>
        </w:div>
      </w:divsChild>
    </w:div>
    <w:div w:id="1387411336">
      <w:bodyDiv w:val="1"/>
      <w:marLeft w:val="0"/>
      <w:marRight w:val="0"/>
      <w:marTop w:val="0"/>
      <w:marBottom w:val="0"/>
      <w:divBdr>
        <w:top w:val="none" w:sz="0" w:space="0" w:color="auto"/>
        <w:left w:val="none" w:sz="0" w:space="0" w:color="auto"/>
        <w:bottom w:val="none" w:sz="0" w:space="0" w:color="auto"/>
        <w:right w:val="none" w:sz="0" w:space="0" w:color="auto"/>
      </w:divBdr>
    </w:div>
    <w:div w:id="1395354225">
      <w:bodyDiv w:val="1"/>
      <w:marLeft w:val="0"/>
      <w:marRight w:val="0"/>
      <w:marTop w:val="0"/>
      <w:marBottom w:val="0"/>
      <w:divBdr>
        <w:top w:val="none" w:sz="0" w:space="0" w:color="auto"/>
        <w:left w:val="none" w:sz="0" w:space="0" w:color="auto"/>
        <w:bottom w:val="none" w:sz="0" w:space="0" w:color="auto"/>
        <w:right w:val="none" w:sz="0" w:space="0" w:color="auto"/>
      </w:divBdr>
    </w:div>
    <w:div w:id="1404176829">
      <w:bodyDiv w:val="1"/>
      <w:marLeft w:val="0"/>
      <w:marRight w:val="0"/>
      <w:marTop w:val="0"/>
      <w:marBottom w:val="0"/>
      <w:divBdr>
        <w:top w:val="none" w:sz="0" w:space="0" w:color="auto"/>
        <w:left w:val="none" w:sz="0" w:space="0" w:color="auto"/>
        <w:bottom w:val="none" w:sz="0" w:space="0" w:color="auto"/>
        <w:right w:val="none" w:sz="0" w:space="0" w:color="auto"/>
      </w:divBdr>
    </w:div>
    <w:div w:id="1404647340">
      <w:bodyDiv w:val="1"/>
      <w:marLeft w:val="0"/>
      <w:marRight w:val="0"/>
      <w:marTop w:val="0"/>
      <w:marBottom w:val="0"/>
      <w:divBdr>
        <w:top w:val="none" w:sz="0" w:space="0" w:color="auto"/>
        <w:left w:val="none" w:sz="0" w:space="0" w:color="auto"/>
        <w:bottom w:val="none" w:sz="0" w:space="0" w:color="auto"/>
        <w:right w:val="none" w:sz="0" w:space="0" w:color="auto"/>
      </w:divBdr>
      <w:divsChild>
        <w:div w:id="704914233">
          <w:marLeft w:val="0"/>
          <w:marRight w:val="0"/>
          <w:marTop w:val="0"/>
          <w:marBottom w:val="0"/>
          <w:divBdr>
            <w:top w:val="none" w:sz="0" w:space="0" w:color="auto"/>
            <w:left w:val="none" w:sz="0" w:space="0" w:color="auto"/>
            <w:bottom w:val="none" w:sz="0" w:space="0" w:color="auto"/>
            <w:right w:val="none" w:sz="0" w:space="0" w:color="auto"/>
          </w:divBdr>
        </w:div>
      </w:divsChild>
    </w:div>
    <w:div w:id="1418937298">
      <w:bodyDiv w:val="1"/>
      <w:marLeft w:val="0"/>
      <w:marRight w:val="0"/>
      <w:marTop w:val="0"/>
      <w:marBottom w:val="0"/>
      <w:divBdr>
        <w:top w:val="none" w:sz="0" w:space="0" w:color="auto"/>
        <w:left w:val="none" w:sz="0" w:space="0" w:color="auto"/>
        <w:bottom w:val="none" w:sz="0" w:space="0" w:color="auto"/>
        <w:right w:val="none" w:sz="0" w:space="0" w:color="auto"/>
      </w:divBdr>
    </w:div>
    <w:div w:id="1439450057">
      <w:bodyDiv w:val="1"/>
      <w:marLeft w:val="0"/>
      <w:marRight w:val="0"/>
      <w:marTop w:val="0"/>
      <w:marBottom w:val="0"/>
      <w:divBdr>
        <w:top w:val="none" w:sz="0" w:space="0" w:color="auto"/>
        <w:left w:val="none" w:sz="0" w:space="0" w:color="auto"/>
        <w:bottom w:val="none" w:sz="0" w:space="0" w:color="auto"/>
        <w:right w:val="none" w:sz="0" w:space="0" w:color="auto"/>
      </w:divBdr>
      <w:divsChild>
        <w:div w:id="13772241">
          <w:marLeft w:val="0"/>
          <w:marRight w:val="0"/>
          <w:marTop w:val="0"/>
          <w:marBottom w:val="0"/>
          <w:divBdr>
            <w:top w:val="none" w:sz="0" w:space="0" w:color="auto"/>
            <w:left w:val="none" w:sz="0" w:space="0" w:color="auto"/>
            <w:bottom w:val="none" w:sz="0" w:space="0" w:color="auto"/>
            <w:right w:val="none" w:sz="0" w:space="0" w:color="auto"/>
          </w:divBdr>
          <w:divsChild>
            <w:div w:id="1428186406">
              <w:marLeft w:val="0"/>
              <w:marRight w:val="0"/>
              <w:marTop w:val="0"/>
              <w:marBottom w:val="0"/>
              <w:divBdr>
                <w:top w:val="none" w:sz="0" w:space="0" w:color="auto"/>
                <w:left w:val="none" w:sz="0" w:space="0" w:color="auto"/>
                <w:bottom w:val="none" w:sz="0" w:space="0" w:color="auto"/>
                <w:right w:val="none" w:sz="0" w:space="0" w:color="auto"/>
              </w:divBdr>
            </w:div>
            <w:div w:id="1534340276">
              <w:marLeft w:val="0"/>
              <w:marRight w:val="0"/>
              <w:marTop w:val="0"/>
              <w:marBottom w:val="0"/>
              <w:divBdr>
                <w:top w:val="none" w:sz="0" w:space="0" w:color="auto"/>
                <w:left w:val="none" w:sz="0" w:space="0" w:color="auto"/>
                <w:bottom w:val="none" w:sz="0" w:space="0" w:color="auto"/>
                <w:right w:val="none" w:sz="0" w:space="0" w:color="auto"/>
              </w:divBdr>
            </w:div>
            <w:div w:id="1874420512">
              <w:marLeft w:val="0"/>
              <w:marRight w:val="0"/>
              <w:marTop w:val="0"/>
              <w:marBottom w:val="0"/>
              <w:divBdr>
                <w:top w:val="none" w:sz="0" w:space="0" w:color="auto"/>
                <w:left w:val="none" w:sz="0" w:space="0" w:color="auto"/>
                <w:bottom w:val="none" w:sz="0" w:space="0" w:color="auto"/>
                <w:right w:val="none" w:sz="0" w:space="0" w:color="auto"/>
              </w:divBdr>
            </w:div>
            <w:div w:id="210541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88853">
      <w:bodyDiv w:val="1"/>
      <w:marLeft w:val="0"/>
      <w:marRight w:val="0"/>
      <w:marTop w:val="0"/>
      <w:marBottom w:val="0"/>
      <w:divBdr>
        <w:top w:val="none" w:sz="0" w:space="0" w:color="auto"/>
        <w:left w:val="none" w:sz="0" w:space="0" w:color="auto"/>
        <w:bottom w:val="none" w:sz="0" w:space="0" w:color="auto"/>
        <w:right w:val="none" w:sz="0" w:space="0" w:color="auto"/>
      </w:divBdr>
      <w:divsChild>
        <w:div w:id="1519806227">
          <w:marLeft w:val="547"/>
          <w:marRight w:val="0"/>
          <w:marTop w:val="134"/>
          <w:marBottom w:val="0"/>
          <w:divBdr>
            <w:top w:val="none" w:sz="0" w:space="0" w:color="auto"/>
            <w:left w:val="none" w:sz="0" w:space="0" w:color="auto"/>
            <w:bottom w:val="none" w:sz="0" w:space="0" w:color="auto"/>
            <w:right w:val="none" w:sz="0" w:space="0" w:color="auto"/>
          </w:divBdr>
        </w:div>
        <w:div w:id="1798140736">
          <w:marLeft w:val="547"/>
          <w:marRight w:val="0"/>
          <w:marTop w:val="134"/>
          <w:marBottom w:val="0"/>
          <w:divBdr>
            <w:top w:val="none" w:sz="0" w:space="0" w:color="auto"/>
            <w:left w:val="none" w:sz="0" w:space="0" w:color="auto"/>
            <w:bottom w:val="none" w:sz="0" w:space="0" w:color="auto"/>
            <w:right w:val="none" w:sz="0" w:space="0" w:color="auto"/>
          </w:divBdr>
        </w:div>
        <w:div w:id="268854332">
          <w:marLeft w:val="1166"/>
          <w:marRight w:val="0"/>
          <w:marTop w:val="134"/>
          <w:marBottom w:val="0"/>
          <w:divBdr>
            <w:top w:val="none" w:sz="0" w:space="0" w:color="auto"/>
            <w:left w:val="none" w:sz="0" w:space="0" w:color="auto"/>
            <w:bottom w:val="none" w:sz="0" w:space="0" w:color="auto"/>
            <w:right w:val="none" w:sz="0" w:space="0" w:color="auto"/>
          </w:divBdr>
        </w:div>
        <w:div w:id="1757481924">
          <w:marLeft w:val="1166"/>
          <w:marRight w:val="0"/>
          <w:marTop w:val="134"/>
          <w:marBottom w:val="0"/>
          <w:divBdr>
            <w:top w:val="none" w:sz="0" w:space="0" w:color="auto"/>
            <w:left w:val="none" w:sz="0" w:space="0" w:color="auto"/>
            <w:bottom w:val="none" w:sz="0" w:space="0" w:color="auto"/>
            <w:right w:val="none" w:sz="0" w:space="0" w:color="auto"/>
          </w:divBdr>
        </w:div>
        <w:div w:id="1457917113">
          <w:marLeft w:val="1166"/>
          <w:marRight w:val="0"/>
          <w:marTop w:val="134"/>
          <w:marBottom w:val="0"/>
          <w:divBdr>
            <w:top w:val="none" w:sz="0" w:space="0" w:color="auto"/>
            <w:left w:val="none" w:sz="0" w:space="0" w:color="auto"/>
            <w:bottom w:val="none" w:sz="0" w:space="0" w:color="auto"/>
            <w:right w:val="none" w:sz="0" w:space="0" w:color="auto"/>
          </w:divBdr>
        </w:div>
        <w:div w:id="586311025">
          <w:marLeft w:val="547"/>
          <w:marRight w:val="0"/>
          <w:marTop w:val="134"/>
          <w:marBottom w:val="0"/>
          <w:divBdr>
            <w:top w:val="none" w:sz="0" w:space="0" w:color="auto"/>
            <w:left w:val="none" w:sz="0" w:space="0" w:color="auto"/>
            <w:bottom w:val="none" w:sz="0" w:space="0" w:color="auto"/>
            <w:right w:val="none" w:sz="0" w:space="0" w:color="auto"/>
          </w:divBdr>
        </w:div>
        <w:div w:id="1229074302">
          <w:marLeft w:val="1166"/>
          <w:marRight w:val="0"/>
          <w:marTop w:val="134"/>
          <w:marBottom w:val="0"/>
          <w:divBdr>
            <w:top w:val="none" w:sz="0" w:space="0" w:color="auto"/>
            <w:left w:val="none" w:sz="0" w:space="0" w:color="auto"/>
            <w:bottom w:val="none" w:sz="0" w:space="0" w:color="auto"/>
            <w:right w:val="none" w:sz="0" w:space="0" w:color="auto"/>
          </w:divBdr>
        </w:div>
        <w:div w:id="362244482">
          <w:marLeft w:val="1166"/>
          <w:marRight w:val="0"/>
          <w:marTop w:val="134"/>
          <w:marBottom w:val="0"/>
          <w:divBdr>
            <w:top w:val="none" w:sz="0" w:space="0" w:color="auto"/>
            <w:left w:val="none" w:sz="0" w:space="0" w:color="auto"/>
            <w:bottom w:val="none" w:sz="0" w:space="0" w:color="auto"/>
            <w:right w:val="none" w:sz="0" w:space="0" w:color="auto"/>
          </w:divBdr>
        </w:div>
      </w:divsChild>
    </w:div>
    <w:div w:id="1518693707">
      <w:bodyDiv w:val="1"/>
      <w:marLeft w:val="0"/>
      <w:marRight w:val="0"/>
      <w:marTop w:val="0"/>
      <w:marBottom w:val="0"/>
      <w:divBdr>
        <w:top w:val="none" w:sz="0" w:space="0" w:color="auto"/>
        <w:left w:val="none" w:sz="0" w:space="0" w:color="auto"/>
        <w:bottom w:val="none" w:sz="0" w:space="0" w:color="auto"/>
        <w:right w:val="none" w:sz="0" w:space="0" w:color="auto"/>
      </w:divBdr>
      <w:divsChild>
        <w:div w:id="981739242">
          <w:marLeft w:val="547"/>
          <w:marRight w:val="0"/>
          <w:marTop w:val="134"/>
          <w:marBottom w:val="0"/>
          <w:divBdr>
            <w:top w:val="none" w:sz="0" w:space="0" w:color="auto"/>
            <w:left w:val="none" w:sz="0" w:space="0" w:color="auto"/>
            <w:bottom w:val="none" w:sz="0" w:space="0" w:color="auto"/>
            <w:right w:val="none" w:sz="0" w:space="0" w:color="auto"/>
          </w:divBdr>
        </w:div>
        <w:div w:id="89467742">
          <w:marLeft w:val="1166"/>
          <w:marRight w:val="0"/>
          <w:marTop w:val="134"/>
          <w:marBottom w:val="0"/>
          <w:divBdr>
            <w:top w:val="none" w:sz="0" w:space="0" w:color="auto"/>
            <w:left w:val="none" w:sz="0" w:space="0" w:color="auto"/>
            <w:bottom w:val="none" w:sz="0" w:space="0" w:color="auto"/>
            <w:right w:val="none" w:sz="0" w:space="0" w:color="auto"/>
          </w:divBdr>
        </w:div>
        <w:div w:id="1019157672">
          <w:marLeft w:val="547"/>
          <w:marRight w:val="0"/>
          <w:marTop w:val="134"/>
          <w:marBottom w:val="0"/>
          <w:divBdr>
            <w:top w:val="none" w:sz="0" w:space="0" w:color="auto"/>
            <w:left w:val="none" w:sz="0" w:space="0" w:color="auto"/>
            <w:bottom w:val="none" w:sz="0" w:space="0" w:color="auto"/>
            <w:right w:val="none" w:sz="0" w:space="0" w:color="auto"/>
          </w:divBdr>
        </w:div>
      </w:divsChild>
    </w:div>
    <w:div w:id="1539584094">
      <w:bodyDiv w:val="1"/>
      <w:marLeft w:val="0"/>
      <w:marRight w:val="0"/>
      <w:marTop w:val="0"/>
      <w:marBottom w:val="0"/>
      <w:divBdr>
        <w:top w:val="none" w:sz="0" w:space="0" w:color="auto"/>
        <w:left w:val="none" w:sz="0" w:space="0" w:color="auto"/>
        <w:bottom w:val="none" w:sz="0" w:space="0" w:color="auto"/>
        <w:right w:val="none" w:sz="0" w:space="0" w:color="auto"/>
      </w:divBdr>
    </w:div>
    <w:div w:id="1558198258">
      <w:bodyDiv w:val="1"/>
      <w:marLeft w:val="0"/>
      <w:marRight w:val="0"/>
      <w:marTop w:val="0"/>
      <w:marBottom w:val="0"/>
      <w:divBdr>
        <w:top w:val="none" w:sz="0" w:space="0" w:color="auto"/>
        <w:left w:val="none" w:sz="0" w:space="0" w:color="auto"/>
        <w:bottom w:val="none" w:sz="0" w:space="0" w:color="auto"/>
        <w:right w:val="none" w:sz="0" w:space="0" w:color="auto"/>
      </w:divBdr>
      <w:divsChild>
        <w:div w:id="1720128903">
          <w:marLeft w:val="0"/>
          <w:marRight w:val="0"/>
          <w:marTop w:val="0"/>
          <w:marBottom w:val="0"/>
          <w:divBdr>
            <w:top w:val="none" w:sz="0" w:space="0" w:color="auto"/>
            <w:left w:val="none" w:sz="0" w:space="0" w:color="auto"/>
            <w:bottom w:val="none" w:sz="0" w:space="0" w:color="auto"/>
            <w:right w:val="none" w:sz="0" w:space="0" w:color="auto"/>
          </w:divBdr>
        </w:div>
      </w:divsChild>
    </w:div>
    <w:div w:id="1623681866">
      <w:bodyDiv w:val="1"/>
      <w:marLeft w:val="0"/>
      <w:marRight w:val="0"/>
      <w:marTop w:val="0"/>
      <w:marBottom w:val="0"/>
      <w:divBdr>
        <w:top w:val="none" w:sz="0" w:space="0" w:color="auto"/>
        <w:left w:val="none" w:sz="0" w:space="0" w:color="auto"/>
        <w:bottom w:val="none" w:sz="0" w:space="0" w:color="auto"/>
        <w:right w:val="none" w:sz="0" w:space="0" w:color="auto"/>
      </w:divBdr>
      <w:divsChild>
        <w:div w:id="1306735272">
          <w:marLeft w:val="0"/>
          <w:marRight w:val="0"/>
          <w:marTop w:val="0"/>
          <w:marBottom w:val="0"/>
          <w:divBdr>
            <w:top w:val="none" w:sz="0" w:space="0" w:color="auto"/>
            <w:left w:val="none" w:sz="0" w:space="0" w:color="auto"/>
            <w:bottom w:val="none" w:sz="0" w:space="0" w:color="auto"/>
            <w:right w:val="none" w:sz="0" w:space="0" w:color="auto"/>
          </w:divBdr>
        </w:div>
      </w:divsChild>
    </w:div>
    <w:div w:id="1768304829">
      <w:bodyDiv w:val="1"/>
      <w:marLeft w:val="0"/>
      <w:marRight w:val="0"/>
      <w:marTop w:val="0"/>
      <w:marBottom w:val="0"/>
      <w:divBdr>
        <w:top w:val="none" w:sz="0" w:space="0" w:color="auto"/>
        <w:left w:val="none" w:sz="0" w:space="0" w:color="auto"/>
        <w:bottom w:val="none" w:sz="0" w:space="0" w:color="auto"/>
        <w:right w:val="none" w:sz="0" w:space="0" w:color="auto"/>
      </w:divBdr>
    </w:div>
    <w:div w:id="1786075845">
      <w:bodyDiv w:val="1"/>
      <w:marLeft w:val="0"/>
      <w:marRight w:val="0"/>
      <w:marTop w:val="0"/>
      <w:marBottom w:val="0"/>
      <w:divBdr>
        <w:top w:val="none" w:sz="0" w:space="0" w:color="auto"/>
        <w:left w:val="none" w:sz="0" w:space="0" w:color="auto"/>
        <w:bottom w:val="none" w:sz="0" w:space="0" w:color="auto"/>
        <w:right w:val="none" w:sz="0" w:space="0" w:color="auto"/>
      </w:divBdr>
      <w:divsChild>
        <w:div w:id="134684090">
          <w:marLeft w:val="605"/>
          <w:marRight w:val="0"/>
          <w:marTop w:val="140"/>
          <w:marBottom w:val="0"/>
          <w:divBdr>
            <w:top w:val="none" w:sz="0" w:space="0" w:color="auto"/>
            <w:left w:val="none" w:sz="0" w:space="0" w:color="auto"/>
            <w:bottom w:val="none" w:sz="0" w:space="0" w:color="auto"/>
            <w:right w:val="none" w:sz="0" w:space="0" w:color="auto"/>
          </w:divBdr>
        </w:div>
        <w:div w:id="1922837701">
          <w:marLeft w:val="1166"/>
          <w:marRight w:val="0"/>
          <w:marTop w:val="140"/>
          <w:marBottom w:val="0"/>
          <w:divBdr>
            <w:top w:val="none" w:sz="0" w:space="0" w:color="auto"/>
            <w:left w:val="none" w:sz="0" w:space="0" w:color="auto"/>
            <w:bottom w:val="none" w:sz="0" w:space="0" w:color="auto"/>
            <w:right w:val="none" w:sz="0" w:space="0" w:color="auto"/>
          </w:divBdr>
        </w:div>
        <w:div w:id="906912752">
          <w:marLeft w:val="605"/>
          <w:marRight w:val="0"/>
          <w:marTop w:val="140"/>
          <w:marBottom w:val="0"/>
          <w:divBdr>
            <w:top w:val="none" w:sz="0" w:space="0" w:color="auto"/>
            <w:left w:val="none" w:sz="0" w:space="0" w:color="auto"/>
            <w:bottom w:val="none" w:sz="0" w:space="0" w:color="auto"/>
            <w:right w:val="none" w:sz="0" w:space="0" w:color="auto"/>
          </w:divBdr>
        </w:div>
        <w:div w:id="574248494">
          <w:marLeft w:val="1166"/>
          <w:marRight w:val="0"/>
          <w:marTop w:val="140"/>
          <w:marBottom w:val="0"/>
          <w:divBdr>
            <w:top w:val="none" w:sz="0" w:space="0" w:color="auto"/>
            <w:left w:val="none" w:sz="0" w:space="0" w:color="auto"/>
            <w:bottom w:val="none" w:sz="0" w:space="0" w:color="auto"/>
            <w:right w:val="none" w:sz="0" w:space="0" w:color="auto"/>
          </w:divBdr>
        </w:div>
        <w:div w:id="696584471">
          <w:marLeft w:val="605"/>
          <w:marRight w:val="0"/>
          <w:marTop w:val="140"/>
          <w:marBottom w:val="0"/>
          <w:divBdr>
            <w:top w:val="none" w:sz="0" w:space="0" w:color="auto"/>
            <w:left w:val="none" w:sz="0" w:space="0" w:color="auto"/>
            <w:bottom w:val="none" w:sz="0" w:space="0" w:color="auto"/>
            <w:right w:val="none" w:sz="0" w:space="0" w:color="auto"/>
          </w:divBdr>
        </w:div>
        <w:div w:id="1117724430">
          <w:marLeft w:val="1166"/>
          <w:marRight w:val="0"/>
          <w:marTop w:val="140"/>
          <w:marBottom w:val="0"/>
          <w:divBdr>
            <w:top w:val="none" w:sz="0" w:space="0" w:color="auto"/>
            <w:left w:val="none" w:sz="0" w:space="0" w:color="auto"/>
            <w:bottom w:val="none" w:sz="0" w:space="0" w:color="auto"/>
            <w:right w:val="none" w:sz="0" w:space="0" w:color="auto"/>
          </w:divBdr>
        </w:div>
      </w:divsChild>
    </w:div>
    <w:div w:id="1794009189">
      <w:bodyDiv w:val="1"/>
      <w:marLeft w:val="0"/>
      <w:marRight w:val="0"/>
      <w:marTop w:val="0"/>
      <w:marBottom w:val="0"/>
      <w:divBdr>
        <w:top w:val="none" w:sz="0" w:space="0" w:color="auto"/>
        <w:left w:val="none" w:sz="0" w:space="0" w:color="auto"/>
        <w:bottom w:val="none" w:sz="0" w:space="0" w:color="auto"/>
        <w:right w:val="none" w:sz="0" w:space="0" w:color="auto"/>
      </w:divBdr>
      <w:divsChild>
        <w:div w:id="1783263683">
          <w:marLeft w:val="533"/>
          <w:marRight w:val="0"/>
          <w:marTop w:val="230"/>
          <w:marBottom w:val="0"/>
          <w:divBdr>
            <w:top w:val="none" w:sz="0" w:space="0" w:color="auto"/>
            <w:left w:val="none" w:sz="0" w:space="0" w:color="auto"/>
            <w:bottom w:val="none" w:sz="0" w:space="0" w:color="auto"/>
            <w:right w:val="none" w:sz="0" w:space="0" w:color="auto"/>
          </w:divBdr>
        </w:div>
      </w:divsChild>
    </w:div>
    <w:div w:id="1824157362">
      <w:bodyDiv w:val="1"/>
      <w:marLeft w:val="0"/>
      <w:marRight w:val="0"/>
      <w:marTop w:val="0"/>
      <w:marBottom w:val="0"/>
      <w:divBdr>
        <w:top w:val="none" w:sz="0" w:space="0" w:color="auto"/>
        <w:left w:val="none" w:sz="0" w:space="0" w:color="auto"/>
        <w:bottom w:val="none" w:sz="0" w:space="0" w:color="auto"/>
        <w:right w:val="none" w:sz="0" w:space="0" w:color="auto"/>
      </w:divBdr>
    </w:div>
    <w:div w:id="1840004483">
      <w:bodyDiv w:val="1"/>
      <w:marLeft w:val="0"/>
      <w:marRight w:val="0"/>
      <w:marTop w:val="0"/>
      <w:marBottom w:val="0"/>
      <w:divBdr>
        <w:top w:val="none" w:sz="0" w:space="0" w:color="auto"/>
        <w:left w:val="none" w:sz="0" w:space="0" w:color="auto"/>
        <w:bottom w:val="none" w:sz="0" w:space="0" w:color="auto"/>
        <w:right w:val="none" w:sz="0" w:space="0" w:color="auto"/>
      </w:divBdr>
      <w:divsChild>
        <w:div w:id="36898327">
          <w:marLeft w:val="547"/>
          <w:marRight w:val="0"/>
          <w:marTop w:val="134"/>
          <w:marBottom w:val="0"/>
          <w:divBdr>
            <w:top w:val="none" w:sz="0" w:space="0" w:color="auto"/>
            <w:left w:val="none" w:sz="0" w:space="0" w:color="auto"/>
            <w:bottom w:val="none" w:sz="0" w:space="0" w:color="auto"/>
            <w:right w:val="none" w:sz="0" w:space="0" w:color="auto"/>
          </w:divBdr>
        </w:div>
        <w:div w:id="1023899889">
          <w:marLeft w:val="1166"/>
          <w:marRight w:val="0"/>
          <w:marTop w:val="134"/>
          <w:marBottom w:val="0"/>
          <w:divBdr>
            <w:top w:val="none" w:sz="0" w:space="0" w:color="auto"/>
            <w:left w:val="none" w:sz="0" w:space="0" w:color="auto"/>
            <w:bottom w:val="none" w:sz="0" w:space="0" w:color="auto"/>
            <w:right w:val="none" w:sz="0" w:space="0" w:color="auto"/>
          </w:divBdr>
        </w:div>
        <w:div w:id="1721897153">
          <w:marLeft w:val="547"/>
          <w:marRight w:val="0"/>
          <w:marTop w:val="134"/>
          <w:marBottom w:val="0"/>
          <w:divBdr>
            <w:top w:val="none" w:sz="0" w:space="0" w:color="auto"/>
            <w:left w:val="none" w:sz="0" w:space="0" w:color="auto"/>
            <w:bottom w:val="none" w:sz="0" w:space="0" w:color="auto"/>
            <w:right w:val="none" w:sz="0" w:space="0" w:color="auto"/>
          </w:divBdr>
        </w:div>
        <w:div w:id="1543057470">
          <w:marLeft w:val="1166"/>
          <w:marRight w:val="0"/>
          <w:marTop w:val="134"/>
          <w:marBottom w:val="0"/>
          <w:divBdr>
            <w:top w:val="none" w:sz="0" w:space="0" w:color="auto"/>
            <w:left w:val="none" w:sz="0" w:space="0" w:color="auto"/>
            <w:bottom w:val="none" w:sz="0" w:space="0" w:color="auto"/>
            <w:right w:val="none" w:sz="0" w:space="0" w:color="auto"/>
          </w:divBdr>
        </w:div>
        <w:div w:id="1593388845">
          <w:marLeft w:val="1166"/>
          <w:marRight w:val="0"/>
          <w:marTop w:val="134"/>
          <w:marBottom w:val="0"/>
          <w:divBdr>
            <w:top w:val="none" w:sz="0" w:space="0" w:color="auto"/>
            <w:left w:val="none" w:sz="0" w:space="0" w:color="auto"/>
            <w:bottom w:val="none" w:sz="0" w:space="0" w:color="auto"/>
            <w:right w:val="none" w:sz="0" w:space="0" w:color="auto"/>
          </w:divBdr>
        </w:div>
      </w:divsChild>
    </w:div>
    <w:div w:id="1852599444">
      <w:bodyDiv w:val="1"/>
      <w:marLeft w:val="0"/>
      <w:marRight w:val="0"/>
      <w:marTop w:val="0"/>
      <w:marBottom w:val="0"/>
      <w:divBdr>
        <w:top w:val="none" w:sz="0" w:space="0" w:color="auto"/>
        <w:left w:val="none" w:sz="0" w:space="0" w:color="auto"/>
        <w:bottom w:val="none" w:sz="0" w:space="0" w:color="auto"/>
        <w:right w:val="none" w:sz="0" w:space="0" w:color="auto"/>
      </w:divBdr>
    </w:div>
    <w:div w:id="1874070736">
      <w:bodyDiv w:val="1"/>
      <w:marLeft w:val="209"/>
      <w:marRight w:val="209"/>
      <w:marTop w:val="209"/>
      <w:marBottom w:val="209"/>
      <w:divBdr>
        <w:top w:val="none" w:sz="0" w:space="0" w:color="auto"/>
        <w:left w:val="none" w:sz="0" w:space="0" w:color="auto"/>
        <w:bottom w:val="none" w:sz="0" w:space="0" w:color="auto"/>
        <w:right w:val="none" w:sz="0" w:space="0" w:color="auto"/>
      </w:divBdr>
      <w:divsChild>
        <w:div w:id="2135171224">
          <w:marLeft w:val="10"/>
          <w:marRight w:val="157"/>
          <w:marTop w:val="0"/>
          <w:marBottom w:val="209"/>
          <w:divBdr>
            <w:top w:val="dotted" w:sz="4" w:space="0" w:color="333333"/>
            <w:left w:val="dotted" w:sz="4" w:space="0" w:color="333333"/>
            <w:bottom w:val="dotted" w:sz="4" w:space="0" w:color="333333"/>
            <w:right w:val="dotted" w:sz="4" w:space="0" w:color="333333"/>
          </w:divBdr>
          <w:divsChild>
            <w:div w:id="742263869">
              <w:marLeft w:val="0"/>
              <w:marRight w:val="0"/>
              <w:marTop w:val="0"/>
              <w:marBottom w:val="0"/>
              <w:divBdr>
                <w:top w:val="none" w:sz="0" w:space="0" w:color="auto"/>
                <w:left w:val="none" w:sz="0" w:space="0" w:color="auto"/>
                <w:bottom w:val="none" w:sz="0" w:space="0" w:color="auto"/>
                <w:right w:val="none" w:sz="0" w:space="0" w:color="auto"/>
              </w:divBdr>
              <w:divsChild>
                <w:div w:id="757095665">
                  <w:marLeft w:val="0"/>
                  <w:marRight w:val="0"/>
                  <w:marTop w:val="0"/>
                  <w:marBottom w:val="0"/>
                  <w:divBdr>
                    <w:top w:val="none" w:sz="0" w:space="0" w:color="auto"/>
                    <w:left w:val="none" w:sz="0" w:space="0" w:color="auto"/>
                    <w:bottom w:val="none" w:sz="0" w:space="0" w:color="auto"/>
                    <w:right w:val="none" w:sz="0" w:space="0" w:color="auto"/>
                  </w:divBdr>
                  <w:divsChild>
                    <w:div w:id="198326448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97930779">
      <w:bodyDiv w:val="1"/>
      <w:marLeft w:val="0"/>
      <w:marRight w:val="0"/>
      <w:marTop w:val="0"/>
      <w:marBottom w:val="0"/>
      <w:divBdr>
        <w:top w:val="none" w:sz="0" w:space="0" w:color="auto"/>
        <w:left w:val="none" w:sz="0" w:space="0" w:color="auto"/>
        <w:bottom w:val="none" w:sz="0" w:space="0" w:color="auto"/>
        <w:right w:val="none" w:sz="0" w:space="0" w:color="auto"/>
      </w:divBdr>
    </w:div>
    <w:div w:id="1929150169">
      <w:bodyDiv w:val="1"/>
      <w:marLeft w:val="0"/>
      <w:marRight w:val="0"/>
      <w:marTop w:val="0"/>
      <w:marBottom w:val="0"/>
      <w:divBdr>
        <w:top w:val="none" w:sz="0" w:space="0" w:color="auto"/>
        <w:left w:val="none" w:sz="0" w:space="0" w:color="auto"/>
        <w:bottom w:val="none" w:sz="0" w:space="0" w:color="auto"/>
        <w:right w:val="none" w:sz="0" w:space="0" w:color="auto"/>
      </w:divBdr>
      <w:divsChild>
        <w:div w:id="1205559626">
          <w:marLeft w:val="547"/>
          <w:marRight w:val="0"/>
          <w:marTop w:val="134"/>
          <w:marBottom w:val="0"/>
          <w:divBdr>
            <w:top w:val="none" w:sz="0" w:space="0" w:color="auto"/>
            <w:left w:val="none" w:sz="0" w:space="0" w:color="auto"/>
            <w:bottom w:val="none" w:sz="0" w:space="0" w:color="auto"/>
            <w:right w:val="none" w:sz="0" w:space="0" w:color="auto"/>
          </w:divBdr>
        </w:div>
        <w:div w:id="743421">
          <w:marLeft w:val="1166"/>
          <w:marRight w:val="0"/>
          <w:marTop w:val="134"/>
          <w:marBottom w:val="0"/>
          <w:divBdr>
            <w:top w:val="none" w:sz="0" w:space="0" w:color="auto"/>
            <w:left w:val="none" w:sz="0" w:space="0" w:color="auto"/>
            <w:bottom w:val="none" w:sz="0" w:space="0" w:color="auto"/>
            <w:right w:val="none" w:sz="0" w:space="0" w:color="auto"/>
          </w:divBdr>
        </w:div>
        <w:div w:id="517697544">
          <w:marLeft w:val="1166"/>
          <w:marRight w:val="0"/>
          <w:marTop w:val="134"/>
          <w:marBottom w:val="0"/>
          <w:divBdr>
            <w:top w:val="none" w:sz="0" w:space="0" w:color="auto"/>
            <w:left w:val="none" w:sz="0" w:space="0" w:color="auto"/>
            <w:bottom w:val="none" w:sz="0" w:space="0" w:color="auto"/>
            <w:right w:val="none" w:sz="0" w:space="0" w:color="auto"/>
          </w:divBdr>
        </w:div>
        <w:div w:id="1534221801">
          <w:marLeft w:val="547"/>
          <w:marRight w:val="0"/>
          <w:marTop w:val="134"/>
          <w:marBottom w:val="0"/>
          <w:divBdr>
            <w:top w:val="none" w:sz="0" w:space="0" w:color="auto"/>
            <w:left w:val="none" w:sz="0" w:space="0" w:color="auto"/>
            <w:bottom w:val="none" w:sz="0" w:space="0" w:color="auto"/>
            <w:right w:val="none" w:sz="0" w:space="0" w:color="auto"/>
          </w:divBdr>
        </w:div>
        <w:div w:id="1239167433">
          <w:marLeft w:val="1166"/>
          <w:marRight w:val="0"/>
          <w:marTop w:val="134"/>
          <w:marBottom w:val="0"/>
          <w:divBdr>
            <w:top w:val="none" w:sz="0" w:space="0" w:color="auto"/>
            <w:left w:val="none" w:sz="0" w:space="0" w:color="auto"/>
            <w:bottom w:val="none" w:sz="0" w:space="0" w:color="auto"/>
            <w:right w:val="none" w:sz="0" w:space="0" w:color="auto"/>
          </w:divBdr>
        </w:div>
        <w:div w:id="188573291">
          <w:marLeft w:val="1166"/>
          <w:marRight w:val="0"/>
          <w:marTop w:val="134"/>
          <w:marBottom w:val="0"/>
          <w:divBdr>
            <w:top w:val="none" w:sz="0" w:space="0" w:color="auto"/>
            <w:left w:val="none" w:sz="0" w:space="0" w:color="auto"/>
            <w:bottom w:val="none" w:sz="0" w:space="0" w:color="auto"/>
            <w:right w:val="none" w:sz="0" w:space="0" w:color="auto"/>
          </w:divBdr>
        </w:div>
        <w:div w:id="1347099439">
          <w:marLeft w:val="1166"/>
          <w:marRight w:val="0"/>
          <w:marTop w:val="134"/>
          <w:marBottom w:val="0"/>
          <w:divBdr>
            <w:top w:val="none" w:sz="0" w:space="0" w:color="auto"/>
            <w:left w:val="none" w:sz="0" w:space="0" w:color="auto"/>
            <w:bottom w:val="none" w:sz="0" w:space="0" w:color="auto"/>
            <w:right w:val="none" w:sz="0" w:space="0" w:color="auto"/>
          </w:divBdr>
        </w:div>
        <w:div w:id="2019576988">
          <w:marLeft w:val="1800"/>
          <w:marRight w:val="0"/>
          <w:marTop w:val="115"/>
          <w:marBottom w:val="0"/>
          <w:divBdr>
            <w:top w:val="none" w:sz="0" w:space="0" w:color="auto"/>
            <w:left w:val="none" w:sz="0" w:space="0" w:color="auto"/>
            <w:bottom w:val="none" w:sz="0" w:space="0" w:color="auto"/>
            <w:right w:val="none" w:sz="0" w:space="0" w:color="auto"/>
          </w:divBdr>
        </w:div>
        <w:div w:id="558521829">
          <w:marLeft w:val="1800"/>
          <w:marRight w:val="0"/>
          <w:marTop w:val="115"/>
          <w:marBottom w:val="0"/>
          <w:divBdr>
            <w:top w:val="none" w:sz="0" w:space="0" w:color="auto"/>
            <w:left w:val="none" w:sz="0" w:space="0" w:color="auto"/>
            <w:bottom w:val="none" w:sz="0" w:space="0" w:color="auto"/>
            <w:right w:val="none" w:sz="0" w:space="0" w:color="auto"/>
          </w:divBdr>
        </w:div>
        <w:div w:id="1078282295">
          <w:marLeft w:val="1800"/>
          <w:marRight w:val="0"/>
          <w:marTop w:val="115"/>
          <w:marBottom w:val="0"/>
          <w:divBdr>
            <w:top w:val="none" w:sz="0" w:space="0" w:color="auto"/>
            <w:left w:val="none" w:sz="0" w:space="0" w:color="auto"/>
            <w:bottom w:val="none" w:sz="0" w:space="0" w:color="auto"/>
            <w:right w:val="none" w:sz="0" w:space="0" w:color="auto"/>
          </w:divBdr>
        </w:div>
      </w:divsChild>
    </w:div>
    <w:div w:id="1934363263">
      <w:bodyDiv w:val="1"/>
      <w:marLeft w:val="0"/>
      <w:marRight w:val="0"/>
      <w:marTop w:val="0"/>
      <w:marBottom w:val="0"/>
      <w:divBdr>
        <w:top w:val="none" w:sz="0" w:space="0" w:color="auto"/>
        <w:left w:val="none" w:sz="0" w:space="0" w:color="auto"/>
        <w:bottom w:val="none" w:sz="0" w:space="0" w:color="auto"/>
        <w:right w:val="none" w:sz="0" w:space="0" w:color="auto"/>
      </w:divBdr>
      <w:divsChild>
        <w:div w:id="1016611554">
          <w:marLeft w:val="0"/>
          <w:marRight w:val="0"/>
          <w:marTop w:val="0"/>
          <w:marBottom w:val="0"/>
          <w:divBdr>
            <w:top w:val="none" w:sz="0" w:space="0" w:color="auto"/>
            <w:left w:val="none" w:sz="0" w:space="0" w:color="auto"/>
            <w:bottom w:val="none" w:sz="0" w:space="0" w:color="auto"/>
            <w:right w:val="none" w:sz="0" w:space="0" w:color="auto"/>
          </w:divBdr>
          <w:divsChild>
            <w:div w:id="36636400">
              <w:marLeft w:val="0"/>
              <w:marRight w:val="0"/>
              <w:marTop w:val="0"/>
              <w:marBottom w:val="0"/>
              <w:divBdr>
                <w:top w:val="none" w:sz="0" w:space="0" w:color="auto"/>
                <w:left w:val="none" w:sz="0" w:space="0" w:color="auto"/>
                <w:bottom w:val="none" w:sz="0" w:space="0" w:color="auto"/>
                <w:right w:val="none" w:sz="0" w:space="0" w:color="auto"/>
              </w:divBdr>
            </w:div>
            <w:div w:id="1278492183">
              <w:marLeft w:val="0"/>
              <w:marRight w:val="0"/>
              <w:marTop w:val="0"/>
              <w:marBottom w:val="0"/>
              <w:divBdr>
                <w:top w:val="none" w:sz="0" w:space="0" w:color="auto"/>
                <w:left w:val="none" w:sz="0" w:space="0" w:color="auto"/>
                <w:bottom w:val="none" w:sz="0" w:space="0" w:color="auto"/>
                <w:right w:val="none" w:sz="0" w:space="0" w:color="auto"/>
              </w:divBdr>
            </w:div>
            <w:div w:id="2112388100">
              <w:marLeft w:val="0"/>
              <w:marRight w:val="0"/>
              <w:marTop w:val="0"/>
              <w:marBottom w:val="0"/>
              <w:divBdr>
                <w:top w:val="none" w:sz="0" w:space="0" w:color="auto"/>
                <w:left w:val="none" w:sz="0" w:space="0" w:color="auto"/>
                <w:bottom w:val="none" w:sz="0" w:space="0" w:color="auto"/>
                <w:right w:val="none" w:sz="0" w:space="0" w:color="auto"/>
              </w:divBdr>
            </w:div>
            <w:div w:id="213012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0054">
      <w:bodyDiv w:val="1"/>
      <w:marLeft w:val="0"/>
      <w:marRight w:val="0"/>
      <w:marTop w:val="0"/>
      <w:marBottom w:val="0"/>
      <w:divBdr>
        <w:top w:val="none" w:sz="0" w:space="0" w:color="auto"/>
        <w:left w:val="none" w:sz="0" w:space="0" w:color="auto"/>
        <w:bottom w:val="none" w:sz="0" w:space="0" w:color="auto"/>
        <w:right w:val="none" w:sz="0" w:space="0" w:color="auto"/>
      </w:divBdr>
      <w:divsChild>
        <w:div w:id="853569804">
          <w:marLeft w:val="0"/>
          <w:marRight w:val="0"/>
          <w:marTop w:val="0"/>
          <w:marBottom w:val="0"/>
          <w:divBdr>
            <w:top w:val="none" w:sz="0" w:space="0" w:color="auto"/>
            <w:left w:val="none" w:sz="0" w:space="0" w:color="auto"/>
            <w:bottom w:val="none" w:sz="0" w:space="0" w:color="auto"/>
            <w:right w:val="none" w:sz="0" w:space="0" w:color="auto"/>
          </w:divBdr>
          <w:divsChild>
            <w:div w:id="148986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256887">
      <w:bodyDiv w:val="1"/>
      <w:marLeft w:val="0"/>
      <w:marRight w:val="0"/>
      <w:marTop w:val="0"/>
      <w:marBottom w:val="0"/>
      <w:divBdr>
        <w:top w:val="none" w:sz="0" w:space="0" w:color="auto"/>
        <w:left w:val="none" w:sz="0" w:space="0" w:color="auto"/>
        <w:bottom w:val="none" w:sz="0" w:space="0" w:color="auto"/>
        <w:right w:val="none" w:sz="0" w:space="0" w:color="auto"/>
      </w:divBdr>
    </w:div>
    <w:div w:id="1955285704">
      <w:bodyDiv w:val="1"/>
      <w:marLeft w:val="0"/>
      <w:marRight w:val="0"/>
      <w:marTop w:val="0"/>
      <w:marBottom w:val="0"/>
      <w:divBdr>
        <w:top w:val="none" w:sz="0" w:space="0" w:color="auto"/>
        <w:left w:val="none" w:sz="0" w:space="0" w:color="auto"/>
        <w:bottom w:val="none" w:sz="0" w:space="0" w:color="auto"/>
        <w:right w:val="none" w:sz="0" w:space="0" w:color="auto"/>
      </w:divBdr>
      <w:divsChild>
        <w:div w:id="882984474">
          <w:marLeft w:val="0"/>
          <w:marRight w:val="0"/>
          <w:marTop w:val="0"/>
          <w:marBottom w:val="0"/>
          <w:divBdr>
            <w:top w:val="none" w:sz="0" w:space="0" w:color="auto"/>
            <w:left w:val="none" w:sz="0" w:space="0" w:color="auto"/>
            <w:bottom w:val="none" w:sz="0" w:space="0" w:color="auto"/>
            <w:right w:val="none" w:sz="0" w:space="0" w:color="auto"/>
          </w:divBdr>
        </w:div>
      </w:divsChild>
    </w:div>
    <w:div w:id="1968730964">
      <w:bodyDiv w:val="1"/>
      <w:marLeft w:val="0"/>
      <w:marRight w:val="0"/>
      <w:marTop w:val="0"/>
      <w:marBottom w:val="0"/>
      <w:divBdr>
        <w:top w:val="none" w:sz="0" w:space="0" w:color="auto"/>
        <w:left w:val="none" w:sz="0" w:space="0" w:color="auto"/>
        <w:bottom w:val="none" w:sz="0" w:space="0" w:color="auto"/>
        <w:right w:val="none" w:sz="0" w:space="0" w:color="auto"/>
      </w:divBdr>
      <w:divsChild>
        <w:div w:id="1371606921">
          <w:marLeft w:val="0"/>
          <w:marRight w:val="0"/>
          <w:marTop w:val="0"/>
          <w:marBottom w:val="0"/>
          <w:divBdr>
            <w:top w:val="none" w:sz="0" w:space="0" w:color="auto"/>
            <w:left w:val="none" w:sz="0" w:space="0" w:color="auto"/>
            <w:bottom w:val="none" w:sz="0" w:space="0" w:color="auto"/>
            <w:right w:val="none" w:sz="0" w:space="0" w:color="auto"/>
          </w:divBdr>
        </w:div>
      </w:divsChild>
    </w:div>
    <w:div w:id="1968731084">
      <w:bodyDiv w:val="1"/>
      <w:marLeft w:val="0"/>
      <w:marRight w:val="0"/>
      <w:marTop w:val="0"/>
      <w:marBottom w:val="0"/>
      <w:divBdr>
        <w:top w:val="none" w:sz="0" w:space="0" w:color="auto"/>
        <w:left w:val="none" w:sz="0" w:space="0" w:color="auto"/>
        <w:bottom w:val="none" w:sz="0" w:space="0" w:color="auto"/>
        <w:right w:val="none" w:sz="0" w:space="0" w:color="auto"/>
      </w:divBdr>
      <w:divsChild>
        <w:div w:id="1831553362">
          <w:marLeft w:val="0"/>
          <w:marRight w:val="0"/>
          <w:marTop w:val="0"/>
          <w:marBottom w:val="0"/>
          <w:divBdr>
            <w:top w:val="none" w:sz="0" w:space="0" w:color="auto"/>
            <w:left w:val="none" w:sz="0" w:space="0" w:color="auto"/>
            <w:bottom w:val="none" w:sz="0" w:space="0" w:color="auto"/>
            <w:right w:val="none" w:sz="0" w:space="0" w:color="auto"/>
          </w:divBdr>
          <w:divsChild>
            <w:div w:id="102374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42806">
      <w:bodyDiv w:val="1"/>
      <w:marLeft w:val="0"/>
      <w:marRight w:val="0"/>
      <w:marTop w:val="0"/>
      <w:marBottom w:val="0"/>
      <w:divBdr>
        <w:top w:val="none" w:sz="0" w:space="0" w:color="auto"/>
        <w:left w:val="none" w:sz="0" w:space="0" w:color="auto"/>
        <w:bottom w:val="none" w:sz="0" w:space="0" w:color="auto"/>
        <w:right w:val="none" w:sz="0" w:space="0" w:color="auto"/>
      </w:divBdr>
      <w:divsChild>
        <w:div w:id="1337928196">
          <w:marLeft w:val="547"/>
          <w:marRight w:val="0"/>
          <w:marTop w:val="134"/>
          <w:marBottom w:val="0"/>
          <w:divBdr>
            <w:top w:val="none" w:sz="0" w:space="0" w:color="auto"/>
            <w:left w:val="none" w:sz="0" w:space="0" w:color="auto"/>
            <w:bottom w:val="none" w:sz="0" w:space="0" w:color="auto"/>
            <w:right w:val="none" w:sz="0" w:space="0" w:color="auto"/>
          </w:divBdr>
        </w:div>
        <w:div w:id="1859346077">
          <w:marLeft w:val="1166"/>
          <w:marRight w:val="0"/>
          <w:marTop w:val="134"/>
          <w:marBottom w:val="0"/>
          <w:divBdr>
            <w:top w:val="none" w:sz="0" w:space="0" w:color="auto"/>
            <w:left w:val="none" w:sz="0" w:space="0" w:color="auto"/>
            <w:bottom w:val="none" w:sz="0" w:space="0" w:color="auto"/>
            <w:right w:val="none" w:sz="0" w:space="0" w:color="auto"/>
          </w:divBdr>
        </w:div>
        <w:div w:id="1488743151">
          <w:marLeft w:val="1166"/>
          <w:marRight w:val="0"/>
          <w:marTop w:val="134"/>
          <w:marBottom w:val="0"/>
          <w:divBdr>
            <w:top w:val="none" w:sz="0" w:space="0" w:color="auto"/>
            <w:left w:val="none" w:sz="0" w:space="0" w:color="auto"/>
            <w:bottom w:val="none" w:sz="0" w:space="0" w:color="auto"/>
            <w:right w:val="none" w:sz="0" w:space="0" w:color="auto"/>
          </w:divBdr>
        </w:div>
        <w:div w:id="310059894">
          <w:marLeft w:val="547"/>
          <w:marRight w:val="0"/>
          <w:marTop w:val="134"/>
          <w:marBottom w:val="0"/>
          <w:divBdr>
            <w:top w:val="none" w:sz="0" w:space="0" w:color="auto"/>
            <w:left w:val="none" w:sz="0" w:space="0" w:color="auto"/>
            <w:bottom w:val="none" w:sz="0" w:space="0" w:color="auto"/>
            <w:right w:val="none" w:sz="0" w:space="0" w:color="auto"/>
          </w:divBdr>
        </w:div>
        <w:div w:id="1956670304">
          <w:marLeft w:val="1166"/>
          <w:marRight w:val="0"/>
          <w:marTop w:val="134"/>
          <w:marBottom w:val="0"/>
          <w:divBdr>
            <w:top w:val="none" w:sz="0" w:space="0" w:color="auto"/>
            <w:left w:val="none" w:sz="0" w:space="0" w:color="auto"/>
            <w:bottom w:val="none" w:sz="0" w:space="0" w:color="auto"/>
            <w:right w:val="none" w:sz="0" w:space="0" w:color="auto"/>
          </w:divBdr>
        </w:div>
      </w:divsChild>
    </w:div>
    <w:div w:id="2064013674">
      <w:bodyDiv w:val="1"/>
      <w:marLeft w:val="0"/>
      <w:marRight w:val="0"/>
      <w:marTop w:val="0"/>
      <w:marBottom w:val="0"/>
      <w:divBdr>
        <w:top w:val="none" w:sz="0" w:space="0" w:color="auto"/>
        <w:left w:val="none" w:sz="0" w:space="0" w:color="auto"/>
        <w:bottom w:val="none" w:sz="0" w:space="0" w:color="auto"/>
        <w:right w:val="none" w:sz="0" w:space="0" w:color="auto"/>
      </w:divBdr>
      <w:divsChild>
        <w:div w:id="798037307">
          <w:marLeft w:val="0"/>
          <w:marRight w:val="0"/>
          <w:marTop w:val="0"/>
          <w:marBottom w:val="0"/>
          <w:divBdr>
            <w:top w:val="none" w:sz="0" w:space="0" w:color="auto"/>
            <w:left w:val="none" w:sz="0" w:space="0" w:color="auto"/>
            <w:bottom w:val="none" w:sz="0" w:space="0" w:color="auto"/>
            <w:right w:val="none" w:sz="0" w:space="0" w:color="auto"/>
          </w:divBdr>
        </w:div>
      </w:divsChild>
    </w:div>
    <w:div w:id="2068915644">
      <w:bodyDiv w:val="1"/>
      <w:marLeft w:val="0"/>
      <w:marRight w:val="0"/>
      <w:marTop w:val="0"/>
      <w:marBottom w:val="0"/>
      <w:divBdr>
        <w:top w:val="none" w:sz="0" w:space="0" w:color="auto"/>
        <w:left w:val="none" w:sz="0" w:space="0" w:color="auto"/>
        <w:bottom w:val="none" w:sz="0" w:space="0" w:color="auto"/>
        <w:right w:val="none" w:sz="0" w:space="0" w:color="auto"/>
      </w:divBdr>
    </w:div>
    <w:div w:id="2076314258">
      <w:bodyDiv w:val="1"/>
      <w:marLeft w:val="0"/>
      <w:marRight w:val="0"/>
      <w:marTop w:val="0"/>
      <w:marBottom w:val="0"/>
      <w:divBdr>
        <w:top w:val="none" w:sz="0" w:space="0" w:color="auto"/>
        <w:left w:val="none" w:sz="0" w:space="0" w:color="auto"/>
        <w:bottom w:val="none" w:sz="0" w:space="0" w:color="auto"/>
        <w:right w:val="none" w:sz="0" w:space="0" w:color="auto"/>
      </w:divBdr>
      <w:divsChild>
        <w:div w:id="449324551">
          <w:marLeft w:val="0"/>
          <w:marRight w:val="0"/>
          <w:marTop w:val="0"/>
          <w:marBottom w:val="0"/>
          <w:divBdr>
            <w:top w:val="none" w:sz="0" w:space="0" w:color="auto"/>
            <w:left w:val="none" w:sz="0" w:space="0" w:color="auto"/>
            <w:bottom w:val="none" w:sz="0" w:space="0" w:color="auto"/>
            <w:right w:val="none" w:sz="0" w:space="0" w:color="auto"/>
          </w:divBdr>
        </w:div>
      </w:divsChild>
    </w:div>
    <w:div w:id="2077242735">
      <w:bodyDiv w:val="1"/>
      <w:marLeft w:val="0"/>
      <w:marRight w:val="0"/>
      <w:marTop w:val="0"/>
      <w:marBottom w:val="0"/>
      <w:divBdr>
        <w:top w:val="none" w:sz="0" w:space="0" w:color="auto"/>
        <w:left w:val="none" w:sz="0" w:space="0" w:color="auto"/>
        <w:bottom w:val="none" w:sz="0" w:space="0" w:color="auto"/>
        <w:right w:val="none" w:sz="0" w:space="0" w:color="auto"/>
      </w:divBdr>
      <w:divsChild>
        <w:div w:id="1170220972">
          <w:marLeft w:val="533"/>
          <w:marRight w:val="0"/>
          <w:marTop w:val="230"/>
          <w:marBottom w:val="0"/>
          <w:divBdr>
            <w:top w:val="none" w:sz="0" w:space="0" w:color="auto"/>
            <w:left w:val="none" w:sz="0" w:space="0" w:color="auto"/>
            <w:bottom w:val="none" w:sz="0" w:space="0" w:color="auto"/>
            <w:right w:val="none" w:sz="0" w:space="0" w:color="auto"/>
          </w:divBdr>
        </w:div>
      </w:divsChild>
    </w:div>
    <w:div w:id="2101949997">
      <w:bodyDiv w:val="1"/>
      <w:marLeft w:val="0"/>
      <w:marRight w:val="0"/>
      <w:marTop w:val="0"/>
      <w:marBottom w:val="0"/>
      <w:divBdr>
        <w:top w:val="none" w:sz="0" w:space="0" w:color="auto"/>
        <w:left w:val="none" w:sz="0" w:space="0" w:color="auto"/>
        <w:bottom w:val="none" w:sz="0" w:space="0" w:color="auto"/>
        <w:right w:val="none" w:sz="0" w:space="0" w:color="auto"/>
      </w:divBdr>
    </w:div>
    <w:div w:id="2126465801">
      <w:bodyDiv w:val="1"/>
      <w:marLeft w:val="0"/>
      <w:marRight w:val="0"/>
      <w:marTop w:val="0"/>
      <w:marBottom w:val="0"/>
      <w:divBdr>
        <w:top w:val="none" w:sz="0" w:space="0" w:color="auto"/>
        <w:left w:val="none" w:sz="0" w:space="0" w:color="auto"/>
        <w:bottom w:val="none" w:sz="0" w:space="0" w:color="auto"/>
        <w:right w:val="none" w:sz="0" w:space="0" w:color="auto"/>
      </w:divBdr>
      <w:divsChild>
        <w:div w:id="87577732">
          <w:marLeft w:val="547"/>
          <w:marRight w:val="0"/>
          <w:marTop w:val="134"/>
          <w:marBottom w:val="0"/>
          <w:divBdr>
            <w:top w:val="none" w:sz="0" w:space="0" w:color="auto"/>
            <w:left w:val="none" w:sz="0" w:space="0" w:color="auto"/>
            <w:bottom w:val="none" w:sz="0" w:space="0" w:color="auto"/>
            <w:right w:val="none" w:sz="0" w:space="0" w:color="auto"/>
          </w:divBdr>
        </w:div>
        <w:div w:id="1945846158">
          <w:marLeft w:val="1166"/>
          <w:marRight w:val="0"/>
          <w:marTop w:val="134"/>
          <w:marBottom w:val="0"/>
          <w:divBdr>
            <w:top w:val="none" w:sz="0" w:space="0" w:color="auto"/>
            <w:left w:val="none" w:sz="0" w:space="0" w:color="auto"/>
            <w:bottom w:val="none" w:sz="0" w:space="0" w:color="auto"/>
            <w:right w:val="none" w:sz="0" w:space="0" w:color="auto"/>
          </w:divBdr>
        </w:div>
        <w:div w:id="382296182">
          <w:marLeft w:val="547"/>
          <w:marRight w:val="0"/>
          <w:marTop w:val="134"/>
          <w:marBottom w:val="0"/>
          <w:divBdr>
            <w:top w:val="none" w:sz="0" w:space="0" w:color="auto"/>
            <w:left w:val="none" w:sz="0" w:space="0" w:color="auto"/>
            <w:bottom w:val="none" w:sz="0" w:space="0" w:color="auto"/>
            <w:right w:val="none" w:sz="0" w:space="0" w:color="auto"/>
          </w:divBdr>
        </w:div>
        <w:div w:id="610010317">
          <w:marLeft w:val="1166"/>
          <w:marRight w:val="0"/>
          <w:marTop w:val="134"/>
          <w:marBottom w:val="0"/>
          <w:divBdr>
            <w:top w:val="none" w:sz="0" w:space="0" w:color="auto"/>
            <w:left w:val="none" w:sz="0" w:space="0" w:color="auto"/>
            <w:bottom w:val="none" w:sz="0" w:space="0" w:color="auto"/>
            <w:right w:val="none" w:sz="0" w:space="0" w:color="auto"/>
          </w:divBdr>
        </w:div>
        <w:div w:id="1215702250">
          <w:marLeft w:val="1166"/>
          <w:marRight w:val="0"/>
          <w:marTop w:val="134"/>
          <w:marBottom w:val="0"/>
          <w:divBdr>
            <w:top w:val="none" w:sz="0" w:space="0" w:color="auto"/>
            <w:left w:val="none" w:sz="0" w:space="0" w:color="auto"/>
            <w:bottom w:val="none" w:sz="0" w:space="0" w:color="auto"/>
            <w:right w:val="none" w:sz="0" w:space="0" w:color="auto"/>
          </w:divBdr>
        </w:div>
        <w:div w:id="884606241">
          <w:marLeft w:val="1166"/>
          <w:marRight w:val="0"/>
          <w:marTop w:val="134"/>
          <w:marBottom w:val="0"/>
          <w:divBdr>
            <w:top w:val="none" w:sz="0" w:space="0" w:color="auto"/>
            <w:left w:val="none" w:sz="0" w:space="0" w:color="auto"/>
            <w:bottom w:val="none" w:sz="0" w:space="0" w:color="auto"/>
            <w:right w:val="none" w:sz="0" w:space="0" w:color="auto"/>
          </w:divBdr>
        </w:div>
        <w:div w:id="1170833038">
          <w:marLeft w:val="1166"/>
          <w:marRight w:val="0"/>
          <w:marTop w:val="134"/>
          <w:marBottom w:val="0"/>
          <w:divBdr>
            <w:top w:val="none" w:sz="0" w:space="0" w:color="auto"/>
            <w:left w:val="none" w:sz="0" w:space="0" w:color="auto"/>
            <w:bottom w:val="none" w:sz="0" w:space="0" w:color="auto"/>
            <w:right w:val="none" w:sz="0" w:space="0" w:color="auto"/>
          </w:divBdr>
        </w:div>
        <w:div w:id="634608112">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DC2FD-79F6-4B67-AF26-B60CE8944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1261</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Application Platforms and Business Strategy</vt:lpstr>
    </vt:vector>
  </TitlesOfParts>
  <Company>Chappell &amp; Associates</Company>
  <LinksUpToDate>false</LinksUpToDate>
  <CharactersWithSpaces>8433</CharactersWithSpaces>
  <SharedDoc>false</SharedDoc>
  <HLinks>
    <vt:vector size="210" baseType="variant">
      <vt:variant>
        <vt:i4>1310734</vt:i4>
      </vt:variant>
      <vt:variant>
        <vt:i4>168</vt:i4>
      </vt:variant>
      <vt:variant>
        <vt:i4>0</vt:i4>
      </vt:variant>
      <vt:variant>
        <vt:i4>5</vt:i4>
      </vt:variant>
      <vt:variant>
        <vt:lpwstr>http://www.davidchappell.com/IntroducingWCFv1.2.1.pdf</vt:lpwstr>
      </vt:variant>
      <vt:variant>
        <vt:lpwstr/>
      </vt:variant>
      <vt:variant>
        <vt:i4>1114196</vt:i4>
      </vt:variant>
      <vt:variant>
        <vt:i4>165</vt:i4>
      </vt:variant>
      <vt:variant>
        <vt:i4>0</vt:i4>
      </vt:variant>
      <vt:variant>
        <vt:i4>5</vt:i4>
      </vt:variant>
      <vt:variant>
        <vt:lpwstr>http://schemas.xmlsoap.org/ws/2004/09/policy/</vt:lpwstr>
      </vt:variant>
      <vt:variant>
        <vt:lpwstr/>
      </vt:variant>
      <vt:variant>
        <vt:i4>1704046</vt:i4>
      </vt:variant>
      <vt:variant>
        <vt:i4>162</vt:i4>
      </vt:variant>
      <vt:variant>
        <vt:i4>0</vt:i4>
      </vt:variant>
      <vt:variant>
        <vt:i4>5</vt:i4>
      </vt:variant>
      <vt:variant>
        <vt:lpwstr>http://www.osoa.org/download/attachments/35/SCA_Policy_Framework_V100.pdf?version=1</vt:lpwstr>
      </vt:variant>
      <vt:variant>
        <vt:lpwstr/>
      </vt:variant>
      <vt:variant>
        <vt:i4>589854</vt:i4>
      </vt:variant>
      <vt:variant>
        <vt:i4>159</vt:i4>
      </vt:variant>
      <vt:variant>
        <vt:i4>0</vt:i4>
      </vt:variant>
      <vt:variant>
        <vt:i4>5</vt:i4>
      </vt:variant>
      <vt:variant>
        <vt:lpwstr>http://www.osoa.org/download/attachments/35/SCA_AssemblyModel_V100.pdf?version=1</vt:lpwstr>
      </vt:variant>
      <vt:variant>
        <vt:lpwstr/>
      </vt:variant>
      <vt:variant>
        <vt:i4>1048582</vt:i4>
      </vt:variant>
      <vt:variant>
        <vt:i4>156</vt:i4>
      </vt:variant>
      <vt:variant>
        <vt:i4>0</vt:i4>
      </vt:variant>
      <vt:variant>
        <vt:i4>5</vt:i4>
      </vt:variant>
      <vt:variant>
        <vt:lpwstr>http://www.osoa.org/download/attachments/35/SCA_ClientAndImplementationModel_Cpp-V100.pdf?version=2</vt:lpwstr>
      </vt:variant>
      <vt:variant>
        <vt:lpwstr/>
      </vt:variant>
      <vt:variant>
        <vt:i4>720919</vt:i4>
      </vt:variant>
      <vt:variant>
        <vt:i4>153</vt:i4>
      </vt:variant>
      <vt:variant>
        <vt:i4>0</vt:i4>
      </vt:variant>
      <vt:variant>
        <vt:i4>5</vt:i4>
      </vt:variant>
      <vt:variant>
        <vt:lpwstr>http://www.osoa.org/download/attachments/35/SCA_EJBSessionBeanBinding_V100.pdf?version=1</vt:lpwstr>
      </vt:variant>
      <vt:variant>
        <vt:lpwstr/>
      </vt:variant>
      <vt:variant>
        <vt:i4>7077934</vt:i4>
      </vt:variant>
      <vt:variant>
        <vt:i4>150</vt:i4>
      </vt:variant>
      <vt:variant>
        <vt:i4>0</vt:i4>
      </vt:variant>
      <vt:variant>
        <vt:i4>5</vt:i4>
      </vt:variant>
      <vt:variant>
        <vt:lpwstr>http://www.osoa.org/download/attachments/35/SCA_JMSBinding_V100.pdf?version=2</vt:lpwstr>
      </vt:variant>
      <vt:variant>
        <vt:lpwstr/>
      </vt:variant>
      <vt:variant>
        <vt:i4>393231</vt:i4>
      </vt:variant>
      <vt:variant>
        <vt:i4>147</vt:i4>
      </vt:variant>
      <vt:variant>
        <vt:i4>0</vt:i4>
      </vt:variant>
      <vt:variant>
        <vt:i4>5</vt:i4>
      </vt:variant>
      <vt:variant>
        <vt:lpwstr>http://www.osoa.org/download/attachments/35/SCA_WebServiceBinding_V100.pdf?version=2</vt:lpwstr>
      </vt:variant>
      <vt:variant>
        <vt:lpwstr/>
      </vt:variant>
      <vt:variant>
        <vt:i4>6422589</vt:i4>
      </vt:variant>
      <vt:variant>
        <vt:i4>144</vt:i4>
      </vt:variant>
      <vt:variant>
        <vt:i4>0</vt:i4>
      </vt:variant>
      <vt:variant>
        <vt:i4>5</vt:i4>
      </vt:variant>
      <vt:variant>
        <vt:lpwstr>http://www.osoa.org/download/attachments/35/SCA_JavaAnnotationsAndAPIs_V100.pdf?version=1</vt:lpwstr>
      </vt:variant>
      <vt:variant>
        <vt:lpwstr/>
      </vt:variant>
      <vt:variant>
        <vt:i4>6684783</vt:i4>
      </vt:variant>
      <vt:variant>
        <vt:i4>141</vt:i4>
      </vt:variant>
      <vt:variant>
        <vt:i4>0</vt:i4>
      </vt:variant>
      <vt:variant>
        <vt:i4>5</vt:i4>
      </vt:variant>
      <vt:variant>
        <vt:lpwstr>http://www.osoa.org/download/attachments/35/SCA_ClientAndImplementationModelforBPEL_V100.pdf?version=1</vt:lpwstr>
      </vt:variant>
      <vt:variant>
        <vt:lpwstr/>
      </vt:variant>
      <vt:variant>
        <vt:i4>6553680</vt:i4>
      </vt:variant>
      <vt:variant>
        <vt:i4>138</vt:i4>
      </vt:variant>
      <vt:variant>
        <vt:i4>0</vt:i4>
      </vt:variant>
      <vt:variant>
        <vt:i4>5</vt:i4>
      </vt:variant>
      <vt:variant>
        <vt:lpwstr>http://www.osoa.org/download/attachments/35/SCA_SpringComponentImplementationSpecification-V100.pdf?version=1</vt:lpwstr>
      </vt:variant>
      <vt:variant>
        <vt:lpwstr/>
      </vt:variant>
      <vt:variant>
        <vt:i4>1048669</vt:i4>
      </vt:variant>
      <vt:variant>
        <vt:i4>135</vt:i4>
      </vt:variant>
      <vt:variant>
        <vt:i4>0</vt:i4>
      </vt:variant>
      <vt:variant>
        <vt:i4>5</vt:i4>
      </vt:variant>
      <vt:variant>
        <vt:lpwstr>http://www.osoa.org/display/Main/Service+Data+Objects+Specifications</vt:lpwstr>
      </vt:variant>
      <vt:variant>
        <vt:lpwstr/>
      </vt:variant>
      <vt:variant>
        <vt:i4>2097249</vt:i4>
      </vt:variant>
      <vt:variant>
        <vt:i4>132</vt:i4>
      </vt:variant>
      <vt:variant>
        <vt:i4>0</vt:i4>
      </vt:variant>
      <vt:variant>
        <vt:i4>5</vt:i4>
      </vt:variant>
      <vt:variant>
        <vt:lpwstr>http://www.osoa.org/display/Main/Service+Component+Architecture+Specifications</vt:lpwstr>
      </vt:variant>
      <vt:variant>
        <vt:lpwstr/>
      </vt:variant>
      <vt:variant>
        <vt:i4>5505044</vt:i4>
      </vt:variant>
      <vt:variant>
        <vt:i4>129</vt:i4>
      </vt:variant>
      <vt:variant>
        <vt:i4>0</vt:i4>
      </vt:variant>
      <vt:variant>
        <vt:i4>5</vt:i4>
      </vt:variant>
      <vt:variant>
        <vt:lpwstr>http://www.osoa.org/display/Main/Service+Component+Architecture+Home</vt:lpwstr>
      </vt:variant>
      <vt:variant>
        <vt:lpwstr/>
      </vt:variant>
      <vt:variant>
        <vt:i4>1441853</vt:i4>
      </vt:variant>
      <vt:variant>
        <vt:i4>122</vt:i4>
      </vt:variant>
      <vt:variant>
        <vt:i4>0</vt:i4>
      </vt:variant>
      <vt:variant>
        <vt:i4>5</vt:i4>
      </vt:variant>
      <vt:variant>
        <vt:lpwstr/>
      </vt:variant>
      <vt:variant>
        <vt:lpwstr>_Toc169929771</vt:lpwstr>
      </vt:variant>
      <vt:variant>
        <vt:i4>1441853</vt:i4>
      </vt:variant>
      <vt:variant>
        <vt:i4>116</vt:i4>
      </vt:variant>
      <vt:variant>
        <vt:i4>0</vt:i4>
      </vt:variant>
      <vt:variant>
        <vt:i4>5</vt:i4>
      </vt:variant>
      <vt:variant>
        <vt:lpwstr/>
      </vt:variant>
      <vt:variant>
        <vt:lpwstr>_Toc169929770</vt:lpwstr>
      </vt:variant>
      <vt:variant>
        <vt:i4>1507389</vt:i4>
      </vt:variant>
      <vt:variant>
        <vt:i4>110</vt:i4>
      </vt:variant>
      <vt:variant>
        <vt:i4>0</vt:i4>
      </vt:variant>
      <vt:variant>
        <vt:i4>5</vt:i4>
      </vt:variant>
      <vt:variant>
        <vt:lpwstr/>
      </vt:variant>
      <vt:variant>
        <vt:lpwstr>_Toc169929769</vt:lpwstr>
      </vt:variant>
      <vt:variant>
        <vt:i4>1507389</vt:i4>
      </vt:variant>
      <vt:variant>
        <vt:i4>104</vt:i4>
      </vt:variant>
      <vt:variant>
        <vt:i4>0</vt:i4>
      </vt:variant>
      <vt:variant>
        <vt:i4>5</vt:i4>
      </vt:variant>
      <vt:variant>
        <vt:lpwstr/>
      </vt:variant>
      <vt:variant>
        <vt:lpwstr>_Toc169929768</vt:lpwstr>
      </vt:variant>
      <vt:variant>
        <vt:i4>1507389</vt:i4>
      </vt:variant>
      <vt:variant>
        <vt:i4>98</vt:i4>
      </vt:variant>
      <vt:variant>
        <vt:i4>0</vt:i4>
      </vt:variant>
      <vt:variant>
        <vt:i4>5</vt:i4>
      </vt:variant>
      <vt:variant>
        <vt:lpwstr/>
      </vt:variant>
      <vt:variant>
        <vt:lpwstr>_Toc169929767</vt:lpwstr>
      </vt:variant>
      <vt:variant>
        <vt:i4>1507389</vt:i4>
      </vt:variant>
      <vt:variant>
        <vt:i4>92</vt:i4>
      </vt:variant>
      <vt:variant>
        <vt:i4>0</vt:i4>
      </vt:variant>
      <vt:variant>
        <vt:i4>5</vt:i4>
      </vt:variant>
      <vt:variant>
        <vt:lpwstr/>
      </vt:variant>
      <vt:variant>
        <vt:lpwstr>_Toc169929766</vt:lpwstr>
      </vt:variant>
      <vt:variant>
        <vt:i4>1507389</vt:i4>
      </vt:variant>
      <vt:variant>
        <vt:i4>86</vt:i4>
      </vt:variant>
      <vt:variant>
        <vt:i4>0</vt:i4>
      </vt:variant>
      <vt:variant>
        <vt:i4>5</vt:i4>
      </vt:variant>
      <vt:variant>
        <vt:lpwstr/>
      </vt:variant>
      <vt:variant>
        <vt:lpwstr>_Toc169929765</vt:lpwstr>
      </vt:variant>
      <vt:variant>
        <vt:i4>1507389</vt:i4>
      </vt:variant>
      <vt:variant>
        <vt:i4>80</vt:i4>
      </vt:variant>
      <vt:variant>
        <vt:i4>0</vt:i4>
      </vt:variant>
      <vt:variant>
        <vt:i4>5</vt:i4>
      </vt:variant>
      <vt:variant>
        <vt:lpwstr/>
      </vt:variant>
      <vt:variant>
        <vt:lpwstr>_Toc169929764</vt:lpwstr>
      </vt:variant>
      <vt:variant>
        <vt:i4>1507389</vt:i4>
      </vt:variant>
      <vt:variant>
        <vt:i4>74</vt:i4>
      </vt:variant>
      <vt:variant>
        <vt:i4>0</vt:i4>
      </vt:variant>
      <vt:variant>
        <vt:i4>5</vt:i4>
      </vt:variant>
      <vt:variant>
        <vt:lpwstr/>
      </vt:variant>
      <vt:variant>
        <vt:lpwstr>_Toc169929763</vt:lpwstr>
      </vt:variant>
      <vt:variant>
        <vt:i4>1507389</vt:i4>
      </vt:variant>
      <vt:variant>
        <vt:i4>68</vt:i4>
      </vt:variant>
      <vt:variant>
        <vt:i4>0</vt:i4>
      </vt:variant>
      <vt:variant>
        <vt:i4>5</vt:i4>
      </vt:variant>
      <vt:variant>
        <vt:lpwstr/>
      </vt:variant>
      <vt:variant>
        <vt:lpwstr>_Toc169929762</vt:lpwstr>
      </vt:variant>
      <vt:variant>
        <vt:i4>1507389</vt:i4>
      </vt:variant>
      <vt:variant>
        <vt:i4>62</vt:i4>
      </vt:variant>
      <vt:variant>
        <vt:i4>0</vt:i4>
      </vt:variant>
      <vt:variant>
        <vt:i4>5</vt:i4>
      </vt:variant>
      <vt:variant>
        <vt:lpwstr/>
      </vt:variant>
      <vt:variant>
        <vt:lpwstr>_Toc169929761</vt:lpwstr>
      </vt:variant>
      <vt:variant>
        <vt:i4>1507389</vt:i4>
      </vt:variant>
      <vt:variant>
        <vt:i4>56</vt:i4>
      </vt:variant>
      <vt:variant>
        <vt:i4>0</vt:i4>
      </vt:variant>
      <vt:variant>
        <vt:i4>5</vt:i4>
      </vt:variant>
      <vt:variant>
        <vt:lpwstr/>
      </vt:variant>
      <vt:variant>
        <vt:lpwstr>_Toc169929760</vt:lpwstr>
      </vt:variant>
      <vt:variant>
        <vt:i4>1310781</vt:i4>
      </vt:variant>
      <vt:variant>
        <vt:i4>50</vt:i4>
      </vt:variant>
      <vt:variant>
        <vt:i4>0</vt:i4>
      </vt:variant>
      <vt:variant>
        <vt:i4>5</vt:i4>
      </vt:variant>
      <vt:variant>
        <vt:lpwstr/>
      </vt:variant>
      <vt:variant>
        <vt:lpwstr>_Toc169929759</vt:lpwstr>
      </vt:variant>
      <vt:variant>
        <vt:i4>1310781</vt:i4>
      </vt:variant>
      <vt:variant>
        <vt:i4>44</vt:i4>
      </vt:variant>
      <vt:variant>
        <vt:i4>0</vt:i4>
      </vt:variant>
      <vt:variant>
        <vt:i4>5</vt:i4>
      </vt:variant>
      <vt:variant>
        <vt:lpwstr/>
      </vt:variant>
      <vt:variant>
        <vt:lpwstr>_Toc169929758</vt:lpwstr>
      </vt:variant>
      <vt:variant>
        <vt:i4>1310781</vt:i4>
      </vt:variant>
      <vt:variant>
        <vt:i4>38</vt:i4>
      </vt:variant>
      <vt:variant>
        <vt:i4>0</vt:i4>
      </vt:variant>
      <vt:variant>
        <vt:i4>5</vt:i4>
      </vt:variant>
      <vt:variant>
        <vt:lpwstr/>
      </vt:variant>
      <vt:variant>
        <vt:lpwstr>_Toc169929757</vt:lpwstr>
      </vt:variant>
      <vt:variant>
        <vt:i4>1310781</vt:i4>
      </vt:variant>
      <vt:variant>
        <vt:i4>32</vt:i4>
      </vt:variant>
      <vt:variant>
        <vt:i4>0</vt:i4>
      </vt:variant>
      <vt:variant>
        <vt:i4>5</vt:i4>
      </vt:variant>
      <vt:variant>
        <vt:lpwstr/>
      </vt:variant>
      <vt:variant>
        <vt:lpwstr>_Toc169929756</vt:lpwstr>
      </vt:variant>
      <vt:variant>
        <vt:i4>1310781</vt:i4>
      </vt:variant>
      <vt:variant>
        <vt:i4>26</vt:i4>
      </vt:variant>
      <vt:variant>
        <vt:i4>0</vt:i4>
      </vt:variant>
      <vt:variant>
        <vt:i4>5</vt:i4>
      </vt:variant>
      <vt:variant>
        <vt:lpwstr/>
      </vt:variant>
      <vt:variant>
        <vt:lpwstr>_Toc169929755</vt:lpwstr>
      </vt:variant>
      <vt:variant>
        <vt:i4>1310781</vt:i4>
      </vt:variant>
      <vt:variant>
        <vt:i4>20</vt:i4>
      </vt:variant>
      <vt:variant>
        <vt:i4>0</vt:i4>
      </vt:variant>
      <vt:variant>
        <vt:i4>5</vt:i4>
      </vt:variant>
      <vt:variant>
        <vt:lpwstr/>
      </vt:variant>
      <vt:variant>
        <vt:lpwstr>_Toc169929754</vt:lpwstr>
      </vt:variant>
      <vt:variant>
        <vt:i4>1310781</vt:i4>
      </vt:variant>
      <vt:variant>
        <vt:i4>14</vt:i4>
      </vt:variant>
      <vt:variant>
        <vt:i4>0</vt:i4>
      </vt:variant>
      <vt:variant>
        <vt:i4>5</vt:i4>
      </vt:variant>
      <vt:variant>
        <vt:lpwstr/>
      </vt:variant>
      <vt:variant>
        <vt:lpwstr>_Toc169929753</vt:lpwstr>
      </vt:variant>
      <vt:variant>
        <vt:i4>1310781</vt:i4>
      </vt:variant>
      <vt:variant>
        <vt:i4>8</vt:i4>
      </vt:variant>
      <vt:variant>
        <vt:i4>0</vt:i4>
      </vt:variant>
      <vt:variant>
        <vt:i4>5</vt:i4>
      </vt:variant>
      <vt:variant>
        <vt:lpwstr/>
      </vt:variant>
      <vt:variant>
        <vt:lpwstr>_Toc169929752</vt:lpwstr>
      </vt:variant>
      <vt:variant>
        <vt:i4>1310781</vt:i4>
      </vt:variant>
      <vt:variant>
        <vt:i4>2</vt:i4>
      </vt:variant>
      <vt:variant>
        <vt:i4>0</vt:i4>
      </vt:variant>
      <vt:variant>
        <vt:i4>5</vt:i4>
      </vt:variant>
      <vt:variant>
        <vt:lpwstr/>
      </vt:variant>
      <vt:variant>
        <vt:lpwstr>_Toc169929751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Tools for Team Development: Why Vendors Are Finally Getting It Right</dc:title>
  <dc:creator>David Chappell</dc:creator>
  <cp:lastModifiedBy>David Chappell</cp:lastModifiedBy>
  <cp:revision>5</cp:revision>
  <cp:lastPrinted>2004-10-22T00:24:00Z</cp:lastPrinted>
  <dcterms:created xsi:type="dcterms:W3CDTF">2008-08-07T14:32:00Z</dcterms:created>
  <dcterms:modified xsi:type="dcterms:W3CDTF">2008-08-07T14:44:00Z</dcterms:modified>
</cp:coreProperties>
</file>