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E46" w:rsidRDefault="00B51E46">
      <w:pPr>
        <w:pStyle w:val="H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TwC_Word-Template_Banner.bmp" style="position:absolute;margin-left:-23.25pt;margin-top:0;width:540pt;height:116.25pt;z-index:251658240;visibility:visible;mso-position-horizontal-relative:margin;mso-position-vertical-relative:page">
            <v:imagedata r:id="rId7" o:title=""/>
            <w10:wrap anchorx="margin" anchory="page"/>
          </v:shape>
        </w:pict>
      </w:r>
      <w:r>
        <w:t>Microsoft</w:t>
      </w:r>
      <w:r w:rsidRPr="0058353B">
        <w:t xml:space="preserve"> &amp; Data </w:t>
      </w:r>
      <w:r>
        <w:t>Breach Notification</w:t>
      </w:r>
      <w:r>
        <w:tab/>
      </w:r>
      <w:r>
        <w:tab/>
        <w:t>November</w:t>
      </w:r>
      <w:r w:rsidRPr="0058353B">
        <w:t xml:space="preserve"> 2008</w:t>
      </w:r>
    </w:p>
    <w:p w:rsidR="00B51E46" w:rsidRDefault="00B51E46">
      <w:pPr>
        <w:spacing w:before="240"/>
        <w:rPr>
          <w:rFonts w:ascii="Tahoma" w:hAnsi="Tahoma" w:cs="Tahoma"/>
          <w:sz w:val="19"/>
          <w:szCs w:val="19"/>
        </w:rPr>
      </w:pPr>
      <w:r w:rsidRPr="005B74B2">
        <w:rPr>
          <w:rFonts w:ascii="Tahoma" w:hAnsi="Tahoma" w:cs="Tahoma"/>
          <w:sz w:val="19"/>
          <w:szCs w:val="19"/>
        </w:rPr>
        <w:t xml:space="preserve">Organizations are increasingly inviting customers to share personal information that can </w:t>
      </w:r>
      <w:r>
        <w:rPr>
          <w:rFonts w:ascii="Tahoma" w:hAnsi="Tahoma" w:cs="Tahoma"/>
          <w:sz w:val="19"/>
          <w:szCs w:val="19"/>
        </w:rPr>
        <w:t xml:space="preserve">be </w:t>
      </w:r>
      <w:r w:rsidRPr="005B74B2">
        <w:rPr>
          <w:rFonts w:ascii="Tahoma" w:hAnsi="Tahoma" w:cs="Tahoma"/>
          <w:sz w:val="19"/>
          <w:szCs w:val="19"/>
        </w:rPr>
        <w:t>use</w:t>
      </w:r>
      <w:r>
        <w:rPr>
          <w:rFonts w:ascii="Tahoma" w:hAnsi="Tahoma" w:cs="Tahoma"/>
          <w:sz w:val="19"/>
          <w:szCs w:val="19"/>
        </w:rPr>
        <w:t>d</w:t>
      </w:r>
      <w:r w:rsidRPr="005B74B2">
        <w:rPr>
          <w:rFonts w:ascii="Tahoma" w:hAnsi="Tahoma" w:cs="Tahoma"/>
          <w:sz w:val="19"/>
          <w:szCs w:val="19"/>
        </w:rPr>
        <w:t xml:space="preserve"> for a variety of </w:t>
      </w:r>
      <w:r>
        <w:rPr>
          <w:rFonts w:ascii="Tahoma" w:hAnsi="Tahoma" w:cs="Tahoma"/>
          <w:sz w:val="19"/>
          <w:szCs w:val="19"/>
        </w:rPr>
        <w:t xml:space="preserve">beneficial </w:t>
      </w:r>
      <w:r w:rsidRPr="005B74B2">
        <w:rPr>
          <w:rFonts w:ascii="Tahoma" w:hAnsi="Tahoma" w:cs="Tahoma"/>
          <w:sz w:val="19"/>
          <w:szCs w:val="19"/>
        </w:rPr>
        <w:t xml:space="preserve">purposes, such as improving services and delivering more personalized user experiences. </w:t>
      </w:r>
      <w:r>
        <w:rPr>
          <w:rFonts w:ascii="Tahoma" w:hAnsi="Tahoma" w:cs="Tahoma"/>
          <w:sz w:val="19"/>
          <w:szCs w:val="19"/>
        </w:rPr>
        <w:t>However, a</w:t>
      </w:r>
      <w:r w:rsidRPr="001A6B42">
        <w:rPr>
          <w:rFonts w:ascii="Tahoma" w:hAnsi="Tahoma" w:cs="Tahoma"/>
          <w:sz w:val="19"/>
          <w:szCs w:val="19"/>
        </w:rPr>
        <w:t>s the volume of collected information grows, so does the risk of a breach involving loss or theft of data</w:t>
      </w:r>
      <w:r w:rsidRPr="005B74B2">
        <w:rPr>
          <w:rFonts w:ascii="Tahoma" w:hAnsi="Tahoma" w:cs="Tahoma"/>
          <w:sz w:val="19"/>
          <w:szCs w:val="19"/>
        </w:rPr>
        <w:t>.</w:t>
      </w:r>
      <w:r>
        <w:rPr>
          <w:rFonts w:ascii="Tahoma" w:hAnsi="Tahoma" w:cs="Tahoma"/>
          <w:sz w:val="19"/>
          <w:szCs w:val="19"/>
        </w:rPr>
        <w:t xml:space="preserve"> </w:t>
      </w:r>
      <w:r w:rsidRPr="000F5F93">
        <w:rPr>
          <w:rFonts w:ascii="Tahoma" w:hAnsi="Tahoma" w:cs="Tahoma"/>
          <w:sz w:val="19"/>
          <w:szCs w:val="19"/>
        </w:rPr>
        <w:t xml:space="preserve">Organizations that embrace the concepts of </w:t>
      </w:r>
      <w:r w:rsidRPr="00F1516E">
        <w:rPr>
          <w:rFonts w:ascii="Tahoma" w:hAnsi="Tahoma" w:cs="Tahoma"/>
          <w:i/>
          <w:sz w:val="19"/>
          <w:szCs w:val="19"/>
        </w:rPr>
        <w:t>data governance</w:t>
      </w:r>
      <w:r w:rsidRPr="000F5F93">
        <w:rPr>
          <w:rFonts w:ascii="Tahoma" w:hAnsi="Tahoma" w:cs="Tahoma"/>
          <w:sz w:val="19"/>
          <w:szCs w:val="19"/>
        </w:rPr>
        <w:t xml:space="preserve"> can reduce the risk of incurring a data breach and minimize the harm when such incidents occur.</w:t>
      </w:r>
      <w:r>
        <w:rPr>
          <w:rFonts w:ascii="Tahoma" w:hAnsi="Tahoma" w:cs="Tahoma"/>
          <w:sz w:val="19"/>
          <w:szCs w:val="19"/>
        </w:rPr>
        <w:t xml:space="preserve"> </w:t>
      </w:r>
      <w:r w:rsidRPr="005B74B2">
        <w:rPr>
          <w:rFonts w:ascii="Tahoma" w:hAnsi="Tahoma" w:cs="Tahoma"/>
          <w:sz w:val="19"/>
          <w:szCs w:val="19"/>
        </w:rPr>
        <w:t>Data breaches not only put customers at risk of fraud and identity theft</w:t>
      </w:r>
      <w:r>
        <w:rPr>
          <w:rFonts w:ascii="Tahoma" w:hAnsi="Tahoma" w:cs="Tahoma"/>
          <w:sz w:val="19"/>
          <w:szCs w:val="19"/>
        </w:rPr>
        <w:t>,</w:t>
      </w:r>
      <w:r w:rsidRPr="005B74B2">
        <w:rPr>
          <w:rFonts w:ascii="Tahoma" w:hAnsi="Tahoma" w:cs="Tahoma"/>
          <w:sz w:val="19"/>
          <w:szCs w:val="19"/>
        </w:rPr>
        <w:t xml:space="preserve"> but also can expose the affected organization to </w:t>
      </w:r>
      <w:r>
        <w:rPr>
          <w:rFonts w:ascii="Tahoma" w:hAnsi="Tahoma" w:cs="Tahoma"/>
          <w:sz w:val="19"/>
          <w:szCs w:val="19"/>
        </w:rPr>
        <w:t xml:space="preserve">a </w:t>
      </w:r>
      <w:r w:rsidRPr="005B74B2">
        <w:rPr>
          <w:rFonts w:ascii="Tahoma" w:hAnsi="Tahoma" w:cs="Tahoma"/>
          <w:sz w:val="19"/>
          <w:szCs w:val="19"/>
        </w:rPr>
        <w:t>damage</w:t>
      </w:r>
      <w:r>
        <w:rPr>
          <w:rFonts w:ascii="Tahoma" w:hAnsi="Tahoma" w:cs="Tahoma"/>
          <w:sz w:val="19"/>
          <w:szCs w:val="19"/>
        </w:rPr>
        <w:t>d</w:t>
      </w:r>
      <w:r w:rsidRPr="005B74B2">
        <w:rPr>
          <w:rFonts w:ascii="Tahoma" w:hAnsi="Tahoma" w:cs="Tahoma"/>
          <w:sz w:val="19"/>
          <w:szCs w:val="19"/>
        </w:rPr>
        <w:t xml:space="preserve"> reputation, financial penalties and loss of market share.</w:t>
      </w:r>
    </w:p>
    <w:p w:rsidR="00B51E46" w:rsidRDefault="00B51E46" w:rsidP="000F5F93">
      <w:pPr>
        <w:rPr>
          <w:rFonts w:ascii="Tahoma" w:hAnsi="Tahoma" w:cs="Tahoma"/>
          <w:sz w:val="19"/>
          <w:szCs w:val="19"/>
        </w:rPr>
      </w:pPr>
      <w:r w:rsidRPr="005B74B2">
        <w:rPr>
          <w:rFonts w:ascii="Tahoma" w:hAnsi="Tahoma" w:cs="Tahoma"/>
          <w:sz w:val="19"/>
          <w:szCs w:val="19"/>
        </w:rPr>
        <w:t>In response to rising concerns among citizens about privacy threats to their personal information, governments at all levels are examining the need for new and evolving laws regarding</w:t>
      </w:r>
      <w:r>
        <w:rPr>
          <w:rFonts w:ascii="Tahoma" w:hAnsi="Tahoma" w:cs="Tahoma"/>
          <w:sz w:val="19"/>
          <w:szCs w:val="19"/>
        </w:rPr>
        <w:t xml:space="preserve"> data breach notification. </w:t>
      </w:r>
      <w:r w:rsidRPr="005B74B2">
        <w:rPr>
          <w:rFonts w:ascii="Tahoma" w:hAnsi="Tahoma" w:cs="Tahoma"/>
          <w:sz w:val="19"/>
          <w:szCs w:val="19"/>
        </w:rPr>
        <w:t>Some instances of this legislation require organizations to notify their customers whenever a data breach occurs and there is reasonable suspicion that personal information has been acquired by an unauthorized party; others require notification only when there is significant risk that personal information involved in a data breach will be used to harm individuals.</w:t>
      </w:r>
    </w:p>
    <w:p w:rsidR="00B51E46" w:rsidRPr="000F5F93" w:rsidRDefault="00B51E46" w:rsidP="000F5F93">
      <w:pPr>
        <w:pStyle w:val="H3"/>
        <w:spacing w:before="240"/>
      </w:pPr>
      <w:r w:rsidRPr="005B74B2">
        <w:t>Data Breach Risks</w:t>
      </w:r>
      <w:r>
        <w:t xml:space="preserve"> and Concerns</w:t>
      </w:r>
    </w:p>
    <w:p w:rsidR="00B51E46" w:rsidRPr="000F5F93" w:rsidRDefault="00B51E46" w:rsidP="000F5F93">
      <w:pPr>
        <w:rPr>
          <w:rFonts w:ascii="Tahoma" w:hAnsi="Tahoma" w:cs="Tahoma"/>
          <w:sz w:val="19"/>
          <w:szCs w:val="19"/>
        </w:rPr>
      </w:pPr>
      <w:r w:rsidRPr="005B74B2">
        <w:rPr>
          <w:rFonts w:ascii="Tahoma" w:hAnsi="Tahoma" w:cs="Tahoma"/>
          <w:sz w:val="19"/>
          <w:szCs w:val="19"/>
        </w:rPr>
        <w:t xml:space="preserve">Recent, well-publicized instances of data breaches have intensified public </w:t>
      </w:r>
      <w:r>
        <w:rPr>
          <w:rFonts w:ascii="Tahoma" w:hAnsi="Tahoma" w:cs="Tahoma"/>
          <w:sz w:val="19"/>
          <w:szCs w:val="19"/>
        </w:rPr>
        <w:t>concern about the resulting risks such as fraud and identity theft</w:t>
      </w:r>
      <w:r w:rsidRPr="005B74B2">
        <w:rPr>
          <w:rFonts w:ascii="Tahoma" w:hAnsi="Tahoma" w:cs="Tahoma"/>
          <w:sz w:val="19"/>
          <w:szCs w:val="19"/>
        </w:rPr>
        <w:t xml:space="preserve">. According to DataLossDB (http://datalossdb.org/), a nonprofit group that tracks data breach incidents using public information, at least 162 million records containing personal information were compromised worldwide in 2007, </w:t>
      </w:r>
      <w:r>
        <w:rPr>
          <w:rFonts w:ascii="Tahoma" w:hAnsi="Tahoma" w:cs="Tahoma"/>
          <w:sz w:val="19"/>
          <w:szCs w:val="19"/>
        </w:rPr>
        <w:t>an increase from</w:t>
      </w:r>
      <w:r w:rsidRPr="005B74B2">
        <w:rPr>
          <w:rFonts w:ascii="Tahoma" w:hAnsi="Tahoma" w:cs="Tahoma"/>
          <w:sz w:val="19"/>
          <w:szCs w:val="19"/>
        </w:rPr>
        <w:t xml:space="preserve"> 49 million records in the previous year. </w:t>
      </w:r>
      <w:r>
        <w:rPr>
          <w:rFonts w:ascii="Tahoma" w:hAnsi="Tahoma" w:cs="Tahoma"/>
          <w:sz w:val="19"/>
          <w:szCs w:val="19"/>
        </w:rPr>
        <w:t xml:space="preserve">The actual number could be significantly higher. </w:t>
      </w:r>
      <w:r w:rsidRPr="005B74B2">
        <w:rPr>
          <w:rFonts w:ascii="Tahoma" w:hAnsi="Tahoma" w:cs="Tahoma"/>
          <w:sz w:val="19"/>
          <w:szCs w:val="19"/>
        </w:rPr>
        <w:t>A 2008 InformationWeek survey of 1,100 IT and business professionals found 66 percent felt that they were as vulnerable, or more vulnerable, to breaches and malicious attacks than the year before.</w:t>
      </w:r>
    </w:p>
    <w:p w:rsidR="00B51E46" w:rsidRPr="000F5F93" w:rsidRDefault="00B51E46" w:rsidP="000F5F93">
      <w:pPr>
        <w:rPr>
          <w:rFonts w:ascii="Tahoma" w:hAnsi="Tahoma" w:cs="Tahoma"/>
          <w:sz w:val="19"/>
          <w:szCs w:val="19"/>
        </w:rPr>
      </w:pPr>
      <w:r w:rsidRPr="005B74B2">
        <w:rPr>
          <w:rFonts w:ascii="Tahoma" w:hAnsi="Tahoma" w:cs="Tahoma"/>
          <w:sz w:val="19"/>
          <w:szCs w:val="19"/>
        </w:rPr>
        <w:t xml:space="preserve">For consumers, a data breach can result in several potential dangers. If financial information is compromised, the consumer might endure financial loss arising from fraud. </w:t>
      </w:r>
      <w:r>
        <w:rPr>
          <w:rFonts w:ascii="Tahoma" w:hAnsi="Tahoma" w:cs="Tahoma"/>
          <w:sz w:val="19"/>
          <w:szCs w:val="19"/>
        </w:rPr>
        <w:t xml:space="preserve">Although </w:t>
      </w:r>
      <w:r w:rsidRPr="005B74B2">
        <w:rPr>
          <w:rFonts w:ascii="Tahoma" w:hAnsi="Tahoma" w:cs="Tahoma"/>
          <w:sz w:val="19"/>
          <w:szCs w:val="19"/>
        </w:rPr>
        <w:t xml:space="preserve">such losses are </w:t>
      </w:r>
      <w:r>
        <w:rPr>
          <w:rFonts w:ascii="Tahoma" w:hAnsi="Tahoma" w:cs="Tahoma"/>
          <w:sz w:val="19"/>
          <w:szCs w:val="19"/>
        </w:rPr>
        <w:t>often</w:t>
      </w:r>
      <w:r w:rsidRPr="005B74B2">
        <w:rPr>
          <w:rFonts w:ascii="Tahoma" w:hAnsi="Tahoma" w:cs="Tahoma"/>
          <w:sz w:val="19"/>
          <w:szCs w:val="19"/>
        </w:rPr>
        <w:t xml:space="preserve"> absorbed by financial institutions or retailers while the consumer’s financial account is reimbursed</w:t>
      </w:r>
      <w:r>
        <w:rPr>
          <w:rFonts w:ascii="Tahoma" w:hAnsi="Tahoma" w:cs="Tahoma"/>
          <w:sz w:val="19"/>
          <w:szCs w:val="19"/>
        </w:rPr>
        <w:t>, victim</w:t>
      </w:r>
      <w:r w:rsidRPr="005B74B2">
        <w:rPr>
          <w:rFonts w:ascii="Tahoma" w:hAnsi="Tahoma" w:cs="Tahoma"/>
          <w:sz w:val="19"/>
          <w:szCs w:val="19"/>
        </w:rPr>
        <w:t xml:space="preserve">s may still </w:t>
      </w:r>
      <w:r>
        <w:rPr>
          <w:rFonts w:ascii="Tahoma" w:hAnsi="Tahoma" w:cs="Tahoma"/>
          <w:sz w:val="19"/>
          <w:szCs w:val="19"/>
        </w:rPr>
        <w:t>face</w:t>
      </w:r>
      <w:r w:rsidRPr="005B74B2">
        <w:rPr>
          <w:rFonts w:ascii="Tahoma" w:hAnsi="Tahoma" w:cs="Tahoma"/>
          <w:sz w:val="19"/>
          <w:szCs w:val="19"/>
        </w:rPr>
        <w:t xml:space="preserve"> problems</w:t>
      </w:r>
      <w:r>
        <w:rPr>
          <w:rFonts w:ascii="Tahoma" w:hAnsi="Tahoma" w:cs="Tahoma"/>
          <w:sz w:val="19"/>
          <w:szCs w:val="19"/>
        </w:rPr>
        <w:t xml:space="preserve"> with </w:t>
      </w:r>
      <w:r w:rsidRPr="005B74B2">
        <w:rPr>
          <w:rFonts w:ascii="Tahoma" w:hAnsi="Tahoma" w:cs="Tahoma"/>
          <w:sz w:val="19"/>
          <w:szCs w:val="19"/>
        </w:rPr>
        <w:t>paying</w:t>
      </w:r>
      <w:r>
        <w:rPr>
          <w:rFonts w:ascii="Tahoma" w:hAnsi="Tahoma" w:cs="Tahoma"/>
          <w:sz w:val="19"/>
          <w:szCs w:val="19"/>
        </w:rPr>
        <w:t xml:space="preserve"> their bills,</w:t>
      </w:r>
      <w:r w:rsidRPr="005B74B2">
        <w:rPr>
          <w:rFonts w:ascii="Tahoma" w:hAnsi="Tahoma" w:cs="Tahoma"/>
          <w:sz w:val="19"/>
          <w:szCs w:val="19"/>
        </w:rPr>
        <w:t xml:space="preserve"> clearing checks</w:t>
      </w:r>
      <w:r>
        <w:rPr>
          <w:rFonts w:ascii="Tahoma" w:hAnsi="Tahoma" w:cs="Tahoma"/>
          <w:sz w:val="19"/>
          <w:szCs w:val="19"/>
        </w:rPr>
        <w:t xml:space="preserve"> and undoing damage to</w:t>
      </w:r>
      <w:r w:rsidRPr="005B74B2">
        <w:rPr>
          <w:rFonts w:ascii="Tahoma" w:hAnsi="Tahoma" w:cs="Tahoma"/>
          <w:sz w:val="19"/>
          <w:szCs w:val="19"/>
        </w:rPr>
        <w:t xml:space="preserve"> their credit reports. Moreover, losses borne by financial institutions and retailers are eventually passed to consumers in the form of increased fees and surcharges, and higher prices for goods and services.</w:t>
      </w:r>
    </w:p>
    <w:p w:rsidR="00B51E46" w:rsidRPr="000F5F93" w:rsidRDefault="00B51E46" w:rsidP="000F5F93">
      <w:pPr>
        <w:pStyle w:val="H3"/>
        <w:spacing w:before="240"/>
      </w:pPr>
      <w:r w:rsidRPr="005B74B2">
        <w:t>Guidance for Organizations: Responding to a Data Breach</w:t>
      </w:r>
    </w:p>
    <w:p w:rsidR="00B51E46" w:rsidRPr="000F5F93" w:rsidRDefault="00B51E46" w:rsidP="000F5F93">
      <w:pPr>
        <w:rPr>
          <w:rFonts w:ascii="Tahoma" w:hAnsi="Tahoma" w:cs="Tahoma"/>
          <w:sz w:val="19"/>
          <w:szCs w:val="19"/>
        </w:rPr>
      </w:pPr>
      <w:r w:rsidRPr="000F5F93">
        <w:rPr>
          <w:rFonts w:ascii="Tahoma" w:hAnsi="Tahoma" w:cs="Tahoma"/>
          <w:sz w:val="19"/>
          <w:szCs w:val="19"/>
        </w:rPr>
        <w:t>Organizations that respond quickly to a data breach can help protect their customers from the most severe consequences.</w:t>
      </w:r>
      <w:r>
        <w:rPr>
          <w:rFonts w:ascii="Tahoma" w:hAnsi="Tahoma" w:cs="Tahoma"/>
          <w:sz w:val="19"/>
          <w:szCs w:val="19"/>
        </w:rPr>
        <w:t xml:space="preserve"> </w:t>
      </w:r>
      <w:r w:rsidRPr="005B74B2">
        <w:rPr>
          <w:rFonts w:ascii="Tahoma" w:hAnsi="Tahoma" w:cs="Tahoma"/>
          <w:sz w:val="19"/>
          <w:szCs w:val="19"/>
        </w:rPr>
        <w:t>Upon detecting a breach, an organization should</w:t>
      </w:r>
      <w:r w:rsidRPr="00F1516E">
        <w:rPr>
          <w:rFonts w:ascii="Tahoma" w:hAnsi="Tahoma" w:cs="Tahoma"/>
          <w:sz w:val="19"/>
          <w:szCs w:val="19"/>
        </w:rPr>
        <w:t xml:space="preserve"> </w:t>
      </w:r>
      <w:r w:rsidRPr="005B74B2">
        <w:rPr>
          <w:rFonts w:ascii="Tahoma" w:hAnsi="Tahoma" w:cs="Tahoma"/>
          <w:sz w:val="19"/>
          <w:szCs w:val="19"/>
        </w:rPr>
        <w:t>respond in a timely and careful fashion</w:t>
      </w:r>
      <w:r>
        <w:rPr>
          <w:rFonts w:ascii="Tahoma" w:hAnsi="Tahoma" w:cs="Tahoma"/>
          <w:sz w:val="19"/>
          <w:szCs w:val="19"/>
        </w:rPr>
        <w:t>.</w:t>
      </w:r>
    </w:p>
    <w:p w:rsidR="00B51E46" w:rsidRPr="000F5F93" w:rsidRDefault="00B51E46" w:rsidP="000F5F93">
      <w:pPr>
        <w:pStyle w:val="ListParagraph"/>
        <w:numPr>
          <w:ilvl w:val="0"/>
          <w:numId w:val="6"/>
        </w:numPr>
        <w:rPr>
          <w:rFonts w:ascii="Tahoma" w:hAnsi="Tahoma" w:cs="Tahoma"/>
          <w:sz w:val="19"/>
          <w:szCs w:val="19"/>
        </w:rPr>
      </w:pPr>
      <w:r w:rsidRPr="005B74B2">
        <w:rPr>
          <w:rFonts w:ascii="Tahoma" w:hAnsi="Tahoma" w:cs="Tahoma"/>
          <w:b/>
          <w:sz w:val="19"/>
          <w:szCs w:val="19"/>
        </w:rPr>
        <w:t>Determine what personal information was compromised</w:t>
      </w:r>
      <w:r>
        <w:rPr>
          <w:rFonts w:ascii="Tahoma" w:hAnsi="Tahoma" w:cs="Tahoma"/>
          <w:b/>
          <w:sz w:val="19"/>
          <w:szCs w:val="19"/>
        </w:rPr>
        <w:t xml:space="preserve">, </w:t>
      </w:r>
      <w:r>
        <w:rPr>
          <w:rFonts w:ascii="Tahoma" w:hAnsi="Tahoma" w:cs="Tahoma"/>
          <w:sz w:val="19"/>
          <w:szCs w:val="19"/>
        </w:rPr>
        <w:t>in order to assess</w:t>
      </w:r>
      <w:r w:rsidRPr="005B74B2">
        <w:rPr>
          <w:rFonts w:ascii="Tahoma" w:hAnsi="Tahoma" w:cs="Tahoma"/>
          <w:sz w:val="19"/>
          <w:szCs w:val="19"/>
        </w:rPr>
        <w:t xml:space="preserve"> the severity of the data breach and notify those affected.</w:t>
      </w:r>
    </w:p>
    <w:p w:rsidR="00B51E46" w:rsidRPr="000F5F93" w:rsidRDefault="00B51E46" w:rsidP="000F5F93">
      <w:pPr>
        <w:pStyle w:val="ListParagraph"/>
        <w:numPr>
          <w:ilvl w:val="0"/>
          <w:numId w:val="6"/>
        </w:numPr>
        <w:rPr>
          <w:rFonts w:ascii="Tahoma" w:hAnsi="Tahoma" w:cs="Tahoma"/>
          <w:b/>
          <w:sz w:val="19"/>
          <w:szCs w:val="19"/>
        </w:rPr>
      </w:pPr>
      <w:r w:rsidRPr="005B74B2">
        <w:rPr>
          <w:rFonts w:ascii="Tahoma" w:hAnsi="Tahoma" w:cs="Tahoma"/>
          <w:b/>
          <w:sz w:val="19"/>
          <w:szCs w:val="19"/>
        </w:rPr>
        <w:t>Identify mitigating circumstances</w:t>
      </w:r>
      <w:r>
        <w:rPr>
          <w:rFonts w:ascii="Tahoma" w:hAnsi="Tahoma" w:cs="Tahoma"/>
          <w:b/>
          <w:sz w:val="19"/>
          <w:szCs w:val="19"/>
        </w:rPr>
        <w:t xml:space="preserve">, </w:t>
      </w:r>
      <w:r w:rsidRPr="005B74B2">
        <w:rPr>
          <w:rFonts w:ascii="Tahoma" w:hAnsi="Tahoma" w:cs="Tahoma"/>
          <w:sz w:val="19"/>
          <w:szCs w:val="19"/>
        </w:rPr>
        <w:t>such as whether the lost or stolen</w:t>
      </w:r>
      <w:r>
        <w:rPr>
          <w:rFonts w:ascii="Tahoma" w:hAnsi="Tahoma" w:cs="Tahoma"/>
          <w:b/>
          <w:sz w:val="19"/>
          <w:szCs w:val="19"/>
        </w:rPr>
        <w:t xml:space="preserve"> </w:t>
      </w:r>
      <w:r>
        <w:rPr>
          <w:rFonts w:ascii="Tahoma" w:hAnsi="Tahoma" w:cs="Tahoma"/>
          <w:sz w:val="19"/>
          <w:szCs w:val="19"/>
        </w:rPr>
        <w:t>p</w:t>
      </w:r>
      <w:r w:rsidRPr="005B74B2">
        <w:rPr>
          <w:rFonts w:ascii="Tahoma" w:hAnsi="Tahoma" w:cs="Tahoma"/>
          <w:sz w:val="19"/>
          <w:szCs w:val="19"/>
        </w:rPr>
        <w:t xml:space="preserve">ersonal information </w:t>
      </w:r>
      <w:r>
        <w:rPr>
          <w:rFonts w:ascii="Tahoma" w:hAnsi="Tahoma" w:cs="Tahoma"/>
          <w:sz w:val="19"/>
          <w:szCs w:val="19"/>
        </w:rPr>
        <w:t>might</w:t>
      </w:r>
      <w:r w:rsidRPr="005B74B2">
        <w:rPr>
          <w:rFonts w:ascii="Tahoma" w:hAnsi="Tahoma" w:cs="Tahoma"/>
          <w:sz w:val="19"/>
          <w:szCs w:val="19"/>
        </w:rPr>
        <w:t xml:space="preserve"> have been protected using strong data encryption technologies, or </w:t>
      </w:r>
      <w:r>
        <w:rPr>
          <w:rFonts w:ascii="Tahoma" w:hAnsi="Tahoma" w:cs="Tahoma"/>
          <w:sz w:val="19"/>
          <w:szCs w:val="19"/>
        </w:rPr>
        <w:t xml:space="preserve">whether </w:t>
      </w:r>
      <w:r w:rsidRPr="005B74B2">
        <w:rPr>
          <w:rFonts w:ascii="Tahoma" w:hAnsi="Tahoma" w:cs="Tahoma"/>
          <w:sz w:val="19"/>
          <w:szCs w:val="19"/>
        </w:rPr>
        <w:t>a laptop computer thief might have chosen to wipe the hard drive clean</w:t>
      </w:r>
      <w:r>
        <w:rPr>
          <w:rFonts w:ascii="Tahoma" w:hAnsi="Tahoma" w:cs="Tahoma"/>
          <w:sz w:val="19"/>
          <w:szCs w:val="19"/>
        </w:rPr>
        <w:t>.</w:t>
      </w:r>
    </w:p>
    <w:p w:rsidR="00B51E46" w:rsidRPr="000F5F93" w:rsidRDefault="00B51E46" w:rsidP="000F5F93">
      <w:pPr>
        <w:pStyle w:val="ListParagraph"/>
        <w:numPr>
          <w:ilvl w:val="0"/>
          <w:numId w:val="6"/>
        </w:numPr>
        <w:rPr>
          <w:rFonts w:ascii="Tahoma" w:hAnsi="Tahoma" w:cs="Tahoma"/>
          <w:b/>
          <w:sz w:val="19"/>
          <w:szCs w:val="19"/>
        </w:rPr>
      </w:pPr>
      <w:r w:rsidRPr="005B74B2">
        <w:rPr>
          <w:rFonts w:ascii="Tahoma" w:hAnsi="Tahoma" w:cs="Tahoma"/>
          <w:b/>
          <w:sz w:val="19"/>
          <w:szCs w:val="19"/>
        </w:rPr>
        <w:t>Secure affected systems and networks</w:t>
      </w:r>
      <w:r w:rsidRPr="005B74B2">
        <w:rPr>
          <w:rFonts w:ascii="Tahoma" w:hAnsi="Tahoma" w:cs="Tahoma"/>
          <w:sz w:val="19"/>
          <w:szCs w:val="19"/>
        </w:rPr>
        <w:t xml:space="preserve"> to prevent further theft or loss of personal information.</w:t>
      </w:r>
    </w:p>
    <w:p w:rsidR="00B51E46" w:rsidRPr="000F5F93" w:rsidRDefault="00B51E46" w:rsidP="000F5F93">
      <w:pPr>
        <w:pStyle w:val="ListParagraph"/>
        <w:numPr>
          <w:ilvl w:val="0"/>
          <w:numId w:val="6"/>
        </w:numPr>
        <w:rPr>
          <w:rFonts w:ascii="Tahoma" w:hAnsi="Tahoma" w:cs="Tahoma"/>
          <w:b/>
          <w:sz w:val="19"/>
          <w:szCs w:val="19"/>
        </w:rPr>
      </w:pPr>
      <w:r w:rsidRPr="005B74B2">
        <w:rPr>
          <w:rFonts w:ascii="Tahoma" w:hAnsi="Tahoma" w:cs="Tahoma"/>
          <w:b/>
          <w:sz w:val="19"/>
          <w:szCs w:val="19"/>
        </w:rPr>
        <w:t>Notify law enforcement</w:t>
      </w:r>
      <w:r>
        <w:rPr>
          <w:rFonts w:ascii="Tahoma" w:hAnsi="Tahoma" w:cs="Tahoma"/>
          <w:b/>
          <w:sz w:val="19"/>
          <w:szCs w:val="19"/>
        </w:rPr>
        <w:t xml:space="preserve"> </w:t>
      </w:r>
      <w:r>
        <w:rPr>
          <w:rFonts w:ascii="Tahoma" w:hAnsi="Tahoma" w:cs="Tahoma"/>
          <w:sz w:val="19"/>
          <w:szCs w:val="19"/>
        </w:rPr>
        <w:t>to give investigators a better chance of catching the suspects</w:t>
      </w:r>
      <w:r w:rsidRPr="005B74B2">
        <w:rPr>
          <w:rFonts w:ascii="Tahoma" w:hAnsi="Tahoma" w:cs="Tahoma"/>
          <w:sz w:val="19"/>
          <w:szCs w:val="19"/>
        </w:rPr>
        <w:t xml:space="preserve"> before they use the compromised personal information </w:t>
      </w:r>
      <w:r>
        <w:rPr>
          <w:rFonts w:ascii="Tahoma" w:hAnsi="Tahoma" w:cs="Tahoma"/>
          <w:sz w:val="19"/>
          <w:szCs w:val="19"/>
        </w:rPr>
        <w:t>to</w:t>
      </w:r>
      <w:r w:rsidRPr="005B74B2">
        <w:rPr>
          <w:rFonts w:ascii="Tahoma" w:hAnsi="Tahoma" w:cs="Tahoma"/>
          <w:sz w:val="19"/>
          <w:szCs w:val="19"/>
        </w:rPr>
        <w:t xml:space="preserve"> commit additional crimes.</w:t>
      </w:r>
    </w:p>
    <w:p w:rsidR="00B51E46" w:rsidRPr="000F5F93" w:rsidRDefault="00B51E46" w:rsidP="000F5F93">
      <w:pPr>
        <w:pStyle w:val="ListParagraph"/>
        <w:numPr>
          <w:ilvl w:val="0"/>
          <w:numId w:val="6"/>
        </w:numPr>
        <w:rPr>
          <w:rFonts w:ascii="Tahoma" w:hAnsi="Tahoma" w:cs="Tahoma"/>
          <w:b/>
          <w:sz w:val="19"/>
          <w:szCs w:val="19"/>
        </w:rPr>
      </w:pPr>
      <w:r w:rsidRPr="005B74B2">
        <w:rPr>
          <w:rFonts w:ascii="Tahoma" w:hAnsi="Tahoma" w:cs="Tahoma"/>
          <w:b/>
          <w:sz w:val="19"/>
          <w:szCs w:val="19"/>
        </w:rPr>
        <w:t>Notify affected businesses</w:t>
      </w:r>
      <w:r>
        <w:rPr>
          <w:rFonts w:ascii="Tahoma" w:hAnsi="Tahoma" w:cs="Tahoma"/>
          <w:b/>
          <w:sz w:val="19"/>
          <w:szCs w:val="19"/>
        </w:rPr>
        <w:t xml:space="preserve"> </w:t>
      </w:r>
      <w:r w:rsidRPr="005B74B2">
        <w:rPr>
          <w:rFonts w:ascii="Tahoma" w:hAnsi="Tahoma" w:cs="Tahoma"/>
          <w:sz w:val="19"/>
          <w:szCs w:val="19"/>
        </w:rPr>
        <w:t>such as banks</w:t>
      </w:r>
      <w:r>
        <w:rPr>
          <w:rFonts w:ascii="Tahoma" w:hAnsi="Tahoma" w:cs="Tahoma"/>
          <w:sz w:val="19"/>
          <w:szCs w:val="19"/>
        </w:rPr>
        <w:t xml:space="preserve"> and</w:t>
      </w:r>
      <w:r w:rsidRPr="005B74B2">
        <w:rPr>
          <w:rFonts w:ascii="Tahoma" w:hAnsi="Tahoma" w:cs="Tahoma"/>
          <w:sz w:val="19"/>
          <w:szCs w:val="19"/>
        </w:rPr>
        <w:t xml:space="preserve"> credit card issuers </w:t>
      </w:r>
      <w:r>
        <w:rPr>
          <w:rFonts w:ascii="Tahoma" w:hAnsi="Tahoma" w:cs="Tahoma"/>
          <w:sz w:val="19"/>
          <w:szCs w:val="19"/>
        </w:rPr>
        <w:t>so they</w:t>
      </w:r>
      <w:r w:rsidRPr="005B74B2">
        <w:rPr>
          <w:rFonts w:ascii="Tahoma" w:hAnsi="Tahoma" w:cs="Tahoma"/>
          <w:sz w:val="19"/>
          <w:szCs w:val="19"/>
        </w:rPr>
        <w:t xml:space="preserve"> can cancel and reopen accounts</w:t>
      </w:r>
      <w:r>
        <w:rPr>
          <w:rFonts w:ascii="Tahoma" w:hAnsi="Tahoma" w:cs="Tahoma"/>
          <w:sz w:val="19"/>
          <w:szCs w:val="19"/>
        </w:rPr>
        <w:t>,</w:t>
      </w:r>
      <w:r w:rsidRPr="005B74B2">
        <w:rPr>
          <w:rFonts w:ascii="Tahoma" w:hAnsi="Tahoma" w:cs="Tahoma"/>
          <w:sz w:val="19"/>
          <w:szCs w:val="19"/>
        </w:rPr>
        <w:t xml:space="preserve"> increase monitoring for signs of fraud, and limit potential financial loss</w:t>
      </w:r>
      <w:r>
        <w:rPr>
          <w:rFonts w:ascii="Tahoma" w:hAnsi="Tahoma" w:cs="Tahoma"/>
          <w:sz w:val="19"/>
          <w:szCs w:val="19"/>
        </w:rPr>
        <w:t>es</w:t>
      </w:r>
      <w:r w:rsidRPr="005B74B2">
        <w:rPr>
          <w:rFonts w:ascii="Tahoma" w:hAnsi="Tahoma" w:cs="Tahoma"/>
          <w:sz w:val="19"/>
          <w:szCs w:val="19"/>
        </w:rPr>
        <w:t>.</w:t>
      </w:r>
    </w:p>
    <w:p w:rsidR="00B51E46" w:rsidRDefault="00B51E46">
      <w:pPr>
        <w:pStyle w:val="ListParagraph"/>
        <w:numPr>
          <w:ilvl w:val="0"/>
          <w:numId w:val="6"/>
        </w:numPr>
        <w:rPr>
          <w:rFonts w:ascii="Tahoma" w:hAnsi="Tahoma" w:cs="Tahoma"/>
          <w:b/>
          <w:sz w:val="19"/>
          <w:szCs w:val="19"/>
        </w:rPr>
      </w:pPr>
      <w:r w:rsidRPr="005B74B2">
        <w:rPr>
          <w:rFonts w:ascii="Tahoma" w:hAnsi="Tahoma" w:cs="Tahoma"/>
          <w:b/>
          <w:sz w:val="19"/>
          <w:szCs w:val="19"/>
        </w:rPr>
        <w:t xml:space="preserve">Notify </w:t>
      </w:r>
      <w:r>
        <w:rPr>
          <w:rFonts w:ascii="Tahoma" w:hAnsi="Tahoma" w:cs="Tahoma"/>
          <w:b/>
          <w:sz w:val="19"/>
          <w:szCs w:val="19"/>
        </w:rPr>
        <w:t xml:space="preserve">affected </w:t>
      </w:r>
      <w:r w:rsidRPr="005B74B2">
        <w:rPr>
          <w:rFonts w:ascii="Tahoma" w:hAnsi="Tahoma" w:cs="Tahoma"/>
          <w:b/>
          <w:sz w:val="19"/>
          <w:szCs w:val="19"/>
        </w:rPr>
        <w:t xml:space="preserve">individuals </w:t>
      </w:r>
      <w:r w:rsidRPr="005B74B2">
        <w:rPr>
          <w:rFonts w:ascii="Tahoma" w:hAnsi="Tahoma" w:cs="Tahoma"/>
          <w:sz w:val="19"/>
          <w:szCs w:val="19"/>
        </w:rPr>
        <w:t xml:space="preserve">as soon as possible after law enforcement officials confirm that notification will not compromise their investigation. The notice should clearly describe </w:t>
      </w:r>
      <w:r>
        <w:rPr>
          <w:rFonts w:ascii="Tahoma" w:hAnsi="Tahoma" w:cs="Tahoma"/>
          <w:sz w:val="19"/>
          <w:szCs w:val="19"/>
        </w:rPr>
        <w:t>how the data breach</w:t>
      </w:r>
      <w:r w:rsidRPr="005B74B2">
        <w:rPr>
          <w:rFonts w:ascii="Tahoma" w:hAnsi="Tahoma" w:cs="Tahoma"/>
          <w:sz w:val="19"/>
          <w:szCs w:val="19"/>
        </w:rPr>
        <w:t xml:space="preserve"> occurre</w:t>
      </w:r>
      <w:r>
        <w:rPr>
          <w:rFonts w:ascii="Tahoma" w:hAnsi="Tahoma" w:cs="Tahoma"/>
          <w:sz w:val="19"/>
          <w:szCs w:val="19"/>
        </w:rPr>
        <w:t>d, w</w:t>
      </w:r>
      <w:r w:rsidRPr="005B74B2">
        <w:rPr>
          <w:rFonts w:ascii="Tahoma" w:hAnsi="Tahoma" w:cs="Tahoma"/>
          <w:sz w:val="19"/>
          <w:szCs w:val="19"/>
        </w:rPr>
        <w:t>hat personal information was compromised</w:t>
      </w:r>
      <w:r>
        <w:rPr>
          <w:rFonts w:ascii="Tahoma" w:hAnsi="Tahoma" w:cs="Tahoma"/>
          <w:sz w:val="19"/>
          <w:szCs w:val="19"/>
        </w:rPr>
        <w:t>,</w:t>
      </w:r>
      <w:r>
        <w:rPr>
          <w:rFonts w:ascii="Tahoma" w:hAnsi="Tahoma" w:cs="Tahoma"/>
          <w:b/>
          <w:sz w:val="19"/>
          <w:szCs w:val="19"/>
        </w:rPr>
        <w:t xml:space="preserve"> </w:t>
      </w:r>
      <w:r>
        <w:rPr>
          <w:rFonts w:ascii="Tahoma" w:hAnsi="Tahoma" w:cs="Tahoma"/>
          <w:sz w:val="19"/>
          <w:szCs w:val="19"/>
        </w:rPr>
        <w:t>s</w:t>
      </w:r>
      <w:r w:rsidRPr="005B74B2">
        <w:rPr>
          <w:rFonts w:ascii="Tahoma" w:hAnsi="Tahoma" w:cs="Tahoma"/>
          <w:sz w:val="19"/>
          <w:szCs w:val="19"/>
        </w:rPr>
        <w:t xml:space="preserve">teps the organization is taking to </w:t>
      </w:r>
      <w:r>
        <w:rPr>
          <w:rFonts w:ascii="Tahoma" w:hAnsi="Tahoma" w:cs="Tahoma"/>
          <w:sz w:val="19"/>
          <w:szCs w:val="19"/>
        </w:rPr>
        <w:t>help prevent a</w:t>
      </w:r>
      <w:r w:rsidRPr="005B74B2">
        <w:rPr>
          <w:rFonts w:ascii="Tahoma" w:hAnsi="Tahoma" w:cs="Tahoma"/>
          <w:sz w:val="19"/>
          <w:szCs w:val="19"/>
        </w:rPr>
        <w:t xml:space="preserve"> recurrence</w:t>
      </w:r>
      <w:r>
        <w:rPr>
          <w:rFonts w:ascii="Tahoma" w:hAnsi="Tahoma" w:cs="Tahoma"/>
          <w:sz w:val="19"/>
          <w:szCs w:val="19"/>
        </w:rPr>
        <w:t>, h</w:t>
      </w:r>
      <w:r w:rsidRPr="005B74B2">
        <w:rPr>
          <w:rFonts w:ascii="Tahoma" w:hAnsi="Tahoma" w:cs="Tahoma"/>
          <w:sz w:val="19"/>
          <w:szCs w:val="19"/>
        </w:rPr>
        <w:t xml:space="preserve">ow affected customers can minimize </w:t>
      </w:r>
      <w:r>
        <w:rPr>
          <w:rFonts w:ascii="Tahoma" w:hAnsi="Tahoma" w:cs="Tahoma"/>
          <w:sz w:val="19"/>
          <w:szCs w:val="19"/>
        </w:rPr>
        <w:t xml:space="preserve">their </w:t>
      </w:r>
      <w:r w:rsidRPr="005B74B2">
        <w:rPr>
          <w:rFonts w:ascii="Tahoma" w:hAnsi="Tahoma" w:cs="Tahoma"/>
          <w:sz w:val="19"/>
          <w:szCs w:val="19"/>
        </w:rPr>
        <w:t>risks of financial loss or identity theft, and</w:t>
      </w:r>
      <w:r>
        <w:rPr>
          <w:rFonts w:ascii="Tahoma" w:hAnsi="Tahoma" w:cs="Tahoma"/>
          <w:b/>
          <w:sz w:val="19"/>
          <w:szCs w:val="19"/>
        </w:rPr>
        <w:t xml:space="preserve"> </w:t>
      </w:r>
      <w:r>
        <w:rPr>
          <w:rFonts w:ascii="Tahoma" w:hAnsi="Tahoma" w:cs="Tahoma"/>
          <w:sz w:val="19"/>
          <w:szCs w:val="19"/>
        </w:rPr>
        <w:t>h</w:t>
      </w:r>
      <w:r w:rsidRPr="005B74B2">
        <w:rPr>
          <w:rFonts w:ascii="Tahoma" w:hAnsi="Tahoma" w:cs="Tahoma"/>
          <w:sz w:val="19"/>
          <w:szCs w:val="19"/>
        </w:rPr>
        <w:t>ow to contact law enforcement to report losses or crimes arising from the breach</w:t>
      </w:r>
      <w:r>
        <w:rPr>
          <w:rFonts w:ascii="Tahoma" w:hAnsi="Tahoma" w:cs="Tahoma"/>
          <w:sz w:val="19"/>
          <w:szCs w:val="19"/>
        </w:rPr>
        <w:t>.</w:t>
      </w:r>
    </w:p>
    <w:p w:rsidR="00B51E46" w:rsidRPr="000F5F93" w:rsidRDefault="00B51E46" w:rsidP="000F5F93">
      <w:pPr>
        <w:pStyle w:val="H3"/>
        <w:spacing w:before="240"/>
      </w:pPr>
      <w:r w:rsidRPr="005B74B2">
        <w:t>Guidance for Governments: Data Breach Legislation</w:t>
      </w:r>
    </w:p>
    <w:p w:rsidR="00B51E46" w:rsidRPr="001A6B42" w:rsidRDefault="00B51E46" w:rsidP="006C53AC">
      <w:pPr>
        <w:rPr>
          <w:rFonts w:ascii="Tahoma" w:hAnsi="Tahoma" w:cs="Tahoma"/>
          <w:sz w:val="19"/>
          <w:szCs w:val="19"/>
        </w:rPr>
      </w:pPr>
      <w:r w:rsidRPr="005B74B2">
        <w:rPr>
          <w:rFonts w:ascii="Tahoma" w:hAnsi="Tahoma" w:cs="Tahoma"/>
          <w:sz w:val="19"/>
          <w:szCs w:val="19"/>
        </w:rPr>
        <w:t>Data breach notification laws usually take one of two forms</w:t>
      </w:r>
      <w:r>
        <w:rPr>
          <w:rFonts w:ascii="Tahoma" w:hAnsi="Tahoma" w:cs="Tahoma"/>
          <w:sz w:val="19"/>
          <w:szCs w:val="19"/>
        </w:rPr>
        <w:t xml:space="preserve">: </w:t>
      </w:r>
      <w:r w:rsidRPr="001A6B42">
        <w:rPr>
          <w:rFonts w:ascii="Tahoma" w:hAnsi="Tahoma" w:cs="Tahoma"/>
          <w:sz w:val="19"/>
          <w:szCs w:val="19"/>
        </w:rPr>
        <w:t>acquisition-based trigger legislation and risk-based trigger legislation.</w:t>
      </w:r>
    </w:p>
    <w:p w:rsidR="00B51E46" w:rsidRDefault="00B51E46" w:rsidP="000F5F93">
      <w:pPr>
        <w:rPr>
          <w:rFonts w:ascii="Tahoma" w:hAnsi="Tahoma" w:cs="Tahoma"/>
          <w:sz w:val="19"/>
          <w:szCs w:val="19"/>
        </w:rPr>
      </w:pPr>
      <w:r w:rsidRPr="005B74B2">
        <w:rPr>
          <w:rFonts w:ascii="Tahoma" w:hAnsi="Tahoma" w:cs="Tahoma"/>
          <w:sz w:val="19"/>
          <w:szCs w:val="19"/>
        </w:rPr>
        <w:t>Acquisition-based trigger legislation requires an organization to notify affected individuals whenever personal information has—or can reasonably be assumed to have been—acquired by an unauthorized person.</w:t>
      </w:r>
      <w:r>
        <w:rPr>
          <w:rFonts w:ascii="Tahoma" w:hAnsi="Tahoma" w:cs="Tahoma"/>
          <w:sz w:val="19"/>
          <w:szCs w:val="19"/>
        </w:rPr>
        <w:t xml:space="preserve"> </w:t>
      </w:r>
      <w:r w:rsidRPr="000F5F93">
        <w:rPr>
          <w:rFonts w:ascii="Tahoma" w:hAnsi="Tahoma" w:cs="Tahoma"/>
          <w:sz w:val="19"/>
          <w:szCs w:val="19"/>
        </w:rPr>
        <w:t>By contrast, risk-based trigger legislation requires an organization to notify affected individuals only when a significant potential risk is identified.</w:t>
      </w:r>
    </w:p>
    <w:p w:rsidR="00B51E46" w:rsidRDefault="00B51E46" w:rsidP="000F5F93">
      <w:pPr>
        <w:rPr>
          <w:rFonts w:ascii="Tahoma" w:hAnsi="Tahoma" w:cs="Tahoma"/>
          <w:sz w:val="19"/>
          <w:szCs w:val="19"/>
        </w:rPr>
      </w:pPr>
      <w:r>
        <w:rPr>
          <w:rFonts w:ascii="Tahoma" w:hAnsi="Tahoma" w:cs="Tahoma"/>
          <w:sz w:val="19"/>
          <w:szCs w:val="19"/>
        </w:rPr>
        <w:t xml:space="preserve">With acquisition-based trigger legislation, a potential </w:t>
      </w:r>
      <w:r w:rsidRPr="000F5F93">
        <w:rPr>
          <w:rFonts w:ascii="Tahoma" w:hAnsi="Tahoma" w:cs="Tahoma"/>
          <w:sz w:val="19"/>
          <w:szCs w:val="19"/>
        </w:rPr>
        <w:t xml:space="preserve">unintended consequence </w:t>
      </w:r>
      <w:r>
        <w:rPr>
          <w:rFonts w:ascii="Tahoma" w:hAnsi="Tahoma" w:cs="Tahoma"/>
          <w:sz w:val="19"/>
          <w:szCs w:val="19"/>
        </w:rPr>
        <w:t>is</w:t>
      </w:r>
      <w:r w:rsidRPr="000F5F93">
        <w:rPr>
          <w:rFonts w:ascii="Tahoma" w:hAnsi="Tahoma" w:cs="Tahoma"/>
          <w:sz w:val="19"/>
          <w:szCs w:val="19"/>
        </w:rPr>
        <w:t xml:space="preserve"> that consumers receive notices that their personal information may be at risk, even when an organization has no clear evidence of such a risk. While consumers may initially respond with appropriate diligence, over time they may begin to ignore such notices and potentially be exposed to significant harm.</w:t>
      </w:r>
    </w:p>
    <w:p w:rsidR="00B51E46" w:rsidRPr="001A6B42" w:rsidRDefault="00B51E46" w:rsidP="00EC68FD">
      <w:pPr>
        <w:rPr>
          <w:rFonts w:ascii="Tahoma" w:hAnsi="Tahoma" w:cs="Tahoma"/>
          <w:sz w:val="19"/>
          <w:szCs w:val="19"/>
        </w:rPr>
      </w:pPr>
      <w:r>
        <w:rPr>
          <w:rFonts w:ascii="Tahoma" w:hAnsi="Tahoma" w:cs="Tahoma"/>
          <w:sz w:val="19"/>
          <w:szCs w:val="19"/>
        </w:rPr>
        <w:t>With</w:t>
      </w:r>
      <w:r w:rsidRPr="001A6B42">
        <w:rPr>
          <w:rFonts w:ascii="Tahoma" w:hAnsi="Tahoma" w:cs="Tahoma"/>
          <w:sz w:val="19"/>
          <w:szCs w:val="19"/>
        </w:rPr>
        <w:t xml:space="preserve"> risk</w:t>
      </w:r>
      <w:r>
        <w:rPr>
          <w:rFonts w:ascii="Tahoma" w:hAnsi="Tahoma" w:cs="Tahoma"/>
          <w:sz w:val="19"/>
          <w:szCs w:val="19"/>
        </w:rPr>
        <w:t xml:space="preserve">-based trigger legislation, the </w:t>
      </w:r>
      <w:r w:rsidRPr="001A6B42">
        <w:rPr>
          <w:rFonts w:ascii="Tahoma" w:hAnsi="Tahoma" w:cs="Tahoma"/>
          <w:sz w:val="19"/>
          <w:szCs w:val="19"/>
        </w:rPr>
        <w:t>criteria for risk assessment vary</w:t>
      </w:r>
      <w:r>
        <w:rPr>
          <w:rFonts w:ascii="Tahoma" w:hAnsi="Tahoma" w:cs="Tahoma"/>
          <w:sz w:val="19"/>
          <w:szCs w:val="19"/>
        </w:rPr>
        <w:t xml:space="preserve">. </w:t>
      </w:r>
      <w:r w:rsidRPr="001A6B42">
        <w:rPr>
          <w:rFonts w:ascii="Tahoma" w:hAnsi="Tahoma" w:cs="Tahoma"/>
          <w:sz w:val="19"/>
          <w:szCs w:val="19"/>
        </w:rPr>
        <w:t>In some cases, risk is determined by the number of individual records involved in the data breach</w:t>
      </w:r>
      <w:r>
        <w:rPr>
          <w:rFonts w:ascii="Tahoma" w:hAnsi="Tahoma" w:cs="Tahoma"/>
          <w:sz w:val="19"/>
          <w:szCs w:val="19"/>
        </w:rPr>
        <w:t>;</w:t>
      </w:r>
      <w:r w:rsidRPr="001A6B42">
        <w:rPr>
          <w:rFonts w:ascii="Tahoma" w:hAnsi="Tahoma" w:cs="Tahoma"/>
          <w:sz w:val="19"/>
          <w:szCs w:val="19"/>
        </w:rPr>
        <w:t xml:space="preserve"> </w:t>
      </w:r>
      <w:r>
        <w:rPr>
          <w:rFonts w:ascii="Tahoma" w:hAnsi="Tahoma" w:cs="Tahoma"/>
          <w:sz w:val="19"/>
          <w:szCs w:val="19"/>
        </w:rPr>
        <w:t>i</w:t>
      </w:r>
      <w:r w:rsidRPr="001A6B42">
        <w:rPr>
          <w:rFonts w:ascii="Tahoma" w:hAnsi="Tahoma" w:cs="Tahoma"/>
          <w:sz w:val="19"/>
          <w:szCs w:val="19"/>
        </w:rPr>
        <w:t>n others, it is determined by how many different pieces of personal information were involved. As a result, some consumers at risk of fraud or identity theft may never receive a notice.</w:t>
      </w:r>
    </w:p>
    <w:p w:rsidR="00B51E46" w:rsidRPr="000F5F93" w:rsidRDefault="00B51E46" w:rsidP="000F5F93">
      <w:pPr>
        <w:rPr>
          <w:rFonts w:ascii="Tahoma" w:hAnsi="Tahoma" w:cs="Tahoma"/>
          <w:sz w:val="19"/>
          <w:szCs w:val="19"/>
        </w:rPr>
      </w:pPr>
      <w:r w:rsidRPr="005B74B2">
        <w:rPr>
          <w:rFonts w:ascii="Tahoma" w:hAnsi="Tahoma" w:cs="Tahoma"/>
          <w:sz w:val="19"/>
          <w:szCs w:val="19"/>
        </w:rPr>
        <w:t>Governments can balance the interests of consumers with the needs of organizations, and avoid excessive notification of data breaches, by introducing legislation</w:t>
      </w:r>
      <w:r>
        <w:rPr>
          <w:rFonts w:ascii="Tahoma" w:hAnsi="Tahoma" w:cs="Tahoma"/>
          <w:sz w:val="19"/>
          <w:szCs w:val="19"/>
        </w:rPr>
        <w:t xml:space="preserve"> at the federal level</w:t>
      </w:r>
      <w:r w:rsidRPr="005B74B2">
        <w:rPr>
          <w:rFonts w:ascii="Tahoma" w:hAnsi="Tahoma" w:cs="Tahoma"/>
          <w:sz w:val="19"/>
          <w:szCs w:val="19"/>
        </w:rPr>
        <w:t xml:space="preserve"> that includes:</w:t>
      </w:r>
    </w:p>
    <w:p w:rsidR="00B51E46" w:rsidRPr="000F5F93" w:rsidRDefault="00B51E46" w:rsidP="000F5F93">
      <w:pPr>
        <w:pStyle w:val="ListParagraph"/>
        <w:numPr>
          <w:ilvl w:val="0"/>
          <w:numId w:val="7"/>
        </w:numPr>
        <w:rPr>
          <w:rFonts w:ascii="Tahoma" w:hAnsi="Tahoma" w:cs="Tahoma"/>
          <w:sz w:val="19"/>
          <w:szCs w:val="19"/>
        </w:rPr>
      </w:pPr>
      <w:r w:rsidRPr="005B74B2">
        <w:rPr>
          <w:rFonts w:ascii="Tahoma" w:hAnsi="Tahoma" w:cs="Tahoma"/>
          <w:sz w:val="19"/>
          <w:szCs w:val="19"/>
        </w:rPr>
        <w:t>An acquisition-based trigger of notification when data containing personal information is acquired by an unauthorized person and a significant risk of fraud or identity theft can reasonably be inferred</w:t>
      </w:r>
    </w:p>
    <w:p w:rsidR="00B51E46" w:rsidRPr="000F5F93" w:rsidRDefault="00B51E46" w:rsidP="000F5F93">
      <w:pPr>
        <w:pStyle w:val="ListParagraph"/>
        <w:numPr>
          <w:ilvl w:val="0"/>
          <w:numId w:val="7"/>
        </w:numPr>
        <w:rPr>
          <w:rFonts w:ascii="Tahoma" w:hAnsi="Tahoma" w:cs="Tahoma"/>
          <w:sz w:val="19"/>
          <w:szCs w:val="19"/>
        </w:rPr>
      </w:pPr>
      <w:r w:rsidRPr="005B74B2">
        <w:rPr>
          <w:rFonts w:ascii="Tahoma" w:hAnsi="Tahoma" w:cs="Tahoma"/>
          <w:sz w:val="19"/>
          <w:szCs w:val="19"/>
        </w:rPr>
        <w:t>A requirement to notify affected individuals within a reasonable time period, unless directed otherwise by a law enforcement agency while it is pursuing an investigation</w:t>
      </w:r>
    </w:p>
    <w:p w:rsidR="00B51E46" w:rsidRDefault="00B51E46">
      <w:pPr>
        <w:pStyle w:val="ListParagraph"/>
        <w:numPr>
          <w:ilvl w:val="0"/>
          <w:numId w:val="7"/>
        </w:numPr>
      </w:pPr>
      <w:r w:rsidRPr="005B74B2">
        <w:rPr>
          <w:rFonts w:ascii="Tahoma" w:hAnsi="Tahoma" w:cs="Tahoma"/>
          <w:sz w:val="19"/>
          <w:szCs w:val="19"/>
        </w:rPr>
        <w:t>A timeframe of at least 45 days in which organizations can investigate the scope of a data breach, and take steps to prevent a recurrence by securing their systems and networks, before the organization is required to notify consumers.</w:t>
      </w:r>
    </w:p>
    <w:p w:rsidR="00B51E46" w:rsidRPr="000F5F93" w:rsidRDefault="00B51E46" w:rsidP="008418F8">
      <w:pPr>
        <w:pStyle w:val="Text"/>
        <w:spacing w:before="240"/>
        <w:rPr>
          <w:i/>
        </w:rPr>
      </w:pPr>
      <w:r w:rsidRPr="005B74B2">
        <w:rPr>
          <w:i/>
        </w:rPr>
        <w:t>For more information on Microsoft’s work in computer security, privacy, and online safety, please visit: www.microsoft.com/</w:t>
      </w:r>
      <w:r w:rsidRPr="005B74B2">
        <w:rPr>
          <w:rStyle w:val="CommentReference"/>
          <w:rFonts w:cs="Tahoma"/>
          <w:i/>
          <w:sz w:val="19"/>
          <w:szCs w:val="19"/>
        </w:rPr>
        <w:t>mscorp/twc</w:t>
      </w:r>
    </w:p>
    <w:sectPr w:rsidR="00B51E46" w:rsidRPr="000F5F93" w:rsidSect="00A201BE">
      <w:headerReference w:type="default" r:id="rId8"/>
      <w:pgSz w:w="12240" w:h="15840" w:code="1"/>
      <w:pgMar w:top="28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E46" w:rsidRDefault="00B51E46" w:rsidP="00E3479B">
      <w:pPr>
        <w:spacing w:after="0" w:line="240" w:lineRule="auto"/>
      </w:pPr>
      <w:r>
        <w:separator/>
      </w:r>
    </w:p>
  </w:endnote>
  <w:endnote w:type="continuationSeparator" w:id="1">
    <w:p w:rsidR="00B51E46" w:rsidRDefault="00B51E46" w:rsidP="00E347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altName w:val="Courier"/>
    <w:panose1 w:val="02070309020205020404"/>
    <w:charset w:val="00"/>
    <w:family w:val="modern"/>
    <w:pitch w:val="fixed"/>
    <w:sig w:usb0="20002A87" w:usb1="80000000" w:usb2="00000008"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Times New Roman"/>
    <w:panose1 w:val="020F0502020204030204"/>
    <w:charset w:val="00"/>
    <w:family w:val="swiss"/>
    <w:pitch w:val="variable"/>
    <w:sig w:usb0="A00002EF" w:usb1="4000207B" w:usb2="00000000" w:usb3="00000000" w:csb0="0000009F" w:csb1="00000000"/>
  </w:font>
  <w:font w:name="Tahoma">
    <w:altName w:val="?? ??"/>
    <w:panose1 w:val="020B0604030504040204"/>
    <w:charset w:val="00"/>
    <w:family w:val="swiss"/>
    <w:pitch w:val="variable"/>
    <w:sig w:usb0="6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 w:name="MS PGothic">
    <w:panose1 w:val="00000000000000000000"/>
    <w:charset w:val="80"/>
    <w:family w:val="swiss"/>
    <w:notTrueType/>
    <w:pitch w:val="variable"/>
    <w:sig w:usb0="00000001" w:usb1="08070000" w:usb2="00000010" w:usb3="00000000" w:csb0="00020000" w:csb1="00000000"/>
  </w:font>
  <w:font w:name="Segoe">
    <w:altName w:val="Times New Roman"/>
    <w:panose1 w:val="00000000000000000000"/>
    <w:charset w:val="00"/>
    <w:family w:val="swiss"/>
    <w:notTrueType/>
    <w:pitch w:val="default"/>
    <w:sig w:usb0="00000003" w:usb1="00000000" w:usb2="00000000" w:usb3="00000000" w:csb0="00000001" w:csb1="00000000"/>
  </w:font>
  <w:font w:name="Segoe-Italic">
    <w:panose1 w:val="00000000000000000000"/>
    <w:charset w:val="00"/>
    <w:family w:val="swiss"/>
    <w:notTrueType/>
    <w:pitch w:val="default"/>
    <w:sig w:usb0="00000003" w:usb1="00000000" w:usb2="00000000" w:usb3="00000000" w:csb0="00000001" w:csb1="00000000"/>
  </w:font>
  <w:font w:name="Segoe UI">
    <w:altName w:val="Cartoo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E46" w:rsidRDefault="00B51E46" w:rsidP="00E3479B">
      <w:pPr>
        <w:spacing w:after="0" w:line="240" w:lineRule="auto"/>
      </w:pPr>
      <w:r>
        <w:separator/>
      </w:r>
    </w:p>
  </w:footnote>
  <w:footnote w:type="continuationSeparator" w:id="1">
    <w:p w:rsidR="00B51E46" w:rsidRDefault="00B51E46" w:rsidP="00E347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E46" w:rsidRDefault="00B51E46">
    <w:pPr>
      <w:pStyle w:val="Header"/>
    </w:pPr>
    <w:r>
      <w:rPr>
        <w:noProof/>
      </w:rPr>
      <w:pict>
        <v:shapetype id="_x0000_t32" coordsize="21600,21600" o:spt="32" o:oned="t" path="m,l21600,21600e" filled="f">
          <v:path arrowok="t" fillok="f" o:connecttype="none"/>
          <o:lock v:ext="edit" shapetype="t"/>
        </v:shapetype>
        <v:shape id="_x0000_s2049" type="#_x0000_t32" style="position:absolute;margin-left:0;margin-top:1in;width:468pt;height:0;z-index:251658752;mso-position-horizontal-relative:margin;mso-position-vertical-relative:page" o:connectortype="straight" strokecolor="#034981" strokeweight="3pt">
          <w10:wrap anchorx="margin" anchory="page"/>
        </v:shape>
      </w:pict>
    </w:r>
    <w:r>
      <w:rPr>
        <w:noProof/>
      </w:rPr>
      <w:pict>
        <v:shapetype id="_x0000_t202" coordsize="21600,21600" o:spt="202" path="m,l,21600r21600,l21600,xe">
          <v:stroke joinstyle="miter"/>
          <v:path gradientshapeok="t" o:connecttype="rect"/>
        </v:shapetype>
        <v:shape id="_x0000_s2050" type="#_x0000_t202" style="position:absolute;margin-left:249.75pt;margin-top:39pt;width:219pt;height:16.5pt;z-index:251657728" filled="f" stroked="f">
          <v:textbox style="mso-next-textbox:#_x0000_s2050" inset="0,0,0,0">
            <w:txbxContent>
              <w:p w:rsidR="00B51E46" w:rsidRPr="00C16DE2" w:rsidRDefault="00B51E46" w:rsidP="00E3479B">
                <w:pPr>
                  <w:pStyle w:val="HeaderText"/>
                </w:pPr>
                <w:r>
                  <w:t>Microsoft &amp; Data Breach Notification</w:t>
                </w:r>
              </w:p>
            </w:txbxContent>
          </v:textbox>
        </v:shape>
      </w:pict>
    </w:r>
    <w:r>
      <w:rPr>
        <w:noProof/>
      </w:rPr>
      <w:pict>
        <v:shape id="_x0000_s2051" type="#_x0000_t202" style="position:absolute;margin-left:446.25pt;margin-top:21.75pt;width:21pt;height:15.75pt;z-index:251656704" filled="f" stroked="f">
          <v:textbox inset="0,0,0,0">
            <w:txbxContent>
              <w:p w:rsidR="00B51E46" w:rsidRPr="00C760B5" w:rsidRDefault="00B51E46" w:rsidP="00E3479B">
                <w:pPr>
                  <w:pStyle w:val="HeaderText"/>
                  <w:rPr>
                    <w:i w:val="0"/>
                    <w:szCs w:val="18"/>
                  </w:rPr>
                </w:pPr>
                <w:r w:rsidRPr="00C760B5">
                  <w:rPr>
                    <w:i w:val="0"/>
                    <w:szCs w:val="18"/>
                  </w:rPr>
                  <w:fldChar w:fldCharType="begin"/>
                </w:r>
                <w:r w:rsidRPr="00C760B5">
                  <w:rPr>
                    <w:i w:val="0"/>
                    <w:szCs w:val="18"/>
                  </w:rPr>
                  <w:instrText xml:space="preserve"> PAGE   \* MERGEFORMAT </w:instrText>
                </w:r>
                <w:r w:rsidRPr="00C760B5">
                  <w:rPr>
                    <w:i w:val="0"/>
                    <w:szCs w:val="18"/>
                  </w:rPr>
                  <w:fldChar w:fldCharType="separate"/>
                </w:r>
                <w:r>
                  <w:rPr>
                    <w:i w:val="0"/>
                    <w:noProof/>
                    <w:szCs w:val="18"/>
                  </w:rPr>
                  <w:t>1</w:t>
                </w:r>
                <w:r w:rsidRPr="00C760B5">
                  <w:rPr>
                    <w:i w:val="0"/>
                    <w:szCs w:val="18"/>
                  </w:rPr>
                  <w:fldChar w:fldCharType="end"/>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87C7D"/>
    <w:multiLevelType w:val="hybridMultilevel"/>
    <w:tmpl w:val="375AC25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8E86F81"/>
    <w:multiLevelType w:val="hybridMultilevel"/>
    <w:tmpl w:val="BE80E154"/>
    <w:lvl w:ilvl="0" w:tplc="0DA4B7C4">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B915ABD"/>
    <w:multiLevelType w:val="hybridMultilevel"/>
    <w:tmpl w:val="AB148F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CA1A01"/>
    <w:multiLevelType w:val="hybridMultilevel"/>
    <w:tmpl w:val="7EB68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AA012D"/>
    <w:multiLevelType w:val="hybridMultilevel"/>
    <w:tmpl w:val="ADDA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163747"/>
    <w:multiLevelType w:val="hybridMultilevel"/>
    <w:tmpl w:val="AFF6013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53564264"/>
    <w:multiLevelType w:val="hybridMultilevel"/>
    <w:tmpl w:val="5F4A0664"/>
    <w:lvl w:ilvl="0" w:tplc="A768B500">
      <w:start w:val="1"/>
      <w:numFmt w:val="bullet"/>
      <w:pStyle w:val="Text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77783D"/>
    <w:multiLevelType w:val="hybridMultilevel"/>
    <w:tmpl w:val="188AEA7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5"/>
  </w:num>
  <w:num w:numId="2">
    <w:abstractNumId w:val="0"/>
  </w:num>
  <w:num w:numId="3">
    <w:abstractNumId w:val="2"/>
  </w:num>
  <w:num w:numId="4">
    <w:abstractNumId w:val="7"/>
  </w:num>
  <w:num w:numId="5">
    <w:abstractNumId w:val="6"/>
  </w:num>
  <w:num w:numId="6">
    <w:abstractNumId w:val="1"/>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474F"/>
    <w:rsid w:val="00040ECF"/>
    <w:rsid w:val="000455F5"/>
    <w:rsid w:val="0004729B"/>
    <w:rsid w:val="000756B3"/>
    <w:rsid w:val="000A0866"/>
    <w:rsid w:val="000E0DC0"/>
    <w:rsid w:val="000E445F"/>
    <w:rsid w:val="000F5F93"/>
    <w:rsid w:val="001142EF"/>
    <w:rsid w:val="00135CC9"/>
    <w:rsid w:val="00137EC8"/>
    <w:rsid w:val="00155CF9"/>
    <w:rsid w:val="00191C07"/>
    <w:rsid w:val="001A6B42"/>
    <w:rsid w:val="001E282C"/>
    <w:rsid w:val="001E5D44"/>
    <w:rsid w:val="00207D5A"/>
    <w:rsid w:val="00233E83"/>
    <w:rsid w:val="00274171"/>
    <w:rsid w:val="00284548"/>
    <w:rsid w:val="002C6047"/>
    <w:rsid w:val="002D0B18"/>
    <w:rsid w:val="0032474F"/>
    <w:rsid w:val="00331009"/>
    <w:rsid w:val="00344627"/>
    <w:rsid w:val="00350765"/>
    <w:rsid w:val="00352A14"/>
    <w:rsid w:val="003677D4"/>
    <w:rsid w:val="00370372"/>
    <w:rsid w:val="003807B9"/>
    <w:rsid w:val="003C7F13"/>
    <w:rsid w:val="003F4E82"/>
    <w:rsid w:val="0040675A"/>
    <w:rsid w:val="00410AD4"/>
    <w:rsid w:val="00413B78"/>
    <w:rsid w:val="00421DF1"/>
    <w:rsid w:val="00425AB9"/>
    <w:rsid w:val="00445FD5"/>
    <w:rsid w:val="0045158A"/>
    <w:rsid w:val="004522FD"/>
    <w:rsid w:val="00457258"/>
    <w:rsid w:val="00483BF5"/>
    <w:rsid w:val="004B23CB"/>
    <w:rsid w:val="004C24CA"/>
    <w:rsid w:val="004E0BA0"/>
    <w:rsid w:val="004E6623"/>
    <w:rsid w:val="005035E4"/>
    <w:rsid w:val="005154B4"/>
    <w:rsid w:val="0058353B"/>
    <w:rsid w:val="005966CF"/>
    <w:rsid w:val="005B08AE"/>
    <w:rsid w:val="005B74B2"/>
    <w:rsid w:val="005D4B7C"/>
    <w:rsid w:val="005D514E"/>
    <w:rsid w:val="005D6996"/>
    <w:rsid w:val="005E0E4E"/>
    <w:rsid w:val="005F1BC0"/>
    <w:rsid w:val="0060374D"/>
    <w:rsid w:val="006124B2"/>
    <w:rsid w:val="00661DD4"/>
    <w:rsid w:val="006976E6"/>
    <w:rsid w:val="006C53AC"/>
    <w:rsid w:val="007073A9"/>
    <w:rsid w:val="00737E36"/>
    <w:rsid w:val="007934A6"/>
    <w:rsid w:val="00795ADD"/>
    <w:rsid w:val="007B2159"/>
    <w:rsid w:val="00827308"/>
    <w:rsid w:val="008418F8"/>
    <w:rsid w:val="008422AF"/>
    <w:rsid w:val="008832F5"/>
    <w:rsid w:val="008B3248"/>
    <w:rsid w:val="008F5C72"/>
    <w:rsid w:val="008F777C"/>
    <w:rsid w:val="00933897"/>
    <w:rsid w:val="00964BA2"/>
    <w:rsid w:val="00993F93"/>
    <w:rsid w:val="009A241D"/>
    <w:rsid w:val="00A1425B"/>
    <w:rsid w:val="00A201BE"/>
    <w:rsid w:val="00A204F7"/>
    <w:rsid w:val="00A36D54"/>
    <w:rsid w:val="00A421F0"/>
    <w:rsid w:val="00A805AF"/>
    <w:rsid w:val="00A80628"/>
    <w:rsid w:val="00A95EFD"/>
    <w:rsid w:val="00AB3C81"/>
    <w:rsid w:val="00AC2978"/>
    <w:rsid w:val="00AD69A9"/>
    <w:rsid w:val="00B217AE"/>
    <w:rsid w:val="00B30661"/>
    <w:rsid w:val="00B34568"/>
    <w:rsid w:val="00B51E46"/>
    <w:rsid w:val="00B54CC8"/>
    <w:rsid w:val="00B74D37"/>
    <w:rsid w:val="00BB1C2D"/>
    <w:rsid w:val="00BE3AEF"/>
    <w:rsid w:val="00C16DE2"/>
    <w:rsid w:val="00C3550F"/>
    <w:rsid w:val="00C52CB3"/>
    <w:rsid w:val="00C61F87"/>
    <w:rsid w:val="00C760B5"/>
    <w:rsid w:val="00C87F3E"/>
    <w:rsid w:val="00CC60EE"/>
    <w:rsid w:val="00D04DEC"/>
    <w:rsid w:val="00D1329D"/>
    <w:rsid w:val="00D3131F"/>
    <w:rsid w:val="00D4265B"/>
    <w:rsid w:val="00D72482"/>
    <w:rsid w:val="00DA2871"/>
    <w:rsid w:val="00DB2BD9"/>
    <w:rsid w:val="00DC45C9"/>
    <w:rsid w:val="00DC7932"/>
    <w:rsid w:val="00DD09CE"/>
    <w:rsid w:val="00E3479B"/>
    <w:rsid w:val="00E63B60"/>
    <w:rsid w:val="00EA1A1D"/>
    <w:rsid w:val="00EC68FD"/>
    <w:rsid w:val="00EC6FB9"/>
    <w:rsid w:val="00F01F16"/>
    <w:rsid w:val="00F1516E"/>
    <w:rsid w:val="00F209DF"/>
    <w:rsid w:val="00FB063D"/>
    <w:rsid w:val="00FB46AB"/>
    <w:rsid w:val="00FE5F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2E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24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74F"/>
    <w:rPr>
      <w:rFonts w:ascii="Tahoma" w:hAnsi="Tahoma" w:cs="Tahoma"/>
      <w:sz w:val="16"/>
      <w:szCs w:val="16"/>
    </w:rPr>
  </w:style>
  <w:style w:type="character" w:styleId="Hyperlink">
    <w:name w:val="Hyperlink"/>
    <w:basedOn w:val="DefaultParagraphFont"/>
    <w:uiPriority w:val="99"/>
    <w:rsid w:val="00D3131F"/>
    <w:rPr>
      <w:rFonts w:cs="Times New Roman"/>
      <w:color w:val="0000FF"/>
      <w:u w:val="single"/>
    </w:rPr>
  </w:style>
  <w:style w:type="character" w:styleId="CommentReference">
    <w:name w:val="annotation reference"/>
    <w:basedOn w:val="DefaultParagraphFont"/>
    <w:uiPriority w:val="99"/>
    <w:semiHidden/>
    <w:rsid w:val="00D3131F"/>
    <w:rPr>
      <w:rFonts w:cs="Times New Roman"/>
      <w:sz w:val="16"/>
      <w:szCs w:val="16"/>
    </w:rPr>
  </w:style>
  <w:style w:type="paragraph" w:styleId="CommentText">
    <w:name w:val="annotation text"/>
    <w:basedOn w:val="Normal"/>
    <w:link w:val="CommentTextChar"/>
    <w:uiPriority w:val="99"/>
    <w:rsid w:val="00D3131F"/>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locked/>
    <w:rsid w:val="00D3131F"/>
    <w:rPr>
      <w:rFonts w:ascii="Times New Roman" w:hAnsi="Times New Roman" w:cs="Times New Roman"/>
      <w:sz w:val="20"/>
      <w:szCs w:val="20"/>
    </w:rPr>
  </w:style>
  <w:style w:type="paragraph" w:styleId="ListParagraph">
    <w:name w:val="List Paragraph"/>
    <w:basedOn w:val="Normal"/>
    <w:uiPriority w:val="99"/>
    <w:qFormat/>
    <w:rsid w:val="00D3131F"/>
    <w:pPr>
      <w:ind w:left="720"/>
      <w:contextualSpacing/>
    </w:pPr>
  </w:style>
  <w:style w:type="paragraph" w:styleId="CommentSubject">
    <w:name w:val="annotation subject"/>
    <w:basedOn w:val="CommentText"/>
    <w:next w:val="CommentText"/>
    <w:link w:val="CommentSubjectChar"/>
    <w:uiPriority w:val="99"/>
    <w:semiHidden/>
    <w:rsid w:val="004B23C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4B23CB"/>
    <w:rPr>
      <w:b/>
      <w:bCs/>
    </w:rPr>
  </w:style>
  <w:style w:type="character" w:styleId="FollowedHyperlink">
    <w:name w:val="FollowedHyperlink"/>
    <w:basedOn w:val="DefaultParagraphFont"/>
    <w:uiPriority w:val="99"/>
    <w:semiHidden/>
    <w:rsid w:val="005D4B7C"/>
    <w:rPr>
      <w:rFonts w:cs="Times New Roman"/>
      <w:color w:val="800080"/>
      <w:u w:val="single"/>
    </w:rPr>
  </w:style>
  <w:style w:type="paragraph" w:styleId="Footer">
    <w:name w:val="footer"/>
    <w:basedOn w:val="Normal"/>
    <w:link w:val="FooterChar"/>
    <w:uiPriority w:val="99"/>
    <w:rsid w:val="00191C07"/>
    <w:pPr>
      <w:tabs>
        <w:tab w:val="center" w:pos="4320"/>
        <w:tab w:val="right" w:pos="8640"/>
      </w:tabs>
      <w:spacing w:after="0" w:line="240" w:lineRule="auto"/>
    </w:pPr>
    <w:rPr>
      <w:rFonts w:ascii="Tahoma" w:eastAsia="MS Mincho" w:hAnsi="Tahoma" w:cs="Tahoma"/>
      <w:sz w:val="16"/>
      <w:szCs w:val="24"/>
      <w:lang w:eastAsia="ja-JP"/>
    </w:rPr>
  </w:style>
  <w:style w:type="character" w:customStyle="1" w:styleId="FooterChar">
    <w:name w:val="Footer Char"/>
    <w:basedOn w:val="DefaultParagraphFont"/>
    <w:link w:val="Footer"/>
    <w:uiPriority w:val="99"/>
    <w:locked/>
    <w:rsid w:val="00191C07"/>
    <w:rPr>
      <w:rFonts w:ascii="Tahoma" w:eastAsia="MS Mincho" w:hAnsi="Tahoma" w:cs="Tahoma"/>
      <w:sz w:val="24"/>
      <w:szCs w:val="24"/>
      <w:lang w:eastAsia="ja-JP"/>
    </w:rPr>
  </w:style>
  <w:style w:type="character" w:styleId="FootnoteReference">
    <w:name w:val="footnote reference"/>
    <w:basedOn w:val="DefaultParagraphFont"/>
    <w:uiPriority w:val="99"/>
    <w:semiHidden/>
    <w:rsid w:val="00191C07"/>
    <w:rPr>
      <w:rFonts w:ascii="Tahoma" w:hAnsi="Tahoma" w:cs="Times New Roman"/>
      <w:sz w:val="16"/>
      <w:vertAlign w:val="superscript"/>
    </w:rPr>
  </w:style>
  <w:style w:type="paragraph" w:styleId="FootnoteText">
    <w:name w:val="footnote text"/>
    <w:basedOn w:val="Normal"/>
    <w:link w:val="FootnoteTextChar"/>
    <w:uiPriority w:val="99"/>
    <w:semiHidden/>
    <w:rsid w:val="00191C07"/>
    <w:pPr>
      <w:spacing w:after="80" w:line="180" w:lineRule="exact"/>
    </w:pPr>
    <w:rPr>
      <w:rFonts w:ascii="Tahoma" w:eastAsia="Times New Roman" w:hAnsi="Tahoma"/>
      <w:sz w:val="16"/>
      <w:szCs w:val="20"/>
    </w:rPr>
  </w:style>
  <w:style w:type="character" w:customStyle="1" w:styleId="FootnoteTextChar">
    <w:name w:val="Footnote Text Char"/>
    <w:basedOn w:val="DefaultParagraphFont"/>
    <w:link w:val="FootnoteText"/>
    <w:uiPriority w:val="99"/>
    <w:semiHidden/>
    <w:locked/>
    <w:rsid w:val="00191C07"/>
    <w:rPr>
      <w:rFonts w:ascii="Tahoma" w:hAnsi="Tahoma" w:cs="Times New Roman"/>
      <w:sz w:val="20"/>
      <w:szCs w:val="20"/>
    </w:rPr>
  </w:style>
  <w:style w:type="paragraph" w:customStyle="1" w:styleId="H1">
    <w:name w:val="H1"/>
    <w:basedOn w:val="Normal"/>
    <w:uiPriority w:val="99"/>
    <w:rsid w:val="00284548"/>
    <w:pPr>
      <w:keepNext/>
      <w:spacing w:before="380" w:after="120" w:line="240" w:lineRule="auto"/>
    </w:pPr>
    <w:rPr>
      <w:rFonts w:ascii="Tahoma" w:eastAsia="Times New Roman" w:hAnsi="Tahoma" w:cs="Tahoma"/>
      <w:b/>
      <w:color w:val="45AED1"/>
      <w:sz w:val="24"/>
      <w:szCs w:val="24"/>
    </w:rPr>
  </w:style>
  <w:style w:type="paragraph" w:customStyle="1" w:styleId="H2">
    <w:name w:val="H2"/>
    <w:basedOn w:val="Normal"/>
    <w:uiPriority w:val="99"/>
    <w:rsid w:val="00284548"/>
    <w:pPr>
      <w:keepNext/>
      <w:spacing w:before="130" w:after="80" w:line="240" w:lineRule="auto"/>
    </w:pPr>
    <w:rPr>
      <w:rFonts w:ascii="Tahoma" w:eastAsia="Times New Roman" w:hAnsi="Tahoma" w:cs="Tahoma"/>
      <w:b/>
      <w:szCs w:val="19"/>
    </w:rPr>
  </w:style>
  <w:style w:type="paragraph" w:customStyle="1" w:styleId="H1Table">
    <w:name w:val="H1 Table"/>
    <w:basedOn w:val="Normal"/>
    <w:uiPriority w:val="99"/>
    <w:rsid w:val="00284548"/>
    <w:pPr>
      <w:keepNext/>
      <w:framePr w:vSpace="288" w:wrap="around" w:vAnchor="text" w:hAnchor="margin" w:y="402"/>
      <w:spacing w:after="0" w:line="240" w:lineRule="auto"/>
      <w:suppressOverlap/>
    </w:pPr>
    <w:rPr>
      <w:rFonts w:ascii="Tahoma" w:eastAsia="MS PGothic" w:hAnsi="Tahoma"/>
      <w:b/>
      <w:sz w:val="24"/>
      <w:szCs w:val="24"/>
    </w:rPr>
  </w:style>
  <w:style w:type="paragraph" w:customStyle="1" w:styleId="H2Table">
    <w:name w:val="H2 Table"/>
    <w:basedOn w:val="Normal"/>
    <w:uiPriority w:val="99"/>
    <w:rsid w:val="00284548"/>
    <w:pPr>
      <w:framePr w:vSpace="288" w:wrap="around" w:vAnchor="text" w:hAnchor="margin" w:y="402"/>
      <w:spacing w:after="0" w:line="240" w:lineRule="auto"/>
      <w:suppressOverlap/>
    </w:pPr>
    <w:rPr>
      <w:rFonts w:ascii="Tahoma" w:eastAsia="MS PGothic" w:hAnsi="Tahoma"/>
      <w:b/>
      <w:sz w:val="18"/>
      <w:szCs w:val="18"/>
    </w:rPr>
  </w:style>
  <w:style w:type="paragraph" w:customStyle="1" w:styleId="H3">
    <w:name w:val="H3"/>
    <w:uiPriority w:val="99"/>
    <w:rsid w:val="00284548"/>
    <w:pPr>
      <w:keepNext/>
      <w:spacing w:before="120" w:after="90"/>
    </w:pPr>
    <w:rPr>
      <w:rFonts w:ascii="Tahoma" w:eastAsia="Times New Roman" w:hAnsi="Tahoma" w:cs="Tahoma"/>
      <w:b/>
      <w:i/>
      <w:sz w:val="19"/>
      <w:szCs w:val="19"/>
    </w:rPr>
  </w:style>
  <w:style w:type="paragraph" w:customStyle="1" w:styleId="Text">
    <w:name w:val="Text"/>
    <w:basedOn w:val="Normal"/>
    <w:uiPriority w:val="99"/>
    <w:rsid w:val="00284548"/>
    <w:pPr>
      <w:spacing w:after="120" w:line="280" w:lineRule="exact"/>
    </w:pPr>
    <w:rPr>
      <w:rFonts w:ascii="Tahoma" w:eastAsia="Times New Roman" w:hAnsi="Tahoma" w:cs="Tahoma"/>
      <w:sz w:val="19"/>
      <w:szCs w:val="19"/>
    </w:rPr>
  </w:style>
  <w:style w:type="paragraph" w:customStyle="1" w:styleId="TextBullet">
    <w:name w:val="Text Bullet"/>
    <w:basedOn w:val="Normal"/>
    <w:uiPriority w:val="99"/>
    <w:rsid w:val="00191C07"/>
    <w:pPr>
      <w:numPr>
        <w:numId w:val="5"/>
      </w:numPr>
      <w:spacing w:before="60" w:after="60" w:line="280" w:lineRule="exact"/>
    </w:pPr>
    <w:rPr>
      <w:rFonts w:ascii="Tahoma" w:eastAsia="Times New Roman" w:hAnsi="Tahoma" w:cs="Tahoma"/>
      <w:sz w:val="18"/>
      <w:szCs w:val="19"/>
    </w:rPr>
  </w:style>
  <w:style w:type="paragraph" w:styleId="TOC1">
    <w:name w:val="toc 1"/>
    <w:basedOn w:val="Normal"/>
    <w:next w:val="Normal"/>
    <w:autoRedefine/>
    <w:uiPriority w:val="99"/>
    <w:rsid w:val="00284548"/>
    <w:pPr>
      <w:tabs>
        <w:tab w:val="right" w:leader="dot" w:pos="9360"/>
      </w:tabs>
      <w:spacing w:after="120" w:line="280" w:lineRule="exact"/>
    </w:pPr>
    <w:rPr>
      <w:rFonts w:ascii="Tahoma" w:eastAsia="Times New Roman" w:hAnsi="Tahoma"/>
      <w:noProof/>
      <w:sz w:val="20"/>
    </w:rPr>
  </w:style>
  <w:style w:type="paragraph" w:styleId="TOC2">
    <w:name w:val="toc 2"/>
    <w:basedOn w:val="Normal"/>
    <w:next w:val="Normal"/>
    <w:autoRedefine/>
    <w:uiPriority w:val="99"/>
    <w:rsid w:val="00284548"/>
    <w:pPr>
      <w:tabs>
        <w:tab w:val="right" w:leader="dot" w:pos="9360"/>
      </w:tabs>
      <w:spacing w:after="120" w:line="250" w:lineRule="exact"/>
      <w:ind w:left="245"/>
    </w:pPr>
    <w:rPr>
      <w:rFonts w:ascii="Tahoma" w:eastAsia="Times New Roman" w:hAnsi="Tahoma" w:cs="Tahoma"/>
      <w:noProof/>
      <w:sz w:val="20"/>
      <w:szCs w:val="24"/>
    </w:rPr>
  </w:style>
  <w:style w:type="paragraph" w:customStyle="1" w:styleId="TOCTitle">
    <w:name w:val="TOC Title"/>
    <w:basedOn w:val="Normal"/>
    <w:uiPriority w:val="99"/>
    <w:rsid w:val="00284548"/>
    <w:pPr>
      <w:spacing w:after="240" w:line="240" w:lineRule="auto"/>
    </w:pPr>
    <w:rPr>
      <w:rFonts w:ascii="Segoe" w:eastAsia="Times New Roman" w:hAnsi="Segoe"/>
      <w:color w:val="034981"/>
      <w:sz w:val="32"/>
      <w:szCs w:val="24"/>
    </w:rPr>
  </w:style>
  <w:style w:type="paragraph" w:styleId="Header">
    <w:name w:val="header"/>
    <w:basedOn w:val="Normal"/>
    <w:link w:val="HeaderChar"/>
    <w:uiPriority w:val="99"/>
    <w:semiHidden/>
    <w:rsid w:val="00E347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3479B"/>
    <w:rPr>
      <w:rFonts w:cs="Times New Roman"/>
    </w:rPr>
  </w:style>
  <w:style w:type="paragraph" w:customStyle="1" w:styleId="HeaderText">
    <w:name w:val="Header Text"/>
    <w:basedOn w:val="Normal"/>
    <w:uiPriority w:val="99"/>
    <w:rsid w:val="00E3479B"/>
    <w:pPr>
      <w:spacing w:after="0" w:line="240" w:lineRule="auto"/>
      <w:jc w:val="right"/>
    </w:pPr>
    <w:rPr>
      <w:rFonts w:ascii="Segoe" w:eastAsia="Times New Roman" w:hAnsi="Segoe" w:cs="Segoe-Italic"/>
      <w:i/>
      <w:iCs/>
      <w:sz w:val="18"/>
      <w:szCs w:val="19"/>
    </w:rPr>
  </w:style>
  <w:style w:type="paragraph" w:customStyle="1" w:styleId="CoverDate">
    <w:name w:val="Cover Date"/>
    <w:basedOn w:val="Normal"/>
    <w:uiPriority w:val="99"/>
    <w:rsid w:val="00284548"/>
    <w:pPr>
      <w:spacing w:after="0" w:line="240" w:lineRule="auto"/>
    </w:pPr>
    <w:rPr>
      <w:rFonts w:ascii="Segoe" w:eastAsia="Times New Roman" w:hAnsi="Segoe"/>
      <w:sz w:val="24"/>
      <w:szCs w:val="24"/>
    </w:rPr>
  </w:style>
  <w:style w:type="paragraph" w:customStyle="1" w:styleId="CoverH1">
    <w:name w:val="Cover H1"/>
    <w:basedOn w:val="Normal"/>
    <w:uiPriority w:val="99"/>
    <w:rsid w:val="00284548"/>
    <w:pPr>
      <w:spacing w:before="576" w:after="0" w:line="720" w:lineRule="exact"/>
    </w:pPr>
    <w:rPr>
      <w:rFonts w:ascii="Segoe" w:eastAsia="Times New Roman" w:hAnsi="Segoe"/>
      <w:color w:val="034981"/>
      <w:spacing w:val="-20"/>
      <w:sz w:val="68"/>
      <w:szCs w:val="24"/>
    </w:rPr>
  </w:style>
  <w:style w:type="paragraph" w:customStyle="1" w:styleId="CoverH2">
    <w:name w:val="Cover H2"/>
    <w:basedOn w:val="Normal"/>
    <w:uiPriority w:val="99"/>
    <w:rsid w:val="00284548"/>
    <w:pPr>
      <w:spacing w:before="60" w:after="0" w:line="330" w:lineRule="exact"/>
    </w:pPr>
    <w:rPr>
      <w:rFonts w:ascii="Segoe" w:eastAsia="Times New Roman" w:hAnsi="Segoe" w:cs="Segoe UI"/>
      <w:i/>
      <w:sz w:val="28"/>
      <w:szCs w:val="24"/>
    </w:rPr>
  </w:style>
  <w:style w:type="paragraph" w:customStyle="1" w:styleId="SidebarH1">
    <w:name w:val="Sidebar H1"/>
    <w:basedOn w:val="Normal"/>
    <w:uiPriority w:val="99"/>
    <w:rsid w:val="00284548"/>
    <w:pPr>
      <w:framePr w:hSpace="187" w:wrap="around" w:vAnchor="text" w:hAnchor="page" w:x="1570" w:y="268"/>
      <w:spacing w:line="300" w:lineRule="exact"/>
      <w:ind w:left="274"/>
      <w:suppressOverlap/>
    </w:pPr>
    <w:rPr>
      <w:rFonts w:ascii="Tahoma" w:eastAsia="Times New Roman" w:hAnsi="Tahoma" w:cs="Tahoma"/>
      <w:b/>
      <w:iCs/>
      <w:color w:val="404040"/>
    </w:rPr>
  </w:style>
  <w:style w:type="paragraph" w:customStyle="1" w:styleId="SidebarText">
    <w:name w:val="Sidebar Text"/>
    <w:basedOn w:val="Normal"/>
    <w:uiPriority w:val="99"/>
    <w:rsid w:val="00284548"/>
    <w:pPr>
      <w:framePr w:hSpace="187" w:wrap="around" w:vAnchor="text" w:hAnchor="page" w:x="1570" w:y="268"/>
      <w:spacing w:after="60" w:line="240" w:lineRule="exact"/>
      <w:ind w:left="274"/>
      <w:suppressOverlap/>
    </w:pPr>
    <w:rPr>
      <w:rFonts w:ascii="Tahoma" w:eastAsia="Times New Roman" w:hAnsi="Tahoma" w:cs="Tahoma"/>
      <w:sz w:val="18"/>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958</Words>
  <Characters>5467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&amp; Data Breach Notification</dc:title>
  <dc:subject/>
  <dc:creator>Bruce A Fenske</dc:creator>
  <cp:keywords/>
  <dc:description/>
  <cp:lastModifiedBy>Megan Morrone</cp:lastModifiedBy>
  <cp:revision>2</cp:revision>
  <cp:lastPrinted>2008-09-25T19:57:00Z</cp:lastPrinted>
  <dcterms:created xsi:type="dcterms:W3CDTF">2008-11-05T22:13:00Z</dcterms:created>
  <dcterms:modified xsi:type="dcterms:W3CDTF">2008-11-05T22:13:00Z</dcterms:modified>
</cp:coreProperties>
</file>