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3D8" w:rsidRPr="000412DD" w:rsidRDefault="003C13D8" w:rsidP="003C13D8">
      <w:pPr>
        <w:jc w:val="center"/>
        <w:rPr>
          <w:rFonts w:ascii="Verdana" w:hAnsi="Verdana"/>
          <w:b/>
          <w:bCs/>
          <w:sz w:val="18"/>
          <w:szCs w:val="18"/>
        </w:rPr>
      </w:pPr>
      <w:r w:rsidRPr="000412DD">
        <w:rPr>
          <w:rFonts w:ascii="Verdana" w:hAnsi="Verdana"/>
          <w:b/>
          <w:bCs/>
          <w:sz w:val="18"/>
          <w:szCs w:val="18"/>
        </w:rPr>
        <w:t>MICROSOFT HEALTHVAULT BUSINESS ASSOCIATE AGREEMENT</w:t>
      </w:r>
    </w:p>
    <w:p w:rsidR="003C13D8" w:rsidRPr="000412DD" w:rsidRDefault="003C13D8" w:rsidP="003C13D8">
      <w:pPr>
        <w:jc w:val="both"/>
        <w:rPr>
          <w:rFonts w:ascii="Verdana" w:hAnsi="Verdana"/>
          <w:sz w:val="18"/>
          <w:szCs w:val="18"/>
        </w:rPr>
      </w:pPr>
    </w:p>
    <w:p w:rsidR="003C13D8" w:rsidRPr="000412DD" w:rsidRDefault="003C13D8" w:rsidP="003C13D8">
      <w:pPr>
        <w:jc w:val="both"/>
        <w:rPr>
          <w:rFonts w:ascii="Verdana" w:hAnsi="Verdana"/>
          <w:sz w:val="18"/>
          <w:szCs w:val="18"/>
        </w:rPr>
      </w:pPr>
    </w:p>
    <w:p w:rsidR="003C13D8" w:rsidRPr="000412DD" w:rsidRDefault="003C13D8" w:rsidP="003C13D8">
      <w:pPr>
        <w:ind w:firstLine="720"/>
        <w:rPr>
          <w:rFonts w:ascii="Verdana" w:hAnsi="Verdana"/>
          <w:sz w:val="18"/>
          <w:szCs w:val="18"/>
        </w:rPr>
      </w:pPr>
      <w:r w:rsidRPr="000412DD">
        <w:rPr>
          <w:rFonts w:ascii="Verdana" w:hAnsi="Verdana"/>
          <w:sz w:val="18"/>
          <w:szCs w:val="18"/>
        </w:rPr>
        <w:t xml:space="preserve">This </w:t>
      </w:r>
      <w:r>
        <w:rPr>
          <w:rFonts w:ascii="Verdana" w:hAnsi="Verdana"/>
          <w:sz w:val="18"/>
          <w:szCs w:val="18"/>
        </w:rPr>
        <w:t xml:space="preserve">MICROSOFT HEALTHVAULT </w:t>
      </w:r>
      <w:r w:rsidRPr="00041AEA">
        <w:rPr>
          <w:rFonts w:ascii="Verdana" w:hAnsi="Verdana"/>
          <w:bCs/>
          <w:sz w:val="18"/>
          <w:szCs w:val="18"/>
        </w:rPr>
        <w:t>BUSINESS ASSOCIATE AGREEMENT</w:t>
      </w:r>
      <w:r w:rsidRPr="000412DD">
        <w:rPr>
          <w:rFonts w:ascii="Verdana" w:hAnsi="Verdana"/>
          <w:sz w:val="18"/>
          <w:szCs w:val="18"/>
        </w:rPr>
        <w:t xml:space="preserve"> (this “</w:t>
      </w:r>
      <w:r w:rsidRPr="000412DD">
        <w:rPr>
          <w:rFonts w:ascii="Verdana" w:hAnsi="Verdana"/>
          <w:b/>
          <w:bCs/>
          <w:sz w:val="18"/>
          <w:szCs w:val="18"/>
        </w:rPr>
        <w:t>Agreement</w:t>
      </w:r>
      <w:r w:rsidRPr="000412DD">
        <w:rPr>
          <w:rFonts w:ascii="Verdana" w:hAnsi="Verdana"/>
          <w:sz w:val="18"/>
          <w:szCs w:val="18"/>
        </w:rPr>
        <w:t>”) is effective as of the __th day of __________, 20</w:t>
      </w:r>
      <w:r>
        <w:rPr>
          <w:rFonts w:ascii="Verdana" w:hAnsi="Verdana"/>
          <w:sz w:val="18"/>
          <w:szCs w:val="18"/>
        </w:rPr>
        <w:t>__</w:t>
      </w:r>
      <w:r w:rsidRPr="000412DD">
        <w:rPr>
          <w:rFonts w:ascii="Verdana" w:hAnsi="Verdana"/>
          <w:sz w:val="18"/>
          <w:szCs w:val="18"/>
        </w:rPr>
        <w:t xml:space="preserve"> (the “</w:t>
      </w:r>
      <w:r w:rsidRPr="000412DD">
        <w:rPr>
          <w:rFonts w:ascii="Verdana" w:hAnsi="Verdana"/>
          <w:b/>
          <w:bCs/>
          <w:sz w:val="18"/>
          <w:szCs w:val="18"/>
        </w:rPr>
        <w:t>Effective Date</w:t>
      </w:r>
      <w:r w:rsidRPr="000412DD">
        <w:rPr>
          <w:rFonts w:ascii="Verdana" w:hAnsi="Verdana"/>
          <w:sz w:val="18"/>
          <w:szCs w:val="18"/>
        </w:rPr>
        <w:t>”), by and between _____________________ (“</w:t>
      </w:r>
      <w:r w:rsidRPr="000412DD">
        <w:rPr>
          <w:rFonts w:ascii="Verdana" w:hAnsi="Verdana"/>
          <w:b/>
          <w:bCs/>
          <w:sz w:val="18"/>
          <w:szCs w:val="18"/>
        </w:rPr>
        <w:t>Covered Entity</w:t>
      </w:r>
      <w:r w:rsidRPr="000412DD">
        <w:rPr>
          <w:rFonts w:ascii="Verdana" w:hAnsi="Verdana"/>
          <w:sz w:val="18"/>
          <w:szCs w:val="18"/>
        </w:rPr>
        <w:t>”), and Microsoft Corporation (“</w:t>
      </w:r>
      <w:r w:rsidRPr="000412DD">
        <w:rPr>
          <w:rFonts w:ascii="Verdana" w:hAnsi="Verdana"/>
          <w:b/>
          <w:bCs/>
          <w:sz w:val="18"/>
          <w:szCs w:val="18"/>
        </w:rPr>
        <w:t>Microsoft</w:t>
      </w:r>
      <w:r w:rsidRPr="000412DD">
        <w:rPr>
          <w:rFonts w:ascii="Verdana" w:hAnsi="Verdana"/>
          <w:sz w:val="18"/>
          <w:szCs w:val="18"/>
        </w:rPr>
        <w:t>”).</w:t>
      </w:r>
    </w:p>
    <w:p w:rsidR="003C13D8" w:rsidRPr="000412DD" w:rsidRDefault="003C13D8" w:rsidP="003C13D8">
      <w:pPr>
        <w:rPr>
          <w:rFonts w:ascii="Verdana" w:hAnsi="Verdana"/>
          <w:sz w:val="18"/>
          <w:szCs w:val="18"/>
        </w:rPr>
      </w:pPr>
    </w:p>
    <w:p w:rsidR="003C13D8" w:rsidRPr="000412DD" w:rsidRDefault="003C13D8" w:rsidP="003C13D8">
      <w:pPr>
        <w:jc w:val="center"/>
        <w:rPr>
          <w:rFonts w:ascii="Verdana" w:hAnsi="Verdana"/>
          <w:b/>
          <w:bCs/>
          <w:sz w:val="18"/>
          <w:szCs w:val="18"/>
        </w:rPr>
      </w:pPr>
      <w:r>
        <w:rPr>
          <w:rFonts w:ascii="Verdana" w:hAnsi="Verdana"/>
          <w:b/>
          <w:bCs/>
          <w:sz w:val="18"/>
          <w:szCs w:val="18"/>
        </w:rPr>
        <w:t>Background</w:t>
      </w:r>
    </w:p>
    <w:p w:rsidR="003C13D8" w:rsidRPr="000412DD" w:rsidRDefault="003C13D8" w:rsidP="003C13D8">
      <w:pPr>
        <w:rPr>
          <w:rFonts w:ascii="Verdana" w:hAnsi="Verdana"/>
          <w:sz w:val="18"/>
          <w:szCs w:val="18"/>
        </w:rPr>
      </w:pPr>
    </w:p>
    <w:p w:rsidR="003C13D8" w:rsidRPr="000412DD" w:rsidRDefault="003C13D8" w:rsidP="003C13D8">
      <w:pPr>
        <w:ind w:firstLine="720"/>
        <w:rPr>
          <w:rFonts w:ascii="Verdana" w:hAnsi="Verdana"/>
          <w:sz w:val="18"/>
          <w:szCs w:val="18"/>
        </w:rPr>
      </w:pPr>
      <w:r w:rsidRPr="000412DD">
        <w:rPr>
          <w:rFonts w:ascii="Verdana" w:hAnsi="Verdana"/>
          <w:b/>
          <w:bCs/>
          <w:sz w:val="18"/>
          <w:szCs w:val="18"/>
        </w:rPr>
        <w:t>WHEREAS,</w:t>
      </w:r>
      <w:r w:rsidRPr="000412DD">
        <w:rPr>
          <w:rFonts w:ascii="Verdana" w:hAnsi="Verdana"/>
          <w:sz w:val="18"/>
          <w:szCs w:val="18"/>
        </w:rPr>
        <w:t xml:space="preserve"> the parties desire to ensure that their respective rights and responsibilities under that certain Microsoft HealthVault Solution Provider Agreement (the “</w:t>
      </w:r>
      <w:r w:rsidRPr="000412DD">
        <w:rPr>
          <w:rFonts w:ascii="Verdana" w:hAnsi="Verdana"/>
          <w:b/>
          <w:bCs/>
          <w:sz w:val="18"/>
          <w:szCs w:val="18"/>
        </w:rPr>
        <w:t>HealthVault Agreement</w:t>
      </w:r>
      <w:r w:rsidRPr="000412DD">
        <w:rPr>
          <w:rFonts w:ascii="Verdana" w:hAnsi="Verdana"/>
          <w:sz w:val="18"/>
          <w:szCs w:val="18"/>
        </w:rPr>
        <w:t>”) between the parties reflects applicable federal statutory and regulatory requirements relating to the access, use and disclosure of health information, including without limitation, the Standards for Privacy of Individually Identifiable Health Information, and the Security Standards, collectively codified at 45 C.F.R. Parts 160, 162 and 164 (respectively the “</w:t>
      </w:r>
      <w:r w:rsidRPr="000412DD">
        <w:rPr>
          <w:rFonts w:ascii="Verdana" w:hAnsi="Verdana"/>
          <w:b/>
          <w:bCs/>
          <w:sz w:val="18"/>
          <w:szCs w:val="18"/>
        </w:rPr>
        <w:t>Privacy Standards</w:t>
      </w:r>
      <w:r w:rsidRPr="000412DD">
        <w:rPr>
          <w:rFonts w:ascii="Verdana" w:hAnsi="Verdana"/>
          <w:sz w:val="18"/>
          <w:szCs w:val="18"/>
        </w:rPr>
        <w:t>” and “</w:t>
      </w:r>
      <w:r w:rsidRPr="000412DD">
        <w:rPr>
          <w:rFonts w:ascii="Verdana" w:hAnsi="Verdana"/>
          <w:b/>
          <w:bCs/>
          <w:sz w:val="18"/>
          <w:szCs w:val="18"/>
        </w:rPr>
        <w:t>Security Standards</w:t>
      </w:r>
      <w:r w:rsidRPr="000412DD">
        <w:rPr>
          <w:rFonts w:ascii="Verdana" w:hAnsi="Verdana"/>
          <w:sz w:val="18"/>
          <w:szCs w:val="18"/>
        </w:rPr>
        <w:t>”) under the Health Insurance Portability and Accountability Act of 1996</w:t>
      </w:r>
      <w:r>
        <w:rPr>
          <w:rFonts w:ascii="Verdana" w:hAnsi="Verdana"/>
          <w:sz w:val="18"/>
          <w:szCs w:val="18"/>
        </w:rPr>
        <w:t>, as amended and supplemented</w:t>
      </w:r>
      <w:r w:rsidRPr="000412DD">
        <w:rPr>
          <w:rFonts w:ascii="Verdana" w:hAnsi="Verdana"/>
          <w:sz w:val="18"/>
          <w:szCs w:val="18"/>
        </w:rPr>
        <w:t xml:space="preserve"> (“</w:t>
      </w:r>
      <w:r w:rsidRPr="000412DD">
        <w:rPr>
          <w:rFonts w:ascii="Verdana" w:hAnsi="Verdana"/>
          <w:b/>
          <w:bCs/>
          <w:sz w:val="18"/>
          <w:szCs w:val="18"/>
        </w:rPr>
        <w:t>HIPAA</w:t>
      </w:r>
      <w:r w:rsidRPr="000412DD">
        <w:rPr>
          <w:rFonts w:ascii="Verdana" w:hAnsi="Verdana"/>
          <w:sz w:val="18"/>
          <w:szCs w:val="18"/>
        </w:rPr>
        <w:t xml:space="preserve">”); </w:t>
      </w:r>
    </w:p>
    <w:p w:rsidR="003C13D8" w:rsidRPr="000412DD" w:rsidRDefault="003C13D8" w:rsidP="003C13D8">
      <w:pPr>
        <w:ind w:firstLine="720"/>
        <w:rPr>
          <w:rFonts w:ascii="Verdana" w:hAnsi="Verdana"/>
          <w:sz w:val="18"/>
          <w:szCs w:val="18"/>
        </w:rPr>
      </w:pPr>
    </w:p>
    <w:p w:rsidR="003C13D8" w:rsidRPr="000412DD" w:rsidRDefault="003C13D8" w:rsidP="003C13D8">
      <w:pPr>
        <w:ind w:firstLine="720"/>
        <w:rPr>
          <w:rFonts w:ascii="Verdana" w:hAnsi="Verdana"/>
          <w:sz w:val="18"/>
          <w:szCs w:val="18"/>
        </w:rPr>
      </w:pPr>
      <w:r w:rsidRPr="000412DD">
        <w:rPr>
          <w:rFonts w:ascii="Verdana" w:hAnsi="Verdana"/>
          <w:b/>
          <w:bCs/>
          <w:sz w:val="18"/>
          <w:szCs w:val="18"/>
        </w:rPr>
        <w:t>WHEREAS</w:t>
      </w:r>
      <w:r w:rsidRPr="000412DD">
        <w:rPr>
          <w:rFonts w:ascii="Verdana" w:hAnsi="Verdana"/>
          <w:sz w:val="18"/>
          <w:szCs w:val="18"/>
        </w:rPr>
        <w:t>, Covered Entity is a covered entity under HIPAA and is subject to the Privacy</w:t>
      </w:r>
      <w:r>
        <w:rPr>
          <w:rFonts w:ascii="Verdana" w:hAnsi="Verdana"/>
          <w:sz w:val="18"/>
          <w:szCs w:val="18"/>
        </w:rPr>
        <w:t xml:space="preserve"> Standards</w:t>
      </w:r>
      <w:r w:rsidRPr="000412DD">
        <w:rPr>
          <w:rFonts w:ascii="Verdana" w:hAnsi="Verdana"/>
          <w:sz w:val="18"/>
          <w:szCs w:val="18"/>
        </w:rPr>
        <w:t xml:space="preserve"> and Security Standards; and</w:t>
      </w:r>
    </w:p>
    <w:p w:rsidR="003C13D8" w:rsidRPr="000412DD" w:rsidRDefault="003C13D8" w:rsidP="003C13D8">
      <w:pPr>
        <w:ind w:firstLine="720"/>
        <w:rPr>
          <w:rFonts w:ascii="Verdana" w:hAnsi="Verdana"/>
          <w:sz w:val="18"/>
          <w:szCs w:val="18"/>
        </w:rPr>
      </w:pPr>
    </w:p>
    <w:p w:rsidR="003C13D8" w:rsidRDefault="003C13D8" w:rsidP="003C13D8">
      <w:pPr>
        <w:ind w:firstLine="720"/>
        <w:rPr>
          <w:rFonts w:ascii="Verdana" w:hAnsi="Verdana"/>
          <w:sz w:val="18"/>
          <w:szCs w:val="18"/>
        </w:rPr>
      </w:pPr>
      <w:r w:rsidRPr="000412DD">
        <w:rPr>
          <w:rFonts w:ascii="Verdana" w:hAnsi="Verdana"/>
          <w:b/>
          <w:bCs/>
          <w:sz w:val="18"/>
          <w:szCs w:val="18"/>
        </w:rPr>
        <w:t>WHEREAS</w:t>
      </w:r>
      <w:r w:rsidRPr="000412DD">
        <w:rPr>
          <w:rFonts w:ascii="Verdana" w:hAnsi="Verdana"/>
          <w:sz w:val="18"/>
          <w:szCs w:val="18"/>
        </w:rPr>
        <w:t>, the Privacy</w:t>
      </w:r>
      <w:r>
        <w:rPr>
          <w:rFonts w:ascii="Verdana" w:hAnsi="Verdana"/>
          <w:sz w:val="18"/>
          <w:szCs w:val="18"/>
        </w:rPr>
        <w:t xml:space="preserve"> Standards</w:t>
      </w:r>
      <w:r w:rsidRPr="000412DD">
        <w:rPr>
          <w:rFonts w:ascii="Verdana" w:hAnsi="Verdana"/>
          <w:sz w:val="18"/>
          <w:szCs w:val="18"/>
        </w:rPr>
        <w:t xml:space="preserve"> and Security Standards require Covered Entity to obtain adequate written assurances with individuals and entities that create, receive, access, maintain, use or disclose Protected Health Information for or on behalf of such </w:t>
      </w:r>
      <w:r>
        <w:rPr>
          <w:rFonts w:ascii="Verdana" w:hAnsi="Verdana"/>
          <w:sz w:val="18"/>
          <w:szCs w:val="18"/>
        </w:rPr>
        <w:t>Covered Entity</w:t>
      </w:r>
      <w:r w:rsidRPr="000412DD">
        <w:rPr>
          <w:rFonts w:ascii="Verdana" w:hAnsi="Verdana"/>
          <w:sz w:val="18"/>
          <w:szCs w:val="18"/>
        </w:rPr>
        <w:t>; and</w:t>
      </w:r>
    </w:p>
    <w:p w:rsidR="003C13D8" w:rsidRPr="000412DD" w:rsidRDefault="003C13D8" w:rsidP="003C13D8">
      <w:pPr>
        <w:ind w:firstLine="720"/>
        <w:rPr>
          <w:rFonts w:ascii="Verdana" w:hAnsi="Verdana"/>
          <w:sz w:val="18"/>
          <w:szCs w:val="18"/>
        </w:rPr>
      </w:pPr>
    </w:p>
    <w:p w:rsidR="003C13D8" w:rsidRDefault="003C13D8" w:rsidP="003C13D8">
      <w:pPr>
        <w:ind w:firstLine="720"/>
        <w:rPr>
          <w:rFonts w:ascii="Verdana" w:hAnsi="Verdana"/>
          <w:sz w:val="18"/>
          <w:szCs w:val="18"/>
        </w:rPr>
      </w:pPr>
      <w:r w:rsidRPr="000412DD">
        <w:rPr>
          <w:rFonts w:ascii="Verdana" w:hAnsi="Verdana"/>
          <w:b/>
          <w:sz w:val="18"/>
          <w:szCs w:val="18"/>
        </w:rPr>
        <w:t>WHEREAS</w:t>
      </w:r>
      <w:r w:rsidRPr="000412DD">
        <w:rPr>
          <w:rFonts w:ascii="Verdana" w:hAnsi="Verdana"/>
          <w:sz w:val="18"/>
          <w:szCs w:val="18"/>
        </w:rPr>
        <w:t xml:space="preserve">, Microsoft operates an online service </w:t>
      </w:r>
      <w:r>
        <w:rPr>
          <w:rFonts w:ascii="Verdana" w:hAnsi="Verdana"/>
          <w:sz w:val="18"/>
          <w:szCs w:val="18"/>
        </w:rPr>
        <w:t>(“</w:t>
      </w:r>
      <w:r w:rsidRPr="00041AEA">
        <w:rPr>
          <w:rFonts w:ascii="Verdana" w:hAnsi="Verdana"/>
          <w:b/>
          <w:sz w:val="18"/>
          <w:szCs w:val="18"/>
        </w:rPr>
        <w:t>HealthVault</w:t>
      </w:r>
      <w:r>
        <w:rPr>
          <w:rFonts w:ascii="Verdana" w:hAnsi="Verdana"/>
          <w:sz w:val="18"/>
          <w:szCs w:val="18"/>
        </w:rPr>
        <w:t xml:space="preserve">”) </w:t>
      </w:r>
      <w:r w:rsidRPr="000412DD">
        <w:rPr>
          <w:rFonts w:ascii="Verdana" w:hAnsi="Verdana"/>
          <w:sz w:val="18"/>
          <w:szCs w:val="18"/>
        </w:rPr>
        <w:t xml:space="preserve">that offers personal health record accounts </w:t>
      </w:r>
      <w:r>
        <w:rPr>
          <w:rFonts w:ascii="Verdana" w:hAnsi="Verdana"/>
          <w:sz w:val="18"/>
          <w:szCs w:val="18"/>
        </w:rPr>
        <w:t>(“</w:t>
      </w:r>
      <w:r w:rsidRPr="009A7098">
        <w:rPr>
          <w:rFonts w:ascii="Verdana" w:hAnsi="Verdana"/>
          <w:b/>
          <w:sz w:val="18"/>
          <w:szCs w:val="18"/>
        </w:rPr>
        <w:t>Accounts</w:t>
      </w:r>
      <w:r>
        <w:rPr>
          <w:rFonts w:ascii="Verdana" w:hAnsi="Verdana"/>
          <w:sz w:val="18"/>
          <w:szCs w:val="18"/>
        </w:rPr>
        <w:t xml:space="preserve">”) </w:t>
      </w:r>
      <w:r w:rsidR="00AC10C0">
        <w:rPr>
          <w:rFonts w:ascii="Verdana" w:hAnsi="Verdana"/>
          <w:sz w:val="18"/>
          <w:szCs w:val="18"/>
        </w:rPr>
        <w:t xml:space="preserve">that are </w:t>
      </w:r>
      <w:r w:rsidRPr="000412DD">
        <w:rPr>
          <w:rFonts w:ascii="Verdana" w:hAnsi="Verdana"/>
          <w:sz w:val="18"/>
          <w:szCs w:val="18"/>
        </w:rPr>
        <w:t>for the benefit of and controlled by consumer end-users (“</w:t>
      </w:r>
      <w:r w:rsidRPr="000412DD">
        <w:rPr>
          <w:rFonts w:ascii="Verdana" w:hAnsi="Verdana"/>
          <w:b/>
          <w:sz w:val="18"/>
          <w:szCs w:val="18"/>
        </w:rPr>
        <w:t>End-Users</w:t>
      </w:r>
      <w:r w:rsidRPr="000412DD">
        <w:rPr>
          <w:rFonts w:ascii="Verdana" w:hAnsi="Verdana"/>
          <w:sz w:val="18"/>
          <w:szCs w:val="18"/>
        </w:rPr>
        <w:t xml:space="preserve">”) under a privacy statement and </w:t>
      </w:r>
      <w:r>
        <w:rPr>
          <w:rFonts w:ascii="Verdana" w:hAnsi="Verdana"/>
          <w:sz w:val="18"/>
          <w:szCs w:val="18"/>
        </w:rPr>
        <w:t>service agreement</w:t>
      </w:r>
      <w:r w:rsidRPr="000412DD">
        <w:rPr>
          <w:rFonts w:ascii="Verdana" w:hAnsi="Verdana"/>
          <w:sz w:val="18"/>
          <w:szCs w:val="18"/>
        </w:rPr>
        <w:t xml:space="preserve"> (together, the “</w:t>
      </w:r>
      <w:r w:rsidRPr="000412DD">
        <w:rPr>
          <w:rFonts w:ascii="Verdana" w:hAnsi="Verdana"/>
          <w:b/>
          <w:sz w:val="18"/>
          <w:szCs w:val="18"/>
        </w:rPr>
        <w:t>End-User</w:t>
      </w:r>
      <w:r w:rsidRPr="000412DD">
        <w:rPr>
          <w:rFonts w:ascii="Verdana" w:hAnsi="Verdana"/>
          <w:sz w:val="18"/>
          <w:szCs w:val="18"/>
        </w:rPr>
        <w:t xml:space="preserve"> </w:t>
      </w:r>
      <w:r w:rsidRPr="000412DD">
        <w:rPr>
          <w:rFonts w:ascii="Verdana" w:hAnsi="Verdana"/>
          <w:b/>
          <w:sz w:val="18"/>
          <w:szCs w:val="18"/>
        </w:rPr>
        <w:t>Terms</w:t>
      </w:r>
      <w:r w:rsidRPr="000412DD">
        <w:rPr>
          <w:rFonts w:ascii="Verdana" w:hAnsi="Verdana"/>
          <w:sz w:val="18"/>
          <w:szCs w:val="18"/>
        </w:rPr>
        <w:t>”) between the End-User and Microsoft; and</w:t>
      </w:r>
    </w:p>
    <w:p w:rsidR="003C13D8" w:rsidRPr="000412DD" w:rsidRDefault="003C13D8" w:rsidP="003C13D8">
      <w:pPr>
        <w:ind w:firstLine="720"/>
        <w:rPr>
          <w:rFonts w:ascii="Verdana" w:hAnsi="Verdana"/>
          <w:sz w:val="18"/>
          <w:szCs w:val="18"/>
        </w:rPr>
      </w:pPr>
    </w:p>
    <w:p w:rsidR="003C13D8" w:rsidRDefault="003C13D8" w:rsidP="003C13D8">
      <w:pPr>
        <w:ind w:firstLine="720"/>
        <w:rPr>
          <w:rFonts w:ascii="Verdana" w:hAnsi="Verdana"/>
          <w:sz w:val="18"/>
          <w:szCs w:val="18"/>
        </w:rPr>
      </w:pPr>
      <w:r w:rsidRPr="000412DD">
        <w:rPr>
          <w:rFonts w:ascii="Verdana" w:hAnsi="Verdana"/>
          <w:b/>
          <w:sz w:val="18"/>
          <w:szCs w:val="18"/>
        </w:rPr>
        <w:t>WHEREAS</w:t>
      </w:r>
      <w:r w:rsidRPr="000412DD">
        <w:rPr>
          <w:rFonts w:ascii="Verdana" w:hAnsi="Verdana"/>
          <w:sz w:val="18"/>
          <w:szCs w:val="18"/>
        </w:rPr>
        <w:t xml:space="preserve">, </w:t>
      </w:r>
      <w:r>
        <w:rPr>
          <w:rFonts w:ascii="Verdana" w:hAnsi="Verdana"/>
          <w:sz w:val="18"/>
          <w:szCs w:val="18"/>
        </w:rPr>
        <w:t>Heal</w:t>
      </w:r>
      <w:r w:rsidR="00AC10C0">
        <w:rPr>
          <w:rFonts w:ascii="Verdana" w:hAnsi="Verdana"/>
          <w:sz w:val="18"/>
          <w:szCs w:val="18"/>
        </w:rPr>
        <w:t>t</w:t>
      </w:r>
      <w:r>
        <w:rPr>
          <w:rFonts w:ascii="Verdana" w:hAnsi="Verdana"/>
          <w:sz w:val="18"/>
          <w:szCs w:val="18"/>
        </w:rPr>
        <w:t xml:space="preserve">hVault </w:t>
      </w:r>
      <w:r w:rsidRPr="000412DD">
        <w:rPr>
          <w:rFonts w:ascii="Verdana" w:hAnsi="Verdana"/>
          <w:sz w:val="18"/>
          <w:szCs w:val="18"/>
        </w:rPr>
        <w:t>enable</w:t>
      </w:r>
      <w:r>
        <w:rPr>
          <w:rFonts w:ascii="Verdana" w:hAnsi="Verdana"/>
          <w:sz w:val="18"/>
          <w:szCs w:val="18"/>
        </w:rPr>
        <w:t>s</w:t>
      </w:r>
      <w:r w:rsidRPr="000412DD">
        <w:rPr>
          <w:rFonts w:ascii="Verdana" w:hAnsi="Verdana"/>
          <w:sz w:val="18"/>
          <w:szCs w:val="18"/>
        </w:rPr>
        <w:t xml:space="preserve"> multiple entities’ programs and systems, each at the option of and with the </w:t>
      </w:r>
      <w:r w:rsidR="00A55E30">
        <w:rPr>
          <w:rFonts w:ascii="Verdana" w:hAnsi="Verdana"/>
          <w:sz w:val="18"/>
          <w:szCs w:val="18"/>
        </w:rPr>
        <w:t xml:space="preserve">authorization </w:t>
      </w:r>
      <w:r w:rsidRPr="000412DD">
        <w:rPr>
          <w:rFonts w:ascii="Verdana" w:hAnsi="Verdana"/>
          <w:sz w:val="18"/>
          <w:szCs w:val="18"/>
        </w:rPr>
        <w:t>of the End-User, to access</w:t>
      </w:r>
      <w:r w:rsidR="00A55E30">
        <w:rPr>
          <w:rFonts w:ascii="Verdana" w:hAnsi="Verdana"/>
          <w:sz w:val="18"/>
          <w:szCs w:val="18"/>
        </w:rPr>
        <w:t>, use</w:t>
      </w:r>
      <w:r w:rsidRPr="000412DD">
        <w:rPr>
          <w:rFonts w:ascii="Verdana" w:hAnsi="Verdana"/>
          <w:sz w:val="18"/>
          <w:szCs w:val="18"/>
        </w:rPr>
        <w:t xml:space="preserve"> and</w:t>
      </w:r>
      <w:r>
        <w:rPr>
          <w:rFonts w:ascii="Verdana" w:hAnsi="Verdana"/>
          <w:sz w:val="18"/>
          <w:szCs w:val="18"/>
        </w:rPr>
        <w:t xml:space="preserve"> send</w:t>
      </w:r>
      <w:r w:rsidRPr="000412DD">
        <w:rPr>
          <w:rFonts w:ascii="Verdana" w:hAnsi="Verdana"/>
          <w:sz w:val="18"/>
          <w:szCs w:val="18"/>
        </w:rPr>
        <w:t xml:space="preserve"> information to and </w:t>
      </w:r>
      <w:r>
        <w:rPr>
          <w:rFonts w:ascii="Verdana" w:hAnsi="Verdana"/>
          <w:sz w:val="18"/>
          <w:szCs w:val="18"/>
        </w:rPr>
        <w:t xml:space="preserve">receive </w:t>
      </w:r>
      <w:proofErr w:type="gramStart"/>
      <w:r>
        <w:rPr>
          <w:rFonts w:ascii="Verdana" w:hAnsi="Verdana"/>
          <w:sz w:val="18"/>
          <w:szCs w:val="18"/>
        </w:rPr>
        <w:t>information</w:t>
      </w:r>
      <w:proofErr w:type="gramEnd"/>
      <w:r>
        <w:rPr>
          <w:rFonts w:ascii="Verdana" w:hAnsi="Verdana"/>
          <w:sz w:val="18"/>
          <w:szCs w:val="18"/>
        </w:rPr>
        <w:t xml:space="preserve"> </w:t>
      </w:r>
      <w:r w:rsidRPr="000412DD">
        <w:rPr>
          <w:rFonts w:ascii="Verdana" w:hAnsi="Verdana"/>
          <w:sz w:val="18"/>
          <w:szCs w:val="18"/>
        </w:rPr>
        <w:t xml:space="preserve">from End-User HealthVault </w:t>
      </w:r>
      <w:r>
        <w:rPr>
          <w:rFonts w:ascii="Verdana" w:hAnsi="Verdana"/>
          <w:sz w:val="18"/>
          <w:szCs w:val="18"/>
        </w:rPr>
        <w:t>A</w:t>
      </w:r>
      <w:r w:rsidRPr="000412DD">
        <w:rPr>
          <w:rFonts w:ascii="Verdana" w:hAnsi="Verdana"/>
          <w:sz w:val="18"/>
          <w:szCs w:val="18"/>
        </w:rPr>
        <w:t>ccounts; and</w:t>
      </w:r>
    </w:p>
    <w:p w:rsidR="003C13D8" w:rsidRPr="000412DD" w:rsidRDefault="003C13D8" w:rsidP="003C13D8">
      <w:pPr>
        <w:ind w:firstLine="720"/>
        <w:rPr>
          <w:rFonts w:ascii="Verdana" w:hAnsi="Verdana"/>
          <w:sz w:val="18"/>
          <w:szCs w:val="18"/>
        </w:rPr>
      </w:pPr>
    </w:p>
    <w:p w:rsidR="00807AFC" w:rsidRDefault="003C13D8" w:rsidP="003C13D8">
      <w:pPr>
        <w:ind w:firstLine="720"/>
        <w:rPr>
          <w:rFonts w:ascii="Verdana" w:hAnsi="Verdana"/>
          <w:sz w:val="18"/>
          <w:szCs w:val="18"/>
        </w:rPr>
      </w:pPr>
      <w:r w:rsidRPr="000412DD">
        <w:rPr>
          <w:rFonts w:ascii="Verdana" w:hAnsi="Verdana"/>
          <w:b/>
          <w:sz w:val="18"/>
          <w:szCs w:val="18"/>
        </w:rPr>
        <w:t>WHEREAS</w:t>
      </w:r>
      <w:r w:rsidRPr="000412DD">
        <w:rPr>
          <w:rFonts w:ascii="Verdana" w:hAnsi="Verdana"/>
          <w:sz w:val="18"/>
          <w:szCs w:val="18"/>
        </w:rPr>
        <w:t xml:space="preserve">, HealthVault is operated as a consumer service and </w:t>
      </w:r>
      <w:r w:rsidR="00486025">
        <w:rPr>
          <w:rFonts w:ascii="Verdana" w:hAnsi="Verdana"/>
          <w:sz w:val="18"/>
          <w:szCs w:val="18"/>
        </w:rPr>
        <w:t xml:space="preserve">is </w:t>
      </w:r>
      <w:r w:rsidRPr="000412DD">
        <w:rPr>
          <w:rFonts w:ascii="Verdana" w:hAnsi="Verdana"/>
          <w:sz w:val="18"/>
          <w:szCs w:val="18"/>
        </w:rPr>
        <w:t>not offered as a</w:t>
      </w:r>
      <w:r w:rsidR="00AC10C0">
        <w:rPr>
          <w:rFonts w:ascii="Verdana" w:hAnsi="Verdana"/>
          <w:sz w:val="18"/>
          <w:szCs w:val="18"/>
        </w:rPr>
        <w:t>n electronic medical record or Designated Record Set</w:t>
      </w:r>
      <w:r w:rsidRPr="000412DD">
        <w:rPr>
          <w:rFonts w:ascii="Verdana" w:hAnsi="Verdana"/>
          <w:sz w:val="18"/>
          <w:szCs w:val="18"/>
        </w:rPr>
        <w:t xml:space="preserve">; </w:t>
      </w:r>
    </w:p>
    <w:p w:rsidR="00807AFC" w:rsidRDefault="00807AFC" w:rsidP="003C13D8">
      <w:pPr>
        <w:ind w:firstLine="720"/>
        <w:rPr>
          <w:rFonts w:ascii="Verdana" w:hAnsi="Verdana"/>
          <w:sz w:val="18"/>
          <w:szCs w:val="18"/>
        </w:rPr>
      </w:pPr>
    </w:p>
    <w:p w:rsidR="003C13D8" w:rsidRDefault="00807AFC" w:rsidP="003C13D8">
      <w:pPr>
        <w:ind w:firstLine="720"/>
        <w:rPr>
          <w:rFonts w:ascii="Verdana" w:hAnsi="Verdana"/>
          <w:sz w:val="18"/>
          <w:szCs w:val="18"/>
        </w:rPr>
      </w:pPr>
      <w:r w:rsidRPr="00807AFC">
        <w:rPr>
          <w:rFonts w:ascii="Verdana" w:hAnsi="Verdana"/>
          <w:b/>
          <w:sz w:val="18"/>
          <w:szCs w:val="18"/>
        </w:rPr>
        <w:t>WHEREAS,</w:t>
      </w:r>
      <w:r>
        <w:rPr>
          <w:rFonts w:ascii="Verdana" w:hAnsi="Verdana"/>
          <w:sz w:val="18"/>
          <w:szCs w:val="18"/>
        </w:rPr>
        <w:t xml:space="preserve"> </w:t>
      </w:r>
      <w:proofErr w:type="gramStart"/>
      <w:r>
        <w:rPr>
          <w:rFonts w:ascii="Verdana" w:hAnsi="Verdana"/>
          <w:sz w:val="18"/>
          <w:szCs w:val="18"/>
        </w:rPr>
        <w:t>the</w:t>
      </w:r>
      <w:r w:rsidR="00AC10C0">
        <w:rPr>
          <w:rFonts w:ascii="Verdana" w:hAnsi="Verdana"/>
          <w:sz w:val="18"/>
          <w:szCs w:val="18"/>
        </w:rPr>
        <w:t xml:space="preserve"> </w:t>
      </w:r>
      <w:r>
        <w:rPr>
          <w:rFonts w:ascii="Verdana" w:hAnsi="Verdana"/>
          <w:sz w:val="18"/>
          <w:szCs w:val="18"/>
        </w:rPr>
        <w:t xml:space="preserve"> purpose</w:t>
      </w:r>
      <w:proofErr w:type="gramEnd"/>
      <w:r>
        <w:rPr>
          <w:rFonts w:ascii="Verdana" w:hAnsi="Verdana"/>
          <w:sz w:val="18"/>
          <w:szCs w:val="18"/>
        </w:rPr>
        <w:t xml:space="preserve"> of the HealthVault Agreement is to enable End-Users to access, use and disclose Protected Health Information</w:t>
      </w:r>
      <w:r w:rsidR="00AC10C0">
        <w:rPr>
          <w:rFonts w:ascii="Verdana" w:hAnsi="Verdana"/>
          <w:sz w:val="18"/>
          <w:szCs w:val="18"/>
        </w:rPr>
        <w:t>; however,</w:t>
      </w:r>
      <w:r w:rsidR="00AC10C0" w:rsidRPr="00AC10C0">
        <w:rPr>
          <w:rFonts w:ascii="Verdana" w:hAnsi="Verdana"/>
          <w:sz w:val="18"/>
          <w:szCs w:val="18"/>
        </w:rPr>
        <w:t xml:space="preserve"> </w:t>
      </w:r>
      <w:r w:rsidR="00AC10C0">
        <w:rPr>
          <w:rFonts w:ascii="Verdana" w:hAnsi="Verdana"/>
          <w:sz w:val="18"/>
          <w:szCs w:val="18"/>
        </w:rPr>
        <w:t xml:space="preserve">the American Recovery and Reinvestment Act of 2009, Pub. L. 111-5, includes provisions expanding the scope of entities considered to be Business Associates, which provisions could be interpreted to apply to Microsoft’s arrangements with </w:t>
      </w:r>
      <w:r w:rsidR="00486025">
        <w:rPr>
          <w:rFonts w:ascii="Verdana" w:hAnsi="Verdana"/>
          <w:sz w:val="18"/>
          <w:szCs w:val="18"/>
        </w:rPr>
        <w:t xml:space="preserve">a </w:t>
      </w:r>
      <w:r w:rsidR="00AC10C0">
        <w:rPr>
          <w:rFonts w:ascii="Verdana" w:hAnsi="Verdana"/>
          <w:sz w:val="18"/>
          <w:szCs w:val="18"/>
        </w:rPr>
        <w:t>covered entit</w:t>
      </w:r>
      <w:r w:rsidR="00486025">
        <w:rPr>
          <w:rFonts w:ascii="Verdana" w:hAnsi="Verdana"/>
          <w:sz w:val="18"/>
          <w:szCs w:val="18"/>
        </w:rPr>
        <w:t>y</w:t>
      </w:r>
      <w:r w:rsidR="00AC10C0">
        <w:rPr>
          <w:rFonts w:ascii="Verdana" w:hAnsi="Verdana"/>
          <w:sz w:val="18"/>
          <w:szCs w:val="18"/>
        </w:rPr>
        <w:t xml:space="preserve"> under the HealthVault Agreement;</w:t>
      </w:r>
      <w:r>
        <w:rPr>
          <w:rFonts w:ascii="Verdana" w:hAnsi="Verdana"/>
          <w:sz w:val="18"/>
          <w:szCs w:val="18"/>
        </w:rPr>
        <w:t xml:space="preserve"> </w:t>
      </w:r>
      <w:r w:rsidR="003C13D8" w:rsidRPr="000412DD">
        <w:rPr>
          <w:rFonts w:ascii="Verdana" w:hAnsi="Verdana"/>
          <w:sz w:val="18"/>
          <w:szCs w:val="18"/>
        </w:rPr>
        <w:t>and</w:t>
      </w:r>
    </w:p>
    <w:p w:rsidR="003C13D8" w:rsidRPr="000412DD" w:rsidRDefault="003C13D8" w:rsidP="003C13D8">
      <w:pPr>
        <w:ind w:firstLine="720"/>
        <w:rPr>
          <w:rFonts w:ascii="Verdana" w:hAnsi="Verdana"/>
          <w:sz w:val="18"/>
          <w:szCs w:val="18"/>
        </w:rPr>
      </w:pPr>
    </w:p>
    <w:p w:rsidR="003C13D8" w:rsidRPr="000412DD" w:rsidRDefault="003C13D8" w:rsidP="003C13D8">
      <w:pPr>
        <w:ind w:firstLine="720"/>
        <w:rPr>
          <w:rFonts w:ascii="Verdana" w:hAnsi="Verdana"/>
          <w:sz w:val="18"/>
          <w:szCs w:val="18"/>
        </w:rPr>
      </w:pPr>
      <w:r w:rsidRPr="000412DD">
        <w:rPr>
          <w:rFonts w:ascii="Verdana" w:hAnsi="Verdana"/>
          <w:b/>
          <w:sz w:val="18"/>
          <w:szCs w:val="18"/>
        </w:rPr>
        <w:t>WHEREAS</w:t>
      </w:r>
      <w:r w:rsidRPr="000412DD">
        <w:rPr>
          <w:rFonts w:ascii="Verdana" w:hAnsi="Verdana"/>
          <w:sz w:val="18"/>
          <w:szCs w:val="18"/>
        </w:rPr>
        <w:t xml:space="preserve">, </w:t>
      </w:r>
      <w:r w:rsidR="00486025">
        <w:rPr>
          <w:rFonts w:ascii="Verdana" w:hAnsi="Verdana"/>
          <w:sz w:val="18"/>
          <w:szCs w:val="18"/>
        </w:rPr>
        <w:t xml:space="preserve">without having concluded that </w:t>
      </w:r>
      <w:r w:rsidR="009C566F">
        <w:rPr>
          <w:rFonts w:ascii="Verdana" w:hAnsi="Verdana"/>
          <w:sz w:val="18"/>
          <w:szCs w:val="18"/>
        </w:rPr>
        <w:t>either Microsoft or Covered Entity would violate any legal or regulatory requirement or be subject to sanction under applicable law for failing to do so</w:t>
      </w:r>
      <w:r w:rsidR="00486025">
        <w:rPr>
          <w:rFonts w:ascii="Verdana" w:hAnsi="Verdana"/>
          <w:sz w:val="18"/>
          <w:szCs w:val="18"/>
        </w:rPr>
        <w:t xml:space="preserve">, </w:t>
      </w:r>
      <w:r w:rsidRPr="000412DD">
        <w:rPr>
          <w:rFonts w:ascii="Verdana" w:hAnsi="Verdana"/>
          <w:sz w:val="18"/>
          <w:szCs w:val="18"/>
        </w:rPr>
        <w:t xml:space="preserve">Microsoft </w:t>
      </w:r>
      <w:r w:rsidR="00641364">
        <w:rPr>
          <w:rFonts w:ascii="Verdana" w:hAnsi="Verdana"/>
          <w:sz w:val="18"/>
          <w:szCs w:val="18"/>
        </w:rPr>
        <w:t xml:space="preserve">nonetheless </w:t>
      </w:r>
      <w:r w:rsidRPr="000412DD">
        <w:rPr>
          <w:rFonts w:ascii="Verdana" w:hAnsi="Verdana"/>
          <w:sz w:val="18"/>
          <w:szCs w:val="18"/>
        </w:rPr>
        <w:t xml:space="preserve">is willing to </w:t>
      </w:r>
      <w:r w:rsidR="00486025">
        <w:rPr>
          <w:rFonts w:ascii="Verdana" w:hAnsi="Verdana"/>
          <w:sz w:val="18"/>
          <w:szCs w:val="18"/>
        </w:rPr>
        <w:t>agree to the business associate terms set forth below</w:t>
      </w:r>
      <w:r w:rsidR="005A130A">
        <w:rPr>
          <w:rFonts w:ascii="Verdana" w:hAnsi="Verdana"/>
          <w:sz w:val="18"/>
          <w:szCs w:val="18"/>
        </w:rPr>
        <w:t>,</w:t>
      </w:r>
      <w:r w:rsidR="00486025">
        <w:rPr>
          <w:rFonts w:ascii="Verdana" w:hAnsi="Verdana"/>
          <w:sz w:val="18"/>
          <w:szCs w:val="18"/>
        </w:rPr>
        <w:t xml:space="preserve"> in order to facilitate</w:t>
      </w:r>
      <w:r w:rsidRPr="000412DD">
        <w:rPr>
          <w:rFonts w:ascii="Verdana" w:hAnsi="Verdana"/>
          <w:sz w:val="18"/>
          <w:szCs w:val="18"/>
        </w:rPr>
        <w:t xml:space="preserve"> Covered Entity</w:t>
      </w:r>
      <w:r w:rsidR="00486025">
        <w:rPr>
          <w:rFonts w:ascii="Verdana" w:hAnsi="Verdana"/>
          <w:sz w:val="18"/>
          <w:szCs w:val="18"/>
        </w:rPr>
        <w:t>’s</w:t>
      </w:r>
      <w:r w:rsidRPr="000412DD">
        <w:rPr>
          <w:rFonts w:ascii="Verdana" w:hAnsi="Verdana"/>
          <w:sz w:val="18"/>
          <w:szCs w:val="18"/>
        </w:rPr>
        <w:t xml:space="preserve"> </w:t>
      </w:r>
      <w:r>
        <w:rPr>
          <w:rFonts w:ascii="Verdana" w:hAnsi="Verdana"/>
          <w:sz w:val="18"/>
          <w:szCs w:val="18"/>
        </w:rPr>
        <w:t xml:space="preserve">access and </w:t>
      </w:r>
      <w:r w:rsidR="00486025">
        <w:rPr>
          <w:rFonts w:ascii="Verdana" w:hAnsi="Verdana"/>
          <w:sz w:val="18"/>
          <w:szCs w:val="18"/>
        </w:rPr>
        <w:t xml:space="preserve">transmission of </w:t>
      </w:r>
      <w:r>
        <w:rPr>
          <w:rFonts w:ascii="Verdana" w:hAnsi="Verdana"/>
          <w:sz w:val="18"/>
          <w:szCs w:val="18"/>
        </w:rPr>
        <w:t>information to and from HealthVault Accounts</w:t>
      </w:r>
      <w:r w:rsidR="00486025">
        <w:rPr>
          <w:rFonts w:ascii="Verdana" w:hAnsi="Verdana"/>
          <w:sz w:val="18"/>
          <w:szCs w:val="18"/>
        </w:rPr>
        <w:t>, including</w:t>
      </w:r>
      <w:r w:rsidRPr="000412DD">
        <w:rPr>
          <w:rFonts w:ascii="Verdana" w:hAnsi="Verdana"/>
          <w:sz w:val="18"/>
          <w:szCs w:val="18"/>
        </w:rPr>
        <w:t>access</w:t>
      </w:r>
      <w:r w:rsidR="00486025">
        <w:rPr>
          <w:rFonts w:ascii="Verdana" w:hAnsi="Verdana"/>
          <w:sz w:val="18"/>
          <w:szCs w:val="18"/>
        </w:rPr>
        <w:t xml:space="preserve"> to</w:t>
      </w:r>
      <w:r w:rsidRPr="000412DD">
        <w:rPr>
          <w:rFonts w:ascii="Verdana" w:hAnsi="Verdana"/>
          <w:sz w:val="18"/>
          <w:szCs w:val="18"/>
        </w:rPr>
        <w:t xml:space="preserve"> End-User information as part of a direct relationship between End-User and Covered Entity, </w:t>
      </w:r>
      <w:r w:rsidR="00486025">
        <w:rPr>
          <w:rFonts w:ascii="Verdana" w:hAnsi="Verdana"/>
          <w:sz w:val="18"/>
          <w:szCs w:val="18"/>
        </w:rPr>
        <w:t xml:space="preserve">all </w:t>
      </w:r>
      <w:r w:rsidR="00AC10C0">
        <w:rPr>
          <w:rFonts w:ascii="Verdana" w:hAnsi="Verdana"/>
          <w:sz w:val="18"/>
          <w:szCs w:val="18"/>
        </w:rPr>
        <w:t xml:space="preserve">as authorized by the End-User and </w:t>
      </w:r>
      <w:r w:rsidRPr="000412DD">
        <w:rPr>
          <w:rFonts w:ascii="Verdana" w:hAnsi="Verdana"/>
          <w:sz w:val="18"/>
          <w:szCs w:val="18"/>
        </w:rPr>
        <w:t xml:space="preserve">under certain </w:t>
      </w:r>
      <w:r w:rsidR="00AC10C0">
        <w:rPr>
          <w:rFonts w:ascii="Verdana" w:hAnsi="Verdana"/>
          <w:sz w:val="18"/>
          <w:szCs w:val="18"/>
        </w:rPr>
        <w:t xml:space="preserve">other </w:t>
      </w:r>
      <w:r w:rsidRPr="000412DD">
        <w:rPr>
          <w:rFonts w:ascii="Verdana" w:hAnsi="Verdana"/>
          <w:sz w:val="18"/>
          <w:szCs w:val="18"/>
        </w:rPr>
        <w:t>conditions described in the HealthVault Agreement</w:t>
      </w:r>
      <w:r>
        <w:rPr>
          <w:rFonts w:ascii="Verdana" w:hAnsi="Verdana"/>
          <w:sz w:val="18"/>
          <w:szCs w:val="18"/>
        </w:rPr>
        <w:t>.</w:t>
      </w:r>
    </w:p>
    <w:p w:rsidR="003C13D8" w:rsidRDefault="003C13D8" w:rsidP="003C13D8">
      <w:pPr>
        <w:rPr>
          <w:rFonts w:ascii="Verdana" w:hAnsi="Verdana"/>
          <w:sz w:val="18"/>
          <w:szCs w:val="18"/>
        </w:rPr>
      </w:pPr>
    </w:p>
    <w:p w:rsidR="003C13D8" w:rsidRDefault="003C13D8" w:rsidP="003C13D8">
      <w:pPr>
        <w:ind w:firstLine="720"/>
        <w:rPr>
          <w:rFonts w:ascii="Verdana" w:hAnsi="Verdana"/>
          <w:sz w:val="18"/>
          <w:szCs w:val="18"/>
        </w:rPr>
      </w:pPr>
      <w:r w:rsidRPr="000412DD">
        <w:rPr>
          <w:rFonts w:ascii="Verdana" w:hAnsi="Verdana"/>
          <w:b/>
          <w:bCs/>
          <w:sz w:val="18"/>
          <w:szCs w:val="18"/>
        </w:rPr>
        <w:t>NOW, THEREFORE,</w:t>
      </w:r>
      <w:r w:rsidRPr="000412DD">
        <w:rPr>
          <w:rFonts w:ascii="Verdana" w:hAnsi="Verdana"/>
          <w:sz w:val="18"/>
          <w:szCs w:val="18"/>
        </w:rPr>
        <w:t xml:space="preserve"> in consideration of the agreements, covenants, terms and conditions herein contained and other consideration, the sufficiency of which is hereby acknowledged, Covered Entity and Microsoft hereby agree with respect to the HealthVault Agreement between the parties, to amend and, by execution of this Agreement, do hereby amend the HealthVault Agreement by adding additional requirements as follows:</w:t>
      </w:r>
    </w:p>
    <w:p w:rsidR="003C13D8" w:rsidRDefault="003C13D8" w:rsidP="003C13D8">
      <w:pPr>
        <w:ind w:firstLine="720"/>
        <w:rPr>
          <w:rFonts w:ascii="Verdana" w:hAnsi="Verdana"/>
          <w:sz w:val="18"/>
          <w:szCs w:val="18"/>
        </w:rPr>
      </w:pPr>
    </w:p>
    <w:p w:rsidR="003C13D8" w:rsidRPr="009051BF" w:rsidRDefault="003C13D8" w:rsidP="003C13D8">
      <w:pPr>
        <w:ind w:firstLine="720"/>
        <w:jc w:val="center"/>
        <w:rPr>
          <w:rFonts w:ascii="Verdana" w:hAnsi="Verdana"/>
          <w:b/>
          <w:sz w:val="18"/>
          <w:szCs w:val="18"/>
        </w:rPr>
      </w:pPr>
      <w:r w:rsidRPr="009051BF">
        <w:rPr>
          <w:rFonts w:ascii="Verdana" w:hAnsi="Verdana"/>
          <w:b/>
          <w:sz w:val="18"/>
          <w:szCs w:val="18"/>
        </w:rPr>
        <w:t>Agreement</w:t>
      </w:r>
    </w:p>
    <w:p w:rsidR="003C13D8" w:rsidRPr="000412DD" w:rsidRDefault="003C13D8" w:rsidP="003C13D8">
      <w:pPr>
        <w:rPr>
          <w:rFonts w:ascii="Verdana" w:hAnsi="Verdana"/>
          <w:sz w:val="18"/>
          <w:szCs w:val="18"/>
        </w:rPr>
      </w:pPr>
    </w:p>
    <w:p w:rsidR="003C13D8" w:rsidRPr="000412DD" w:rsidRDefault="003C13D8" w:rsidP="003C13D8">
      <w:pPr>
        <w:keepNext/>
        <w:keepLines/>
        <w:rPr>
          <w:rFonts w:ascii="Verdana" w:hAnsi="Verdana"/>
          <w:b/>
          <w:bCs/>
          <w:sz w:val="18"/>
          <w:szCs w:val="18"/>
        </w:rPr>
      </w:pPr>
      <w:r w:rsidRPr="000412DD">
        <w:rPr>
          <w:rFonts w:ascii="Verdana" w:hAnsi="Verdana"/>
          <w:b/>
          <w:bCs/>
          <w:sz w:val="18"/>
          <w:szCs w:val="18"/>
        </w:rPr>
        <w:lastRenderedPageBreak/>
        <w:t>1.</w:t>
      </w:r>
      <w:r w:rsidRPr="000412DD">
        <w:rPr>
          <w:rFonts w:ascii="Verdana" w:hAnsi="Verdana"/>
          <w:b/>
          <w:bCs/>
          <w:sz w:val="18"/>
          <w:szCs w:val="18"/>
        </w:rPr>
        <w:tab/>
        <w:t>OBLIGATIONS OF BUSINESS ASSOCIATE</w:t>
      </w:r>
    </w:p>
    <w:p w:rsidR="003C13D8" w:rsidRPr="000412DD" w:rsidRDefault="003C13D8" w:rsidP="003C13D8">
      <w:pPr>
        <w:keepNext/>
        <w:keepLines/>
        <w:rPr>
          <w:rFonts w:ascii="Verdana" w:hAnsi="Verdana"/>
          <w:sz w:val="18"/>
          <w:szCs w:val="18"/>
        </w:rPr>
      </w:pPr>
    </w:p>
    <w:p w:rsidR="003C13D8" w:rsidRPr="000412DD" w:rsidRDefault="003C13D8" w:rsidP="003C13D8">
      <w:pPr>
        <w:ind w:firstLine="720"/>
        <w:rPr>
          <w:rFonts w:ascii="Verdana" w:hAnsi="Verdana"/>
          <w:sz w:val="18"/>
          <w:szCs w:val="18"/>
        </w:rPr>
      </w:pPr>
      <w:r w:rsidRPr="000412DD">
        <w:rPr>
          <w:rFonts w:ascii="Verdana" w:hAnsi="Verdana"/>
          <w:b/>
          <w:bCs/>
          <w:sz w:val="18"/>
          <w:szCs w:val="18"/>
        </w:rPr>
        <w:t>Section 1.1</w:t>
      </w:r>
      <w:r w:rsidRPr="000412DD">
        <w:rPr>
          <w:rFonts w:ascii="Verdana" w:hAnsi="Verdana"/>
          <w:b/>
          <w:bCs/>
          <w:sz w:val="18"/>
          <w:szCs w:val="18"/>
        </w:rPr>
        <w:tab/>
      </w:r>
      <w:proofErr w:type="gramStart"/>
      <w:r w:rsidRPr="000412DD">
        <w:rPr>
          <w:rFonts w:ascii="Verdana" w:hAnsi="Verdana"/>
          <w:b/>
          <w:bCs/>
          <w:sz w:val="18"/>
          <w:szCs w:val="18"/>
          <w:u w:val="single"/>
        </w:rPr>
        <w:t>Use</w:t>
      </w:r>
      <w:proofErr w:type="gramEnd"/>
      <w:r w:rsidRPr="000412DD">
        <w:rPr>
          <w:rFonts w:ascii="Verdana" w:hAnsi="Verdana"/>
          <w:b/>
          <w:bCs/>
          <w:sz w:val="18"/>
          <w:szCs w:val="18"/>
          <w:u w:val="single"/>
        </w:rPr>
        <w:t xml:space="preserve"> and Disclosure of Protected Health Information</w:t>
      </w:r>
      <w:r w:rsidRPr="000412DD">
        <w:rPr>
          <w:rFonts w:ascii="Verdana" w:hAnsi="Verdana"/>
          <w:b/>
          <w:bCs/>
          <w:sz w:val="18"/>
          <w:szCs w:val="18"/>
        </w:rPr>
        <w:t>.</w:t>
      </w:r>
      <w:r w:rsidRPr="000412DD">
        <w:rPr>
          <w:rFonts w:ascii="Verdana" w:hAnsi="Verdana"/>
          <w:sz w:val="18"/>
          <w:szCs w:val="18"/>
        </w:rPr>
        <w:t xml:space="preserve">  Microsoft may use and disclose Protected Health Information as required to satisfy its obligations under the HealthVault Agreement, </w:t>
      </w:r>
      <w:r w:rsidR="00A11AD1">
        <w:rPr>
          <w:rFonts w:ascii="Verdana" w:hAnsi="Verdana"/>
          <w:sz w:val="18"/>
          <w:szCs w:val="18"/>
        </w:rPr>
        <w:t xml:space="preserve">as permitted in the End-User Terms or </w:t>
      </w:r>
      <w:r w:rsidRPr="000412DD">
        <w:rPr>
          <w:rFonts w:ascii="Verdana" w:hAnsi="Verdana"/>
          <w:sz w:val="18"/>
          <w:szCs w:val="18"/>
        </w:rPr>
        <w:t xml:space="preserve">as permitted herein, or </w:t>
      </w:r>
      <w:r w:rsidR="00486025">
        <w:rPr>
          <w:rFonts w:ascii="Verdana" w:hAnsi="Verdana"/>
          <w:sz w:val="18"/>
          <w:szCs w:val="18"/>
        </w:rPr>
        <w:t>as R</w:t>
      </w:r>
      <w:r w:rsidR="00486025" w:rsidRPr="000412DD">
        <w:rPr>
          <w:rFonts w:ascii="Verdana" w:hAnsi="Verdana"/>
          <w:sz w:val="18"/>
          <w:szCs w:val="18"/>
        </w:rPr>
        <w:t xml:space="preserve">equired </w:t>
      </w:r>
      <w:r w:rsidRPr="000412DD">
        <w:rPr>
          <w:rFonts w:ascii="Verdana" w:hAnsi="Verdana"/>
          <w:sz w:val="18"/>
          <w:szCs w:val="18"/>
        </w:rPr>
        <w:t xml:space="preserve">by </w:t>
      </w:r>
      <w:r w:rsidR="00486025">
        <w:rPr>
          <w:rFonts w:ascii="Verdana" w:hAnsi="Verdana"/>
          <w:sz w:val="18"/>
          <w:szCs w:val="18"/>
        </w:rPr>
        <w:t>L</w:t>
      </w:r>
      <w:r w:rsidR="00486025" w:rsidRPr="000412DD">
        <w:rPr>
          <w:rFonts w:ascii="Verdana" w:hAnsi="Verdana"/>
          <w:sz w:val="18"/>
          <w:szCs w:val="18"/>
        </w:rPr>
        <w:t>aw</w:t>
      </w:r>
      <w:r w:rsidRPr="000412DD">
        <w:rPr>
          <w:rFonts w:ascii="Verdana" w:hAnsi="Verdana"/>
          <w:sz w:val="18"/>
          <w:szCs w:val="18"/>
        </w:rPr>
        <w:t>. Microsoft shall use or disclose Protected Health Information only in connection with providing services to End-Users, except that Microsoft may use Protected Health Information (i) for Microsoft’s proper management and administrative services, (ii) to carry out the legal responsibilities of Microsoft or (iii) to provide data aggregation services relating to the health care operations of Covered Entity</w:t>
      </w:r>
      <w:r w:rsidR="002A14CD">
        <w:rPr>
          <w:rFonts w:ascii="Verdana" w:hAnsi="Verdana"/>
          <w:sz w:val="18"/>
          <w:szCs w:val="18"/>
        </w:rPr>
        <w:t>,</w:t>
      </w:r>
      <w:r w:rsidRPr="000412DD">
        <w:rPr>
          <w:rFonts w:ascii="Verdana" w:hAnsi="Verdana"/>
          <w:sz w:val="18"/>
          <w:szCs w:val="18"/>
        </w:rPr>
        <w:t xml:space="preserve"> if included under the HealthVault Agreement and permitted under the End-User Terms.  </w:t>
      </w:r>
    </w:p>
    <w:p w:rsidR="003C13D8" w:rsidRPr="000412DD" w:rsidRDefault="003C13D8" w:rsidP="003C13D8">
      <w:pPr>
        <w:rPr>
          <w:rFonts w:ascii="Verdana" w:hAnsi="Verdana"/>
          <w:sz w:val="18"/>
          <w:szCs w:val="18"/>
        </w:rPr>
      </w:pPr>
    </w:p>
    <w:p w:rsidR="003C13D8" w:rsidRDefault="003C13D8" w:rsidP="003C13D8">
      <w:pPr>
        <w:ind w:firstLine="720"/>
        <w:rPr>
          <w:rFonts w:ascii="Verdana" w:hAnsi="Verdana"/>
          <w:sz w:val="18"/>
          <w:szCs w:val="18"/>
        </w:rPr>
      </w:pPr>
      <w:r w:rsidRPr="000412DD">
        <w:rPr>
          <w:rFonts w:ascii="Verdana" w:hAnsi="Verdana"/>
          <w:b/>
          <w:bCs/>
          <w:sz w:val="18"/>
          <w:szCs w:val="18"/>
        </w:rPr>
        <w:t>Section 1.2</w:t>
      </w:r>
      <w:r w:rsidRPr="000412DD">
        <w:rPr>
          <w:rFonts w:ascii="Verdana" w:hAnsi="Verdana"/>
          <w:b/>
          <w:bCs/>
          <w:sz w:val="18"/>
          <w:szCs w:val="18"/>
        </w:rPr>
        <w:tab/>
      </w:r>
      <w:r w:rsidRPr="000412DD">
        <w:rPr>
          <w:rFonts w:ascii="Verdana" w:hAnsi="Verdana"/>
          <w:b/>
          <w:bCs/>
          <w:sz w:val="18"/>
          <w:szCs w:val="18"/>
          <w:u w:val="single"/>
        </w:rPr>
        <w:t>Safeguards Against Misuse of Information</w:t>
      </w:r>
      <w:r w:rsidRPr="000412DD">
        <w:rPr>
          <w:rFonts w:ascii="Verdana" w:hAnsi="Verdana"/>
          <w:b/>
          <w:bCs/>
          <w:sz w:val="18"/>
          <w:szCs w:val="18"/>
        </w:rPr>
        <w:t>.</w:t>
      </w:r>
      <w:r w:rsidRPr="000412DD">
        <w:rPr>
          <w:rFonts w:ascii="Verdana" w:hAnsi="Verdana"/>
          <w:sz w:val="18"/>
          <w:szCs w:val="18"/>
        </w:rPr>
        <w:t xml:space="preserve">  Microsoft shall use appropriate safeguards to prevent the use or disclosure of </w:t>
      </w:r>
      <w:r w:rsidRPr="00D12D22">
        <w:rPr>
          <w:rFonts w:ascii="Verdana" w:hAnsi="Verdana"/>
          <w:sz w:val="18"/>
          <w:szCs w:val="18"/>
        </w:rPr>
        <w:t>Protected Health Information</w:t>
      </w:r>
      <w:r w:rsidRPr="000412DD">
        <w:rPr>
          <w:rFonts w:ascii="Verdana" w:hAnsi="Verdana"/>
          <w:sz w:val="18"/>
          <w:szCs w:val="18"/>
        </w:rPr>
        <w:t xml:space="preserve"> other than as permitted under this Agreement.  Specifically, with respect to </w:t>
      </w:r>
      <w:r w:rsidRPr="00D12D22">
        <w:rPr>
          <w:rFonts w:ascii="Verdana" w:hAnsi="Verdana"/>
          <w:sz w:val="18"/>
          <w:szCs w:val="18"/>
        </w:rPr>
        <w:t>Electronic Protected Health Information</w:t>
      </w:r>
      <w:r w:rsidRPr="000412DD">
        <w:rPr>
          <w:rFonts w:ascii="Verdana" w:hAnsi="Verdana"/>
          <w:sz w:val="18"/>
          <w:szCs w:val="18"/>
        </w:rPr>
        <w:t>, Microsoft agrees to:</w:t>
      </w:r>
    </w:p>
    <w:p w:rsidR="003C13D8" w:rsidRPr="000412DD" w:rsidRDefault="003C13D8" w:rsidP="003C13D8">
      <w:pPr>
        <w:ind w:firstLine="720"/>
        <w:rPr>
          <w:rFonts w:ascii="Verdana" w:hAnsi="Verdana"/>
          <w:sz w:val="18"/>
          <w:szCs w:val="18"/>
        </w:rPr>
      </w:pPr>
    </w:p>
    <w:p w:rsidR="003C13D8" w:rsidRDefault="003C13D8" w:rsidP="003C13D8">
      <w:pPr>
        <w:tabs>
          <w:tab w:val="left" w:pos="360"/>
        </w:tabs>
        <w:ind w:firstLine="360"/>
        <w:rPr>
          <w:rFonts w:ascii="Verdana" w:hAnsi="Verdana"/>
          <w:sz w:val="18"/>
          <w:szCs w:val="18"/>
        </w:rPr>
      </w:pPr>
      <w:r w:rsidRPr="000412DD">
        <w:rPr>
          <w:rFonts w:ascii="Verdana" w:hAnsi="Verdana"/>
          <w:sz w:val="18"/>
          <w:szCs w:val="18"/>
        </w:rPr>
        <w:t>a.</w:t>
      </w:r>
      <w:r w:rsidRPr="000412DD">
        <w:rPr>
          <w:rFonts w:ascii="Verdana" w:hAnsi="Verdana"/>
          <w:sz w:val="18"/>
          <w:szCs w:val="18"/>
        </w:rPr>
        <w:tab/>
        <w:t>Implement or maintain administrative, physical and technical safeguards that reasonably and appropriately protect the confidentiality, integrity, and availability of Electronic Protected Health Information;</w:t>
      </w:r>
    </w:p>
    <w:p w:rsidR="003C13D8" w:rsidRPr="000412DD" w:rsidRDefault="003C13D8" w:rsidP="003C13D8">
      <w:pPr>
        <w:tabs>
          <w:tab w:val="left" w:pos="360"/>
        </w:tabs>
        <w:ind w:firstLine="360"/>
        <w:rPr>
          <w:rFonts w:ascii="Verdana" w:hAnsi="Verdana"/>
          <w:b/>
          <w:bCs/>
          <w:sz w:val="18"/>
          <w:szCs w:val="18"/>
        </w:rPr>
      </w:pPr>
    </w:p>
    <w:p w:rsidR="003C13D8" w:rsidRDefault="003C13D8" w:rsidP="003C13D8">
      <w:pPr>
        <w:tabs>
          <w:tab w:val="left" w:pos="360"/>
        </w:tabs>
        <w:ind w:firstLine="360"/>
        <w:rPr>
          <w:rFonts w:ascii="Verdana" w:hAnsi="Verdana"/>
          <w:sz w:val="18"/>
          <w:szCs w:val="18"/>
        </w:rPr>
      </w:pPr>
      <w:r w:rsidRPr="000412DD">
        <w:rPr>
          <w:rFonts w:ascii="Verdana" w:hAnsi="Verdana"/>
          <w:sz w:val="18"/>
          <w:szCs w:val="18"/>
        </w:rPr>
        <w:t>b.</w:t>
      </w:r>
      <w:r w:rsidRPr="000412DD">
        <w:rPr>
          <w:rFonts w:ascii="Verdana" w:hAnsi="Verdana"/>
          <w:sz w:val="18"/>
          <w:szCs w:val="18"/>
        </w:rPr>
        <w:tab/>
        <w:t>Ensure that any agent, including a subcontractor, to whom Microsoft provides Electronic Protected Health Information, agrees to implement reasonable and appropriate safeguards to protect such Electronic Protected Health Information; and</w:t>
      </w:r>
    </w:p>
    <w:p w:rsidR="003C13D8" w:rsidRPr="000412DD" w:rsidRDefault="003C13D8" w:rsidP="003C13D8">
      <w:pPr>
        <w:tabs>
          <w:tab w:val="left" w:pos="360"/>
        </w:tabs>
        <w:ind w:firstLine="360"/>
        <w:rPr>
          <w:rFonts w:ascii="Verdana" w:hAnsi="Verdana"/>
          <w:b/>
          <w:bCs/>
          <w:sz w:val="18"/>
          <w:szCs w:val="18"/>
        </w:rPr>
      </w:pPr>
    </w:p>
    <w:p w:rsidR="003C13D8" w:rsidRPr="000412DD" w:rsidRDefault="003C13D8" w:rsidP="003C13D8">
      <w:pPr>
        <w:tabs>
          <w:tab w:val="left" w:pos="360"/>
        </w:tabs>
        <w:ind w:firstLine="360"/>
        <w:rPr>
          <w:rFonts w:ascii="Verdana" w:hAnsi="Verdana"/>
          <w:b/>
          <w:bCs/>
          <w:sz w:val="18"/>
          <w:szCs w:val="18"/>
        </w:rPr>
      </w:pPr>
      <w:r w:rsidRPr="000412DD">
        <w:rPr>
          <w:rFonts w:ascii="Verdana" w:hAnsi="Verdana"/>
          <w:sz w:val="18"/>
          <w:szCs w:val="18"/>
        </w:rPr>
        <w:t>c.</w:t>
      </w:r>
      <w:r w:rsidRPr="000412DD">
        <w:rPr>
          <w:rFonts w:ascii="Verdana" w:hAnsi="Verdana"/>
          <w:sz w:val="18"/>
          <w:szCs w:val="18"/>
        </w:rPr>
        <w:tab/>
        <w:t xml:space="preserve">Report to Covered Entity any </w:t>
      </w:r>
      <w:r w:rsidRPr="00D12D22">
        <w:rPr>
          <w:rFonts w:ascii="Verdana" w:hAnsi="Verdana"/>
          <w:sz w:val="18"/>
          <w:szCs w:val="18"/>
        </w:rPr>
        <w:t>Security Incident</w:t>
      </w:r>
      <w:r w:rsidRPr="000412DD">
        <w:rPr>
          <w:rFonts w:ascii="Verdana" w:hAnsi="Verdana"/>
          <w:sz w:val="18"/>
          <w:szCs w:val="18"/>
        </w:rPr>
        <w:t xml:space="preserve"> that Microsoft becomes aware</w:t>
      </w:r>
      <w:r>
        <w:rPr>
          <w:rFonts w:ascii="Verdana" w:hAnsi="Verdana"/>
          <w:sz w:val="18"/>
          <w:szCs w:val="18"/>
        </w:rPr>
        <w:t xml:space="preserve"> of</w:t>
      </w:r>
      <w:r w:rsidRPr="000412DD">
        <w:rPr>
          <w:rFonts w:ascii="Verdana" w:hAnsi="Verdana"/>
          <w:sz w:val="18"/>
          <w:szCs w:val="18"/>
        </w:rPr>
        <w:t xml:space="preserve">; </w:t>
      </w:r>
      <w:r w:rsidRPr="000412DD">
        <w:rPr>
          <w:rFonts w:ascii="Verdana" w:hAnsi="Verdana"/>
          <w:i/>
          <w:iCs/>
          <w:sz w:val="18"/>
          <w:szCs w:val="18"/>
        </w:rPr>
        <w:t>provided however</w:t>
      </w:r>
      <w:r w:rsidRPr="000412DD">
        <w:rPr>
          <w:rFonts w:ascii="Verdana" w:hAnsi="Verdana"/>
          <w:sz w:val="18"/>
          <w:szCs w:val="18"/>
        </w:rPr>
        <w:t>, that the parties acknowledge and agree that this Section 1.2(c) constitutes notice by Microsoft to Covered Entity of the ongoing existence and occurrence or attempts of Unsuccessful Security Incidents for which no additional notice to Covered Entity shall be required.  “</w:t>
      </w:r>
      <w:r w:rsidRPr="000412DD">
        <w:rPr>
          <w:rFonts w:ascii="Verdana" w:hAnsi="Verdana"/>
          <w:b/>
          <w:bCs/>
          <w:sz w:val="18"/>
          <w:szCs w:val="18"/>
        </w:rPr>
        <w:t>Unsuccessful Security Incidents</w:t>
      </w:r>
      <w:r w:rsidRPr="000412DD">
        <w:rPr>
          <w:rFonts w:ascii="Verdana" w:hAnsi="Verdana"/>
          <w:sz w:val="18"/>
          <w:szCs w:val="18"/>
        </w:rPr>
        <w:t xml:space="preserve">” means, without limitation, pings and other broadcast attacks on Microsoft’s firewall, port scans, unsuccessful log-on attempts, denial of service attacks, and any combination of the above, so long as no such incident results in unauthorized access, use or disclosure of Protected Health Information. </w:t>
      </w:r>
    </w:p>
    <w:p w:rsidR="003C13D8" w:rsidRPr="000412DD" w:rsidRDefault="003C13D8" w:rsidP="003C13D8">
      <w:pPr>
        <w:rPr>
          <w:rFonts w:ascii="Verdana" w:hAnsi="Verdana"/>
          <w:sz w:val="18"/>
          <w:szCs w:val="18"/>
        </w:rPr>
      </w:pPr>
    </w:p>
    <w:p w:rsidR="003C13D8" w:rsidRPr="000412DD" w:rsidRDefault="003C13D8" w:rsidP="003C13D8">
      <w:pPr>
        <w:rPr>
          <w:rFonts w:ascii="Verdana" w:hAnsi="Verdana"/>
          <w:sz w:val="18"/>
          <w:szCs w:val="18"/>
        </w:rPr>
      </w:pPr>
      <w:r w:rsidRPr="000412DD">
        <w:rPr>
          <w:rFonts w:ascii="Verdana" w:hAnsi="Verdana"/>
          <w:sz w:val="18"/>
          <w:szCs w:val="18"/>
        </w:rPr>
        <w:t>For purposes of this Section 1.2, the parties agree that a “subcontractor” does not include any service provider to Microsoft with respect to any services that make such entity a conduit rather than a business associate.</w:t>
      </w:r>
    </w:p>
    <w:p w:rsidR="003C13D8" w:rsidRPr="000412DD" w:rsidRDefault="003C13D8" w:rsidP="003C13D8">
      <w:pPr>
        <w:rPr>
          <w:rFonts w:ascii="Verdana" w:hAnsi="Verdana"/>
          <w:sz w:val="18"/>
          <w:szCs w:val="18"/>
        </w:rPr>
      </w:pPr>
    </w:p>
    <w:p w:rsidR="003C13D8" w:rsidRPr="000412DD" w:rsidRDefault="003C13D8" w:rsidP="003C13D8">
      <w:pPr>
        <w:ind w:firstLine="720"/>
        <w:rPr>
          <w:rFonts w:ascii="Verdana" w:hAnsi="Verdana"/>
          <w:sz w:val="18"/>
          <w:szCs w:val="18"/>
        </w:rPr>
      </w:pPr>
      <w:proofErr w:type="gramStart"/>
      <w:r w:rsidRPr="000412DD">
        <w:rPr>
          <w:rFonts w:ascii="Verdana" w:hAnsi="Verdana"/>
          <w:b/>
          <w:bCs/>
          <w:sz w:val="18"/>
          <w:szCs w:val="18"/>
        </w:rPr>
        <w:t>Section 1.3</w:t>
      </w:r>
      <w:r w:rsidRPr="000412DD">
        <w:rPr>
          <w:rFonts w:ascii="Verdana" w:hAnsi="Verdana"/>
          <w:b/>
          <w:bCs/>
          <w:sz w:val="18"/>
          <w:szCs w:val="18"/>
        </w:rPr>
        <w:tab/>
      </w:r>
      <w:r w:rsidRPr="000412DD">
        <w:rPr>
          <w:rFonts w:ascii="Verdana" w:hAnsi="Verdana"/>
          <w:b/>
          <w:bCs/>
          <w:sz w:val="18"/>
          <w:szCs w:val="18"/>
          <w:u w:val="single"/>
        </w:rPr>
        <w:t>Reporting of Disclosures of Protected Health Information</w:t>
      </w:r>
      <w:r w:rsidRPr="000412DD">
        <w:rPr>
          <w:rFonts w:ascii="Verdana" w:hAnsi="Verdana"/>
          <w:b/>
          <w:bCs/>
          <w:sz w:val="18"/>
          <w:szCs w:val="18"/>
        </w:rPr>
        <w:t>.</w:t>
      </w:r>
      <w:proofErr w:type="gramEnd"/>
      <w:r w:rsidRPr="000412DD">
        <w:rPr>
          <w:rFonts w:ascii="Verdana" w:hAnsi="Verdana"/>
          <w:sz w:val="18"/>
          <w:szCs w:val="18"/>
        </w:rPr>
        <w:t xml:space="preserve">  Microsoft shall report to Covered Entity any use or disclosure of which Microsoft becomes aware of Protected Health Information in violation of this Agreement by Microsoft, or reported to Microsoft by a third party to which Microsoft disclosed Protected Health Information pursuant to an agreement required by Section 1.4 of this Agreement.</w:t>
      </w:r>
    </w:p>
    <w:p w:rsidR="003C13D8" w:rsidRPr="000412DD" w:rsidRDefault="003C13D8" w:rsidP="003C13D8">
      <w:pPr>
        <w:rPr>
          <w:rFonts w:ascii="Verdana" w:hAnsi="Verdana"/>
          <w:sz w:val="18"/>
          <w:szCs w:val="18"/>
        </w:rPr>
      </w:pPr>
    </w:p>
    <w:p w:rsidR="003C13D8" w:rsidRPr="000412DD" w:rsidRDefault="003C13D8" w:rsidP="003C13D8">
      <w:pPr>
        <w:ind w:firstLine="720"/>
        <w:rPr>
          <w:rFonts w:ascii="Verdana" w:hAnsi="Verdana"/>
          <w:sz w:val="18"/>
          <w:szCs w:val="18"/>
        </w:rPr>
      </w:pPr>
      <w:r w:rsidRPr="000412DD">
        <w:rPr>
          <w:rFonts w:ascii="Verdana" w:hAnsi="Verdana"/>
          <w:b/>
          <w:bCs/>
          <w:sz w:val="18"/>
          <w:szCs w:val="18"/>
        </w:rPr>
        <w:t>Section 1.4</w:t>
      </w:r>
      <w:r w:rsidRPr="000412DD">
        <w:rPr>
          <w:rFonts w:ascii="Verdana" w:hAnsi="Verdana"/>
          <w:b/>
          <w:bCs/>
          <w:sz w:val="18"/>
          <w:szCs w:val="18"/>
        </w:rPr>
        <w:tab/>
      </w:r>
      <w:r w:rsidRPr="000412DD">
        <w:rPr>
          <w:rFonts w:ascii="Verdana" w:hAnsi="Verdana"/>
          <w:b/>
          <w:bCs/>
          <w:sz w:val="18"/>
          <w:szCs w:val="18"/>
          <w:u w:val="single"/>
        </w:rPr>
        <w:t>Agreements by Third Parties</w:t>
      </w:r>
      <w:r w:rsidRPr="000412DD">
        <w:rPr>
          <w:rFonts w:ascii="Verdana" w:hAnsi="Verdana"/>
          <w:b/>
          <w:bCs/>
          <w:sz w:val="18"/>
          <w:szCs w:val="18"/>
        </w:rPr>
        <w:t>.</w:t>
      </w:r>
      <w:r w:rsidRPr="000412DD">
        <w:rPr>
          <w:rFonts w:ascii="Verdana" w:hAnsi="Verdana"/>
          <w:sz w:val="18"/>
          <w:szCs w:val="18"/>
        </w:rPr>
        <w:t xml:space="preserve">  Microsoft shall obtain and maintain an agreement with each agent or subcontractor that has or will have access to Protected Health Information. That agreement will require each such agent or subcontractor to be bound by the same restrictions, terms and conditions that apply to Microsoft with respect to such Protected Health Information.  Further each agent or subcontractor will agree to report to Microsoft any instances of which it is aware of violation of the agreement with respect to Protected Health Information.</w:t>
      </w:r>
    </w:p>
    <w:p w:rsidR="003C13D8" w:rsidRPr="000412DD" w:rsidRDefault="003C13D8" w:rsidP="003C13D8">
      <w:pPr>
        <w:rPr>
          <w:rFonts w:ascii="Verdana" w:hAnsi="Verdana"/>
          <w:sz w:val="18"/>
          <w:szCs w:val="18"/>
        </w:rPr>
      </w:pPr>
    </w:p>
    <w:p w:rsidR="003C13D8" w:rsidRPr="009B238F" w:rsidRDefault="003C13D8" w:rsidP="003C13D8">
      <w:pPr>
        <w:ind w:firstLine="720"/>
        <w:rPr>
          <w:rFonts w:ascii="Verdana" w:hAnsi="Verdana"/>
          <w:b/>
          <w:i/>
          <w:sz w:val="18"/>
          <w:szCs w:val="18"/>
        </w:rPr>
      </w:pPr>
      <w:r w:rsidRPr="000412DD">
        <w:rPr>
          <w:rFonts w:ascii="Verdana" w:hAnsi="Verdana"/>
          <w:b/>
          <w:bCs/>
          <w:sz w:val="18"/>
          <w:szCs w:val="18"/>
        </w:rPr>
        <w:t>Section 1.</w:t>
      </w:r>
      <w:r>
        <w:rPr>
          <w:rFonts w:ascii="Verdana" w:hAnsi="Verdana"/>
          <w:b/>
          <w:bCs/>
          <w:sz w:val="18"/>
          <w:szCs w:val="18"/>
        </w:rPr>
        <w:t>5</w:t>
      </w:r>
      <w:r w:rsidRPr="000412DD">
        <w:rPr>
          <w:rFonts w:ascii="Verdana" w:hAnsi="Verdana"/>
          <w:b/>
          <w:bCs/>
          <w:sz w:val="18"/>
          <w:szCs w:val="18"/>
        </w:rPr>
        <w:tab/>
      </w:r>
      <w:proofErr w:type="gramStart"/>
      <w:r w:rsidR="002A14CD" w:rsidRPr="006821BD">
        <w:rPr>
          <w:rFonts w:ascii="Verdana" w:hAnsi="Verdana"/>
          <w:b/>
          <w:bCs/>
          <w:sz w:val="18"/>
          <w:szCs w:val="18"/>
          <w:u w:val="single"/>
        </w:rPr>
        <w:t>Access</w:t>
      </w:r>
      <w:proofErr w:type="gramEnd"/>
      <w:r w:rsidR="002A14CD" w:rsidRPr="006821BD">
        <w:rPr>
          <w:rFonts w:ascii="Verdana" w:hAnsi="Verdana"/>
          <w:b/>
          <w:bCs/>
          <w:sz w:val="18"/>
          <w:szCs w:val="18"/>
          <w:u w:val="single"/>
        </w:rPr>
        <w:t xml:space="preserve">, Amendment, and </w:t>
      </w:r>
      <w:r w:rsidRPr="006821BD">
        <w:rPr>
          <w:rFonts w:ascii="Verdana" w:hAnsi="Verdana"/>
          <w:b/>
          <w:bCs/>
          <w:sz w:val="18"/>
          <w:szCs w:val="18"/>
          <w:u w:val="single"/>
        </w:rPr>
        <w:t>Accounting of Disclosures</w:t>
      </w:r>
      <w:r w:rsidRPr="000412DD">
        <w:rPr>
          <w:rFonts w:ascii="Verdana" w:hAnsi="Verdana"/>
          <w:b/>
          <w:bCs/>
          <w:sz w:val="18"/>
          <w:szCs w:val="18"/>
        </w:rPr>
        <w:t>.</w:t>
      </w:r>
      <w:r w:rsidRPr="000412DD">
        <w:rPr>
          <w:rFonts w:ascii="Verdana" w:hAnsi="Verdana"/>
          <w:sz w:val="18"/>
          <w:szCs w:val="18"/>
        </w:rPr>
        <w:t xml:space="preserve">  </w:t>
      </w:r>
      <w:r w:rsidR="002A14CD">
        <w:rPr>
          <w:rFonts w:ascii="Verdana" w:hAnsi="Verdana"/>
          <w:sz w:val="18"/>
          <w:szCs w:val="18"/>
        </w:rPr>
        <w:t>Covered Entity acknowledges and agrees that End-Users have ongoing access to Accounts</w:t>
      </w:r>
      <w:r w:rsidR="009B238F">
        <w:rPr>
          <w:rFonts w:ascii="Verdana" w:hAnsi="Verdana"/>
          <w:sz w:val="18"/>
          <w:szCs w:val="18"/>
        </w:rPr>
        <w:t xml:space="preserve"> in accordance with the End-User Terms</w:t>
      </w:r>
      <w:r w:rsidR="002A14CD">
        <w:rPr>
          <w:rFonts w:ascii="Verdana" w:hAnsi="Verdana"/>
          <w:sz w:val="18"/>
          <w:szCs w:val="18"/>
        </w:rPr>
        <w:t xml:space="preserve">, and that such Accounts do not constitute Designated Record Sets.  Microsoft agrees that if, in the future, Accounts do constitute Designated Record Sets, Microsoft shall </w:t>
      </w:r>
      <w:r w:rsidR="009B238F">
        <w:rPr>
          <w:rFonts w:ascii="Verdana" w:hAnsi="Verdana"/>
          <w:sz w:val="18"/>
          <w:szCs w:val="18"/>
        </w:rPr>
        <w:t xml:space="preserve">provide </w:t>
      </w:r>
      <w:r w:rsidR="009B238F" w:rsidRPr="005B7922">
        <w:rPr>
          <w:rFonts w:ascii="Verdana" w:hAnsi="Verdana"/>
          <w:sz w:val="18"/>
          <w:szCs w:val="18"/>
        </w:rPr>
        <w:t>Individuals</w:t>
      </w:r>
      <w:r w:rsidR="009B238F">
        <w:rPr>
          <w:rFonts w:ascii="Verdana" w:hAnsi="Verdana"/>
          <w:sz w:val="18"/>
          <w:szCs w:val="18"/>
        </w:rPr>
        <w:t xml:space="preserve"> with access and </w:t>
      </w:r>
      <w:r w:rsidR="002A14CD">
        <w:rPr>
          <w:rFonts w:ascii="Verdana" w:hAnsi="Verdana"/>
          <w:sz w:val="18"/>
          <w:szCs w:val="18"/>
        </w:rPr>
        <w:t xml:space="preserve">make </w:t>
      </w:r>
      <w:r w:rsidR="00641364">
        <w:rPr>
          <w:rFonts w:ascii="Verdana" w:hAnsi="Verdana"/>
          <w:sz w:val="18"/>
          <w:szCs w:val="18"/>
        </w:rPr>
        <w:t xml:space="preserve">amendments to Protected Health Information in such </w:t>
      </w:r>
      <w:r w:rsidR="009B238F">
        <w:rPr>
          <w:rFonts w:ascii="Verdana" w:hAnsi="Verdana"/>
          <w:sz w:val="18"/>
          <w:szCs w:val="18"/>
        </w:rPr>
        <w:t>A</w:t>
      </w:r>
      <w:r w:rsidR="00641364">
        <w:rPr>
          <w:rFonts w:ascii="Verdana" w:hAnsi="Verdana"/>
          <w:sz w:val="18"/>
          <w:szCs w:val="18"/>
        </w:rPr>
        <w:t>ccounts at the request of Covered Entity pursuant to a request for</w:t>
      </w:r>
      <w:r w:rsidR="009B238F">
        <w:rPr>
          <w:rFonts w:ascii="Verdana" w:hAnsi="Verdana"/>
          <w:sz w:val="18"/>
          <w:szCs w:val="18"/>
        </w:rPr>
        <w:t xml:space="preserve"> access or</w:t>
      </w:r>
      <w:r w:rsidR="00641364">
        <w:rPr>
          <w:rFonts w:ascii="Verdana" w:hAnsi="Verdana"/>
          <w:sz w:val="18"/>
          <w:szCs w:val="18"/>
        </w:rPr>
        <w:t xml:space="preserve"> amendment by the End-User</w:t>
      </w:r>
      <w:r w:rsidR="009B238F">
        <w:rPr>
          <w:rFonts w:ascii="Verdana" w:hAnsi="Verdana"/>
          <w:sz w:val="18"/>
          <w:szCs w:val="18"/>
        </w:rPr>
        <w:t>, as necessary to assist Covered Entity to comply with the requirements of 45 C.F.R. §§ 164.524 and 164.526</w:t>
      </w:r>
      <w:r w:rsidR="00641364">
        <w:rPr>
          <w:rFonts w:ascii="Verdana" w:hAnsi="Verdana"/>
          <w:sz w:val="18"/>
          <w:szCs w:val="18"/>
        </w:rPr>
        <w:t xml:space="preserve">.  </w:t>
      </w:r>
      <w:r w:rsidR="009B238F">
        <w:rPr>
          <w:rFonts w:ascii="Verdana" w:hAnsi="Verdana"/>
          <w:sz w:val="18"/>
          <w:szCs w:val="18"/>
        </w:rPr>
        <w:t xml:space="preserve">Further, </w:t>
      </w:r>
      <w:r w:rsidRPr="000412DD">
        <w:rPr>
          <w:rFonts w:ascii="Verdana" w:hAnsi="Verdana"/>
          <w:sz w:val="18"/>
          <w:szCs w:val="18"/>
        </w:rPr>
        <w:t xml:space="preserve">Microsoft shall make available to Covered Entity such information as is in Microsoft’s possession and is required for Covered Entity to make the accounting required by 45 C.F.R. </w:t>
      </w:r>
      <w:r w:rsidRPr="000412DD">
        <w:rPr>
          <w:rFonts w:ascii="Verdana" w:hAnsi="Verdana"/>
          <w:sz w:val="18"/>
          <w:szCs w:val="18"/>
        </w:rPr>
        <w:lastRenderedPageBreak/>
        <w:t>§ 164.528.</w:t>
      </w:r>
    </w:p>
    <w:p w:rsidR="003C13D8" w:rsidRPr="000412DD" w:rsidRDefault="003C13D8" w:rsidP="003C13D8">
      <w:pPr>
        <w:rPr>
          <w:rFonts w:ascii="Verdana" w:hAnsi="Verdana"/>
          <w:sz w:val="18"/>
          <w:szCs w:val="18"/>
        </w:rPr>
      </w:pPr>
    </w:p>
    <w:p w:rsidR="003C13D8" w:rsidRPr="000412DD" w:rsidRDefault="003C13D8" w:rsidP="003C13D8">
      <w:pPr>
        <w:ind w:firstLine="720"/>
        <w:rPr>
          <w:rFonts w:ascii="Verdana" w:hAnsi="Verdana"/>
          <w:sz w:val="18"/>
          <w:szCs w:val="18"/>
        </w:rPr>
      </w:pPr>
      <w:proofErr w:type="gramStart"/>
      <w:r w:rsidRPr="000412DD">
        <w:rPr>
          <w:rFonts w:ascii="Verdana" w:hAnsi="Verdana"/>
          <w:b/>
          <w:bCs/>
          <w:sz w:val="18"/>
          <w:szCs w:val="18"/>
        </w:rPr>
        <w:t>Section 1.</w:t>
      </w:r>
      <w:r>
        <w:rPr>
          <w:rFonts w:ascii="Verdana" w:hAnsi="Verdana"/>
          <w:b/>
          <w:bCs/>
          <w:sz w:val="18"/>
          <w:szCs w:val="18"/>
        </w:rPr>
        <w:t>6</w:t>
      </w:r>
      <w:r w:rsidRPr="000412DD">
        <w:rPr>
          <w:rFonts w:ascii="Verdana" w:hAnsi="Verdana"/>
          <w:b/>
          <w:bCs/>
          <w:sz w:val="18"/>
          <w:szCs w:val="18"/>
        </w:rPr>
        <w:tab/>
      </w:r>
      <w:r w:rsidRPr="000412DD">
        <w:rPr>
          <w:rFonts w:ascii="Verdana" w:hAnsi="Verdana"/>
          <w:b/>
          <w:bCs/>
          <w:sz w:val="18"/>
          <w:szCs w:val="18"/>
          <w:u w:val="single"/>
        </w:rPr>
        <w:t>Availability of Books and Records</w:t>
      </w:r>
      <w:r w:rsidRPr="000412DD">
        <w:rPr>
          <w:rFonts w:ascii="Verdana" w:hAnsi="Verdana"/>
          <w:b/>
          <w:bCs/>
          <w:sz w:val="18"/>
          <w:szCs w:val="18"/>
        </w:rPr>
        <w:t>.</w:t>
      </w:r>
      <w:proofErr w:type="gramEnd"/>
      <w:r w:rsidRPr="000412DD">
        <w:rPr>
          <w:rFonts w:ascii="Verdana" w:hAnsi="Verdana"/>
          <w:sz w:val="18"/>
          <w:szCs w:val="18"/>
        </w:rPr>
        <w:t xml:space="preserve">  Microsoft shall make its internal practices, books and records relating to the use and disclosure of Protected Health Information available to the Secretary of the Department of Health and Human Services, upon request, for purposes of determining Covered Entity’s compliance with the Privacy</w:t>
      </w:r>
      <w:r>
        <w:rPr>
          <w:rFonts w:ascii="Verdana" w:hAnsi="Verdana"/>
          <w:sz w:val="18"/>
          <w:szCs w:val="18"/>
        </w:rPr>
        <w:t xml:space="preserve"> Standards</w:t>
      </w:r>
      <w:r w:rsidRPr="000412DD">
        <w:rPr>
          <w:rFonts w:ascii="Verdana" w:hAnsi="Verdana"/>
          <w:sz w:val="18"/>
          <w:szCs w:val="18"/>
        </w:rPr>
        <w:t xml:space="preserve"> or Security Standards.</w:t>
      </w:r>
    </w:p>
    <w:p w:rsidR="003C13D8" w:rsidRPr="000412DD" w:rsidRDefault="003C13D8" w:rsidP="003C13D8">
      <w:pPr>
        <w:ind w:firstLine="720"/>
        <w:rPr>
          <w:rFonts w:ascii="Verdana" w:hAnsi="Verdana"/>
          <w:sz w:val="18"/>
          <w:szCs w:val="18"/>
        </w:rPr>
      </w:pPr>
    </w:p>
    <w:p w:rsidR="003C13D8" w:rsidRPr="000412DD" w:rsidRDefault="003C13D8" w:rsidP="003C13D8">
      <w:pPr>
        <w:keepNext/>
        <w:keepLines/>
        <w:rPr>
          <w:rFonts w:ascii="Verdana" w:hAnsi="Verdana"/>
          <w:b/>
          <w:bCs/>
          <w:sz w:val="18"/>
          <w:szCs w:val="18"/>
        </w:rPr>
      </w:pPr>
      <w:r w:rsidRPr="000412DD">
        <w:rPr>
          <w:rFonts w:ascii="Verdana" w:hAnsi="Verdana"/>
          <w:b/>
          <w:bCs/>
          <w:sz w:val="18"/>
          <w:szCs w:val="18"/>
        </w:rPr>
        <w:t>2.</w:t>
      </w:r>
      <w:r w:rsidRPr="000412DD">
        <w:rPr>
          <w:rFonts w:ascii="Verdana" w:hAnsi="Verdana"/>
          <w:b/>
          <w:bCs/>
          <w:sz w:val="18"/>
          <w:szCs w:val="18"/>
        </w:rPr>
        <w:tab/>
        <w:t>TERMINATION OF AGREEMENT WITH MICROSOFT</w:t>
      </w:r>
    </w:p>
    <w:p w:rsidR="003C13D8" w:rsidRPr="000412DD" w:rsidRDefault="003C13D8" w:rsidP="003C13D8">
      <w:pPr>
        <w:keepNext/>
        <w:keepLines/>
        <w:rPr>
          <w:rFonts w:ascii="Verdana" w:hAnsi="Verdana"/>
          <w:sz w:val="18"/>
          <w:szCs w:val="18"/>
        </w:rPr>
      </w:pPr>
    </w:p>
    <w:p w:rsidR="003C13D8" w:rsidRPr="000412DD" w:rsidRDefault="003C13D8" w:rsidP="003C13D8">
      <w:pPr>
        <w:ind w:firstLine="720"/>
        <w:rPr>
          <w:rFonts w:ascii="Verdana" w:hAnsi="Verdana"/>
          <w:sz w:val="18"/>
          <w:szCs w:val="18"/>
        </w:rPr>
      </w:pPr>
      <w:r w:rsidRPr="000412DD">
        <w:rPr>
          <w:rFonts w:ascii="Verdana" w:hAnsi="Verdana"/>
          <w:b/>
          <w:bCs/>
          <w:sz w:val="18"/>
          <w:szCs w:val="18"/>
        </w:rPr>
        <w:t>Section 2.1</w:t>
      </w:r>
      <w:r w:rsidRPr="000412DD">
        <w:rPr>
          <w:rFonts w:ascii="Verdana" w:hAnsi="Verdana"/>
          <w:b/>
          <w:bCs/>
          <w:sz w:val="18"/>
          <w:szCs w:val="18"/>
        </w:rPr>
        <w:tab/>
      </w:r>
      <w:r w:rsidRPr="000412DD">
        <w:rPr>
          <w:rFonts w:ascii="Verdana" w:hAnsi="Verdana"/>
          <w:b/>
          <w:bCs/>
          <w:sz w:val="18"/>
          <w:szCs w:val="18"/>
          <w:u w:val="single"/>
        </w:rPr>
        <w:t xml:space="preserve">Termination </w:t>
      </w:r>
      <w:proofErr w:type="gramStart"/>
      <w:r w:rsidRPr="000412DD">
        <w:rPr>
          <w:rFonts w:ascii="Verdana" w:hAnsi="Verdana"/>
          <w:b/>
          <w:bCs/>
          <w:sz w:val="18"/>
          <w:szCs w:val="18"/>
          <w:u w:val="single"/>
        </w:rPr>
        <w:t>Upon</w:t>
      </w:r>
      <w:proofErr w:type="gramEnd"/>
      <w:r w:rsidRPr="000412DD">
        <w:rPr>
          <w:rFonts w:ascii="Verdana" w:hAnsi="Verdana"/>
          <w:b/>
          <w:bCs/>
          <w:sz w:val="18"/>
          <w:szCs w:val="18"/>
          <w:u w:val="single"/>
        </w:rPr>
        <w:t xml:space="preserve"> Breach of Provisions Applicable to Protected Health Information</w:t>
      </w:r>
      <w:r w:rsidRPr="000412DD">
        <w:rPr>
          <w:rFonts w:ascii="Verdana" w:hAnsi="Verdana"/>
          <w:b/>
          <w:bCs/>
          <w:sz w:val="18"/>
          <w:szCs w:val="18"/>
        </w:rPr>
        <w:t>.</w:t>
      </w:r>
      <w:r w:rsidRPr="000412DD">
        <w:rPr>
          <w:rFonts w:ascii="Verdana" w:hAnsi="Verdana"/>
          <w:sz w:val="18"/>
          <w:szCs w:val="18"/>
        </w:rPr>
        <w:t xml:space="preserve">  Any other provision of the HealthVault Agreement notwithstanding, in the event of an actual material breach of this Agreement that has not been cured within thirty (30) business days of Microsoft’s receipt of written notice specifying the nature or circumstances of the alleged breach, the HealthVault Agreement may be terminated by Covered Entity upon an additional thirty (30) business days written notice to Microsoft.</w:t>
      </w:r>
    </w:p>
    <w:p w:rsidR="003C13D8" w:rsidRPr="000412DD" w:rsidRDefault="003C13D8" w:rsidP="003C13D8">
      <w:pPr>
        <w:rPr>
          <w:rFonts w:ascii="Verdana" w:hAnsi="Verdana"/>
          <w:sz w:val="18"/>
          <w:szCs w:val="18"/>
        </w:rPr>
      </w:pPr>
    </w:p>
    <w:p w:rsidR="003C13D8" w:rsidRPr="000412DD" w:rsidRDefault="003C13D8" w:rsidP="003C13D8">
      <w:pPr>
        <w:ind w:firstLine="720"/>
        <w:rPr>
          <w:rFonts w:ascii="Verdana" w:hAnsi="Verdana"/>
          <w:sz w:val="18"/>
          <w:szCs w:val="18"/>
        </w:rPr>
      </w:pPr>
      <w:proofErr w:type="gramStart"/>
      <w:r w:rsidRPr="000412DD">
        <w:rPr>
          <w:rFonts w:ascii="Verdana" w:hAnsi="Verdana"/>
          <w:b/>
          <w:bCs/>
          <w:sz w:val="18"/>
          <w:szCs w:val="18"/>
        </w:rPr>
        <w:t>Section 2.2</w:t>
      </w:r>
      <w:r w:rsidRPr="000412DD">
        <w:rPr>
          <w:rFonts w:ascii="Verdana" w:hAnsi="Verdana"/>
          <w:b/>
          <w:bCs/>
          <w:sz w:val="18"/>
          <w:szCs w:val="18"/>
        </w:rPr>
        <w:tab/>
      </w:r>
      <w:r w:rsidRPr="000412DD">
        <w:rPr>
          <w:rFonts w:ascii="Verdana" w:hAnsi="Verdana"/>
          <w:b/>
          <w:bCs/>
          <w:sz w:val="18"/>
          <w:szCs w:val="18"/>
          <w:u w:val="single"/>
        </w:rPr>
        <w:t>Effect of Termination of HealthVault Agreement</w:t>
      </w:r>
      <w:r w:rsidRPr="000412DD">
        <w:rPr>
          <w:rFonts w:ascii="Verdana" w:hAnsi="Verdana"/>
          <w:b/>
          <w:bCs/>
          <w:sz w:val="18"/>
          <w:szCs w:val="18"/>
        </w:rPr>
        <w:t>.</w:t>
      </w:r>
      <w:proofErr w:type="gramEnd"/>
      <w:r w:rsidRPr="000412DD">
        <w:rPr>
          <w:rFonts w:ascii="Verdana" w:hAnsi="Verdana"/>
          <w:sz w:val="18"/>
          <w:szCs w:val="18"/>
        </w:rPr>
        <w:t xml:space="preserve">  In the event of termination or expiration of the HealthVault Agreement, this Agreement shall terminate subject to Microsoft’s duty to return or destroy Protected Health Information as set forth in Section 2.3 below.</w:t>
      </w:r>
    </w:p>
    <w:p w:rsidR="003C13D8" w:rsidRPr="000412DD" w:rsidRDefault="003C13D8" w:rsidP="003C13D8">
      <w:pPr>
        <w:rPr>
          <w:rFonts w:ascii="Verdana" w:hAnsi="Verdana"/>
          <w:sz w:val="18"/>
          <w:szCs w:val="18"/>
        </w:rPr>
      </w:pPr>
    </w:p>
    <w:p w:rsidR="003C13D8" w:rsidRPr="000412DD" w:rsidRDefault="003C13D8" w:rsidP="003C13D8">
      <w:pPr>
        <w:ind w:firstLine="720"/>
        <w:rPr>
          <w:rFonts w:ascii="Verdana" w:hAnsi="Verdana"/>
          <w:sz w:val="18"/>
          <w:szCs w:val="18"/>
        </w:rPr>
      </w:pPr>
      <w:proofErr w:type="gramStart"/>
      <w:r w:rsidRPr="000412DD">
        <w:rPr>
          <w:rFonts w:ascii="Verdana" w:hAnsi="Verdana"/>
          <w:b/>
          <w:bCs/>
          <w:sz w:val="18"/>
          <w:szCs w:val="18"/>
        </w:rPr>
        <w:t>Section 2.3</w:t>
      </w:r>
      <w:r w:rsidRPr="000412DD">
        <w:rPr>
          <w:rFonts w:ascii="Verdana" w:hAnsi="Verdana"/>
          <w:b/>
          <w:bCs/>
          <w:sz w:val="18"/>
          <w:szCs w:val="18"/>
        </w:rPr>
        <w:tab/>
      </w:r>
      <w:r w:rsidRPr="000412DD">
        <w:rPr>
          <w:rFonts w:ascii="Verdana" w:hAnsi="Verdana"/>
          <w:b/>
          <w:bCs/>
          <w:sz w:val="18"/>
          <w:szCs w:val="18"/>
          <w:u w:val="single"/>
        </w:rPr>
        <w:t>Return or Destruction of Protected Health Information upon Termination</w:t>
      </w:r>
      <w:r w:rsidRPr="000412DD">
        <w:rPr>
          <w:rFonts w:ascii="Verdana" w:hAnsi="Verdana"/>
          <w:b/>
          <w:bCs/>
          <w:sz w:val="18"/>
          <w:szCs w:val="18"/>
        </w:rPr>
        <w:t>.</w:t>
      </w:r>
      <w:proofErr w:type="gramEnd"/>
      <w:r w:rsidRPr="000412DD">
        <w:rPr>
          <w:rFonts w:ascii="Verdana" w:hAnsi="Verdana"/>
          <w:sz w:val="18"/>
          <w:szCs w:val="18"/>
        </w:rPr>
        <w:t xml:space="preserve">  Upon termination of the this Agreement, Microsoft shall</w:t>
      </w:r>
      <w:r>
        <w:rPr>
          <w:rFonts w:ascii="Verdana" w:hAnsi="Verdana"/>
          <w:sz w:val="18"/>
          <w:szCs w:val="18"/>
        </w:rPr>
        <w:t>, if feasible,</w:t>
      </w:r>
      <w:r w:rsidRPr="000412DD">
        <w:rPr>
          <w:rFonts w:ascii="Verdana" w:hAnsi="Verdana"/>
          <w:sz w:val="18"/>
          <w:szCs w:val="18"/>
        </w:rPr>
        <w:t xml:space="preserve"> either </w:t>
      </w:r>
      <w:r>
        <w:rPr>
          <w:rFonts w:ascii="Verdana" w:hAnsi="Verdana"/>
          <w:sz w:val="18"/>
          <w:szCs w:val="18"/>
        </w:rPr>
        <w:t>return</w:t>
      </w:r>
      <w:r w:rsidRPr="000412DD">
        <w:rPr>
          <w:rFonts w:ascii="Verdana" w:hAnsi="Verdana"/>
          <w:sz w:val="18"/>
          <w:szCs w:val="18"/>
        </w:rPr>
        <w:t xml:space="preserve"> or destroy all Protected Health Information </w:t>
      </w:r>
      <w:r>
        <w:rPr>
          <w:rFonts w:ascii="Verdana" w:hAnsi="Verdana"/>
          <w:sz w:val="18"/>
          <w:szCs w:val="18"/>
        </w:rPr>
        <w:t xml:space="preserve">that is subject to this Agreement </w:t>
      </w:r>
      <w:r w:rsidRPr="000412DD">
        <w:rPr>
          <w:rFonts w:ascii="Verdana" w:hAnsi="Verdana"/>
          <w:sz w:val="18"/>
          <w:szCs w:val="18"/>
        </w:rPr>
        <w:t xml:space="preserve">and which Microsoft still maintains in any form as provided in the HealthVault Agreement.  </w:t>
      </w:r>
      <w:r w:rsidRPr="00D12D22">
        <w:rPr>
          <w:rFonts w:ascii="Verdana" w:hAnsi="Verdana"/>
          <w:b/>
          <w:bCs/>
          <w:sz w:val="18"/>
          <w:szCs w:val="18"/>
        </w:rPr>
        <w:t>To the extent that the End-User Terms or the HealthVault Agreement require Microsoft to maintain Protected Health Information, the terms and provisions of this Agreement shall survive termination or expiration of this Agreement and such Protected Health Information shall be used or disclosed solely as authorized or required under the End-User Terms or the HealthVault Agreement.</w:t>
      </w:r>
    </w:p>
    <w:p w:rsidR="003C13D8" w:rsidRPr="000412DD" w:rsidRDefault="003C13D8" w:rsidP="003C13D8">
      <w:pPr>
        <w:rPr>
          <w:rFonts w:ascii="Verdana" w:hAnsi="Verdana"/>
          <w:sz w:val="18"/>
          <w:szCs w:val="18"/>
        </w:rPr>
      </w:pPr>
    </w:p>
    <w:p w:rsidR="003C13D8" w:rsidRPr="000412DD" w:rsidRDefault="003C13D8" w:rsidP="003C13D8">
      <w:pPr>
        <w:keepNext/>
        <w:keepLines/>
        <w:rPr>
          <w:rFonts w:ascii="Verdana" w:hAnsi="Verdana"/>
          <w:b/>
          <w:bCs/>
          <w:sz w:val="18"/>
          <w:szCs w:val="18"/>
        </w:rPr>
      </w:pPr>
      <w:r w:rsidRPr="000412DD">
        <w:rPr>
          <w:rFonts w:ascii="Verdana" w:hAnsi="Verdana"/>
          <w:b/>
          <w:bCs/>
          <w:sz w:val="18"/>
          <w:szCs w:val="18"/>
        </w:rPr>
        <w:t>3.</w:t>
      </w:r>
      <w:r w:rsidRPr="000412DD">
        <w:rPr>
          <w:rFonts w:ascii="Verdana" w:hAnsi="Verdana"/>
          <w:b/>
          <w:bCs/>
          <w:sz w:val="18"/>
          <w:szCs w:val="18"/>
        </w:rPr>
        <w:tab/>
        <w:t>GENERAL PROVISIONS</w:t>
      </w:r>
    </w:p>
    <w:p w:rsidR="003C13D8" w:rsidRPr="000412DD" w:rsidRDefault="003C13D8" w:rsidP="003C13D8">
      <w:pPr>
        <w:keepNext/>
        <w:keepLines/>
        <w:rPr>
          <w:rFonts w:ascii="Verdana" w:hAnsi="Verdana"/>
          <w:sz w:val="18"/>
          <w:szCs w:val="18"/>
        </w:rPr>
      </w:pPr>
    </w:p>
    <w:p w:rsidR="003C13D8" w:rsidRDefault="003C13D8" w:rsidP="003C13D8">
      <w:pPr>
        <w:ind w:firstLine="720"/>
        <w:rPr>
          <w:rFonts w:ascii="Verdana" w:hAnsi="Verdana"/>
          <w:sz w:val="18"/>
          <w:szCs w:val="18"/>
        </w:rPr>
      </w:pPr>
      <w:proofErr w:type="gramStart"/>
      <w:r w:rsidRPr="000412DD">
        <w:rPr>
          <w:rFonts w:ascii="Verdana" w:hAnsi="Verdana"/>
          <w:b/>
          <w:bCs/>
          <w:sz w:val="18"/>
          <w:szCs w:val="18"/>
        </w:rPr>
        <w:t>Section 3.1</w:t>
      </w:r>
      <w:r w:rsidRPr="000412DD">
        <w:rPr>
          <w:rFonts w:ascii="Verdana" w:hAnsi="Verdana"/>
          <w:b/>
          <w:bCs/>
          <w:sz w:val="18"/>
          <w:szCs w:val="18"/>
        </w:rPr>
        <w:tab/>
      </w:r>
      <w:r w:rsidRPr="000412DD">
        <w:rPr>
          <w:rFonts w:ascii="Verdana" w:hAnsi="Verdana"/>
          <w:b/>
          <w:bCs/>
          <w:sz w:val="18"/>
          <w:szCs w:val="18"/>
          <w:u w:val="single"/>
        </w:rPr>
        <w:t>Effect</w:t>
      </w:r>
      <w:r w:rsidRPr="000412DD">
        <w:rPr>
          <w:rFonts w:ascii="Verdana" w:hAnsi="Verdana"/>
          <w:b/>
          <w:bCs/>
          <w:sz w:val="18"/>
          <w:szCs w:val="18"/>
        </w:rPr>
        <w:t>.</w:t>
      </w:r>
      <w:proofErr w:type="gramEnd"/>
      <w:r w:rsidRPr="000412DD">
        <w:rPr>
          <w:rFonts w:ascii="Verdana" w:hAnsi="Verdana"/>
          <w:sz w:val="18"/>
          <w:szCs w:val="18"/>
        </w:rPr>
        <w:t xml:space="preserve">  </w:t>
      </w:r>
      <w:r w:rsidR="00641364">
        <w:rPr>
          <w:rFonts w:ascii="Verdana" w:hAnsi="Verdana"/>
          <w:sz w:val="18"/>
          <w:szCs w:val="18"/>
        </w:rPr>
        <w:t>With respect to the use or disclosure of or access to Protected Health Information, t</w:t>
      </w:r>
      <w:r w:rsidR="00641364" w:rsidRPr="000412DD">
        <w:rPr>
          <w:rFonts w:ascii="Verdana" w:hAnsi="Verdana"/>
          <w:sz w:val="18"/>
          <w:szCs w:val="18"/>
        </w:rPr>
        <w:t xml:space="preserve">he </w:t>
      </w:r>
      <w:r w:rsidRPr="000412DD">
        <w:rPr>
          <w:rFonts w:ascii="Verdana" w:hAnsi="Verdana"/>
          <w:sz w:val="18"/>
          <w:szCs w:val="18"/>
        </w:rPr>
        <w:t>terms and provisions of this Agreement shall supersede any other conflicting or inconsistent terms and provisions in the HealthVault Agreement, including all exhibits or other attachments thereto and all documents incorporated therein by reference. Nothing herein shall be construed to require Microsoft to violate the End-User Terms (for example, by disclosing End-Users’ personal or health information to Covered Entity in violation of the End-User Terms).</w:t>
      </w:r>
    </w:p>
    <w:p w:rsidR="003C13D8" w:rsidRDefault="003C13D8" w:rsidP="003C13D8">
      <w:pPr>
        <w:rPr>
          <w:rFonts w:ascii="Verdana" w:hAnsi="Verdana"/>
          <w:b/>
          <w:i/>
          <w:sz w:val="18"/>
          <w:szCs w:val="18"/>
        </w:rPr>
      </w:pPr>
    </w:p>
    <w:p w:rsidR="003C13D8" w:rsidRPr="000412DD" w:rsidRDefault="003C13D8" w:rsidP="003C13D8">
      <w:pPr>
        <w:rPr>
          <w:rFonts w:ascii="Verdana" w:hAnsi="Verdana"/>
          <w:sz w:val="18"/>
          <w:szCs w:val="18"/>
        </w:rPr>
      </w:pPr>
    </w:p>
    <w:p w:rsidR="003C13D8" w:rsidRPr="000412DD" w:rsidRDefault="003C13D8" w:rsidP="003C13D8">
      <w:pPr>
        <w:ind w:firstLine="720"/>
        <w:rPr>
          <w:rFonts w:ascii="Verdana" w:hAnsi="Verdana"/>
          <w:sz w:val="18"/>
          <w:szCs w:val="18"/>
        </w:rPr>
      </w:pPr>
      <w:proofErr w:type="gramStart"/>
      <w:r w:rsidRPr="000412DD">
        <w:rPr>
          <w:rFonts w:ascii="Verdana" w:hAnsi="Verdana"/>
          <w:b/>
          <w:bCs/>
          <w:sz w:val="18"/>
          <w:szCs w:val="18"/>
        </w:rPr>
        <w:t>Section 3.2</w:t>
      </w:r>
      <w:r w:rsidRPr="000412DD">
        <w:rPr>
          <w:rFonts w:ascii="Verdana" w:hAnsi="Verdana"/>
          <w:b/>
          <w:bCs/>
          <w:sz w:val="18"/>
          <w:szCs w:val="18"/>
        </w:rPr>
        <w:tab/>
      </w:r>
      <w:r w:rsidRPr="000412DD">
        <w:rPr>
          <w:rFonts w:ascii="Verdana" w:hAnsi="Verdana"/>
          <w:b/>
          <w:bCs/>
          <w:sz w:val="18"/>
          <w:szCs w:val="18"/>
          <w:u w:val="single"/>
        </w:rPr>
        <w:t>Amendment</w:t>
      </w:r>
      <w:r w:rsidRPr="000412DD">
        <w:rPr>
          <w:rFonts w:ascii="Verdana" w:hAnsi="Verdana"/>
          <w:b/>
          <w:bCs/>
          <w:sz w:val="18"/>
          <w:szCs w:val="18"/>
        </w:rPr>
        <w:t>.</w:t>
      </w:r>
      <w:proofErr w:type="gramEnd"/>
      <w:r w:rsidRPr="000412DD">
        <w:rPr>
          <w:rFonts w:ascii="Verdana" w:hAnsi="Verdana"/>
          <w:sz w:val="18"/>
          <w:szCs w:val="18"/>
        </w:rPr>
        <w:t xml:space="preserve">  Microsoft and Covered Entity agree to amend </w:t>
      </w:r>
      <w:r w:rsidR="00641364">
        <w:rPr>
          <w:rFonts w:ascii="Verdana" w:hAnsi="Verdana"/>
          <w:sz w:val="18"/>
          <w:szCs w:val="18"/>
        </w:rPr>
        <w:t xml:space="preserve">further </w:t>
      </w:r>
      <w:r w:rsidR="00641364" w:rsidRPr="000412DD">
        <w:rPr>
          <w:rFonts w:ascii="Verdana" w:hAnsi="Verdana"/>
          <w:sz w:val="18"/>
          <w:szCs w:val="18"/>
        </w:rPr>
        <w:t>th</w:t>
      </w:r>
      <w:r w:rsidR="00641364">
        <w:rPr>
          <w:rFonts w:ascii="Verdana" w:hAnsi="Verdana"/>
          <w:sz w:val="18"/>
          <w:szCs w:val="18"/>
        </w:rPr>
        <w:t>e</w:t>
      </w:r>
      <w:r w:rsidR="00641364" w:rsidRPr="000412DD">
        <w:rPr>
          <w:rFonts w:ascii="Verdana" w:hAnsi="Verdana"/>
          <w:sz w:val="18"/>
          <w:szCs w:val="18"/>
        </w:rPr>
        <w:t xml:space="preserve"> </w:t>
      </w:r>
      <w:r w:rsidR="00641364">
        <w:rPr>
          <w:rFonts w:ascii="Verdana" w:hAnsi="Verdana"/>
          <w:sz w:val="18"/>
          <w:szCs w:val="18"/>
        </w:rPr>
        <w:t xml:space="preserve">HealthVault </w:t>
      </w:r>
      <w:r w:rsidRPr="000412DD">
        <w:rPr>
          <w:rFonts w:ascii="Verdana" w:hAnsi="Verdana"/>
          <w:sz w:val="18"/>
          <w:szCs w:val="18"/>
        </w:rPr>
        <w:t xml:space="preserve">Agreement </w:t>
      </w:r>
      <w:r w:rsidR="00641364">
        <w:rPr>
          <w:rFonts w:ascii="Verdana" w:hAnsi="Verdana"/>
          <w:sz w:val="18"/>
          <w:szCs w:val="18"/>
        </w:rPr>
        <w:t xml:space="preserve">and these terms </w:t>
      </w:r>
      <w:r w:rsidRPr="000412DD">
        <w:rPr>
          <w:rFonts w:ascii="Verdana" w:hAnsi="Verdana"/>
          <w:sz w:val="18"/>
          <w:szCs w:val="18"/>
        </w:rPr>
        <w:t>to the extent necessary to allow either party to comply with the Privacy Standards and the Security Standards as the same may be amended or recodified by the Secretary, or other applicable regulations or statutes.</w:t>
      </w:r>
    </w:p>
    <w:p w:rsidR="003C13D8" w:rsidRPr="000412DD" w:rsidRDefault="003C13D8" w:rsidP="003C13D8">
      <w:pPr>
        <w:rPr>
          <w:rFonts w:ascii="Verdana" w:hAnsi="Verdana"/>
          <w:sz w:val="18"/>
          <w:szCs w:val="18"/>
        </w:rPr>
      </w:pPr>
    </w:p>
    <w:p w:rsidR="003C13D8" w:rsidRDefault="003C13D8" w:rsidP="003C13D8">
      <w:pPr>
        <w:tabs>
          <w:tab w:val="left" w:pos="720"/>
        </w:tabs>
        <w:spacing w:after="240"/>
        <w:rPr>
          <w:rFonts w:ascii="Verdana" w:hAnsi="Verdana"/>
          <w:sz w:val="18"/>
          <w:szCs w:val="18"/>
        </w:rPr>
      </w:pPr>
      <w:r w:rsidRPr="000412DD">
        <w:rPr>
          <w:rFonts w:ascii="Verdana" w:hAnsi="Verdana"/>
          <w:sz w:val="18"/>
          <w:szCs w:val="18"/>
        </w:rPr>
        <w:tab/>
      </w:r>
      <w:r w:rsidRPr="000412DD">
        <w:rPr>
          <w:rFonts w:ascii="Verdana" w:hAnsi="Verdana"/>
          <w:b/>
          <w:bCs/>
          <w:sz w:val="18"/>
          <w:szCs w:val="18"/>
        </w:rPr>
        <w:t>Section 3.3</w:t>
      </w:r>
      <w:r w:rsidRPr="000412DD">
        <w:rPr>
          <w:rFonts w:ascii="Verdana" w:hAnsi="Verdana"/>
          <w:b/>
          <w:bCs/>
          <w:sz w:val="18"/>
          <w:szCs w:val="18"/>
        </w:rPr>
        <w:tab/>
      </w:r>
      <w:r w:rsidRPr="000412DD">
        <w:rPr>
          <w:rFonts w:ascii="Verdana" w:hAnsi="Verdana"/>
          <w:b/>
          <w:bCs/>
          <w:sz w:val="18"/>
          <w:szCs w:val="18"/>
          <w:u w:val="single"/>
        </w:rPr>
        <w:t>Defined Terms</w:t>
      </w:r>
      <w:r w:rsidRPr="000412DD">
        <w:rPr>
          <w:rFonts w:ascii="Verdana" w:hAnsi="Verdana"/>
          <w:b/>
          <w:bCs/>
          <w:sz w:val="18"/>
          <w:szCs w:val="18"/>
        </w:rPr>
        <w:t>.</w:t>
      </w:r>
      <w:r w:rsidRPr="000412DD">
        <w:rPr>
          <w:rFonts w:ascii="Verdana" w:hAnsi="Verdana"/>
          <w:sz w:val="18"/>
          <w:szCs w:val="18"/>
        </w:rPr>
        <w:t xml:space="preserve">  Capitalized terms used </w:t>
      </w:r>
      <w:r w:rsidR="00FC4750">
        <w:rPr>
          <w:rFonts w:ascii="Verdana" w:hAnsi="Verdana"/>
          <w:sz w:val="18"/>
          <w:szCs w:val="18"/>
        </w:rPr>
        <w:t xml:space="preserve">in this Agreement </w:t>
      </w:r>
      <w:r>
        <w:rPr>
          <w:rFonts w:ascii="Verdana" w:hAnsi="Verdana"/>
          <w:sz w:val="18"/>
          <w:szCs w:val="18"/>
        </w:rPr>
        <w:t xml:space="preserve">and not otherwise defined herein </w:t>
      </w:r>
      <w:r w:rsidRPr="000412DD">
        <w:rPr>
          <w:rFonts w:ascii="Verdana" w:hAnsi="Verdana"/>
          <w:sz w:val="18"/>
          <w:szCs w:val="18"/>
        </w:rPr>
        <w:t>shall have the meaning as defined in the Privacy</w:t>
      </w:r>
      <w:r>
        <w:rPr>
          <w:rFonts w:ascii="Verdana" w:hAnsi="Verdana"/>
          <w:sz w:val="18"/>
          <w:szCs w:val="18"/>
        </w:rPr>
        <w:t xml:space="preserve"> Standards</w:t>
      </w:r>
      <w:r w:rsidRPr="000412DD">
        <w:rPr>
          <w:rFonts w:ascii="Verdana" w:hAnsi="Verdana"/>
          <w:sz w:val="18"/>
          <w:szCs w:val="18"/>
        </w:rPr>
        <w:t xml:space="preserve"> or Security Standards and corresponding official materials published, issued, or promulgated by the Secretary of the Department of Health and Human Services</w:t>
      </w:r>
      <w:r w:rsidRPr="00884FA7">
        <w:rPr>
          <w:rFonts w:ascii="Verdana" w:hAnsi="Verdana"/>
          <w:sz w:val="18"/>
          <w:szCs w:val="18"/>
        </w:rPr>
        <w:t>.</w:t>
      </w:r>
      <w:r w:rsidRPr="000412DD">
        <w:rPr>
          <w:rFonts w:ascii="Verdana" w:hAnsi="Verdana"/>
          <w:sz w:val="18"/>
          <w:szCs w:val="18"/>
        </w:rPr>
        <w:t xml:space="preserve"> “</w:t>
      </w:r>
      <w:r w:rsidRPr="000412DD">
        <w:rPr>
          <w:rFonts w:ascii="Verdana" w:hAnsi="Verdana"/>
          <w:b/>
          <w:sz w:val="18"/>
          <w:szCs w:val="18"/>
        </w:rPr>
        <w:t>Protected Health Information</w:t>
      </w:r>
      <w:r w:rsidRPr="000412DD">
        <w:rPr>
          <w:rFonts w:ascii="Verdana" w:hAnsi="Verdana"/>
          <w:sz w:val="18"/>
          <w:szCs w:val="18"/>
        </w:rPr>
        <w:t>” shall have the same meaning as the term "protected health information" in 45 C.F.R. § 160.103, limited to the information received by Microsoft from or on behalf of Covered Entity in connection with the HealthVault Agreement.</w:t>
      </w:r>
      <w:r>
        <w:rPr>
          <w:rFonts w:ascii="Verdana" w:hAnsi="Verdana"/>
          <w:sz w:val="18"/>
          <w:szCs w:val="18"/>
        </w:rPr>
        <w:t xml:space="preserve">  Protected Health Information does not include and, except for Section 1.2(a), Section 1.6, and this Section 3, this Agreement does not apply to information after it has been transferred by Covered Entity into a HealthVault </w:t>
      </w:r>
      <w:r w:rsidR="00D12D22">
        <w:rPr>
          <w:rFonts w:ascii="Verdana" w:hAnsi="Verdana"/>
          <w:sz w:val="18"/>
          <w:szCs w:val="18"/>
        </w:rPr>
        <w:t>A</w:t>
      </w:r>
      <w:r>
        <w:rPr>
          <w:rFonts w:ascii="Verdana" w:hAnsi="Verdana"/>
          <w:sz w:val="18"/>
          <w:szCs w:val="18"/>
        </w:rPr>
        <w:t>ccount governed by End-User Terms.</w:t>
      </w:r>
    </w:p>
    <w:p w:rsidR="003C13D8" w:rsidRPr="000412DD" w:rsidRDefault="003C13D8" w:rsidP="003C13D8">
      <w:pPr>
        <w:rPr>
          <w:rFonts w:ascii="Verdana" w:hAnsi="Verdana"/>
          <w:sz w:val="18"/>
          <w:szCs w:val="18"/>
        </w:rPr>
      </w:pPr>
    </w:p>
    <w:p w:rsidR="003C13D8" w:rsidRPr="000412DD" w:rsidRDefault="003C13D8" w:rsidP="003C13D8">
      <w:pPr>
        <w:keepNext/>
        <w:keepLines/>
        <w:ind w:firstLine="720"/>
        <w:rPr>
          <w:rFonts w:ascii="Verdana" w:hAnsi="Verdana"/>
          <w:sz w:val="18"/>
          <w:szCs w:val="18"/>
        </w:rPr>
      </w:pPr>
      <w:proofErr w:type="gramStart"/>
      <w:r w:rsidRPr="000412DD">
        <w:rPr>
          <w:rFonts w:ascii="Verdana" w:hAnsi="Verdana"/>
          <w:b/>
          <w:bCs/>
          <w:sz w:val="18"/>
          <w:szCs w:val="18"/>
        </w:rPr>
        <w:t>IN WITNESS WHEREOF,</w:t>
      </w:r>
      <w:r w:rsidRPr="000412DD">
        <w:rPr>
          <w:rFonts w:ascii="Verdana" w:hAnsi="Verdana"/>
          <w:sz w:val="18"/>
          <w:szCs w:val="18"/>
        </w:rPr>
        <w:t xml:space="preserve"> the parties have caused this Agreement to be executed as of the day and year first written above.</w:t>
      </w:r>
      <w:proofErr w:type="gramEnd"/>
    </w:p>
    <w:p w:rsidR="003C13D8" w:rsidRPr="000412DD" w:rsidRDefault="003C13D8" w:rsidP="003C13D8">
      <w:pPr>
        <w:keepNext/>
        <w:keepLines/>
        <w:jc w:val="both"/>
        <w:rPr>
          <w:rFonts w:ascii="Verdana" w:hAnsi="Verdana"/>
          <w:sz w:val="18"/>
          <w:szCs w:val="18"/>
        </w:rPr>
      </w:pPr>
    </w:p>
    <w:tbl>
      <w:tblPr>
        <w:tblW w:w="0" w:type="auto"/>
        <w:tblLayout w:type="fixed"/>
        <w:tblCellMar>
          <w:left w:w="180" w:type="dxa"/>
          <w:right w:w="180" w:type="dxa"/>
        </w:tblCellMar>
        <w:tblLook w:val="0000"/>
      </w:tblPr>
      <w:tblGrid>
        <w:gridCol w:w="4680"/>
        <w:gridCol w:w="4787"/>
      </w:tblGrid>
      <w:tr w:rsidR="003C13D8" w:rsidRPr="00530A98" w:rsidTr="001F7CA9">
        <w:trPr>
          <w:trHeight w:val="865"/>
        </w:trPr>
        <w:tc>
          <w:tcPr>
            <w:tcW w:w="4680" w:type="dxa"/>
            <w:tcBorders>
              <w:top w:val="nil"/>
              <w:left w:val="nil"/>
              <w:bottom w:val="nil"/>
              <w:right w:val="nil"/>
            </w:tcBorders>
          </w:tcPr>
          <w:p w:rsidR="003C13D8" w:rsidRPr="00530A98" w:rsidRDefault="003C13D8" w:rsidP="001F7CA9">
            <w:pPr>
              <w:keepNext/>
              <w:keepLines/>
              <w:jc w:val="both"/>
              <w:rPr>
                <w:rFonts w:ascii="Verdana" w:hAnsi="Verdana"/>
                <w:sz w:val="18"/>
                <w:szCs w:val="18"/>
              </w:rPr>
            </w:pPr>
            <w:r w:rsidRPr="00530A98">
              <w:rPr>
                <w:rFonts w:ascii="Verdana" w:hAnsi="Verdana"/>
                <w:b/>
                <w:bCs/>
                <w:sz w:val="18"/>
                <w:szCs w:val="18"/>
              </w:rPr>
              <w:t>MICROSOFT CORPORATION</w:t>
            </w:r>
          </w:p>
          <w:p w:rsidR="003C13D8" w:rsidRPr="00530A98" w:rsidRDefault="003C13D8" w:rsidP="001F7CA9">
            <w:pPr>
              <w:keepNext/>
              <w:keepLines/>
              <w:jc w:val="both"/>
              <w:rPr>
                <w:rFonts w:ascii="Verdana" w:hAnsi="Verdana"/>
                <w:sz w:val="18"/>
                <w:szCs w:val="18"/>
              </w:rPr>
            </w:pPr>
          </w:p>
          <w:p w:rsidR="003C13D8" w:rsidRPr="00530A98" w:rsidRDefault="003C13D8" w:rsidP="001F7CA9">
            <w:pPr>
              <w:keepNext/>
              <w:keepLines/>
              <w:jc w:val="both"/>
              <w:rPr>
                <w:rFonts w:ascii="Verdana" w:hAnsi="Verdana"/>
                <w:sz w:val="18"/>
                <w:szCs w:val="18"/>
              </w:rPr>
            </w:pPr>
          </w:p>
        </w:tc>
        <w:tc>
          <w:tcPr>
            <w:tcW w:w="4787" w:type="dxa"/>
            <w:tcBorders>
              <w:top w:val="nil"/>
              <w:left w:val="nil"/>
              <w:bottom w:val="nil"/>
              <w:right w:val="nil"/>
            </w:tcBorders>
          </w:tcPr>
          <w:p w:rsidR="003C13D8" w:rsidRPr="00530A98" w:rsidRDefault="003C13D8" w:rsidP="001F7CA9">
            <w:pPr>
              <w:keepNext/>
              <w:keepLines/>
              <w:jc w:val="both"/>
              <w:rPr>
                <w:rFonts w:ascii="Verdana" w:hAnsi="Verdana"/>
                <w:b/>
                <w:bCs/>
                <w:sz w:val="18"/>
                <w:szCs w:val="18"/>
              </w:rPr>
            </w:pPr>
            <w:r w:rsidRPr="00530A98">
              <w:rPr>
                <w:rFonts w:ascii="Verdana" w:hAnsi="Verdana"/>
                <w:b/>
                <w:bCs/>
                <w:sz w:val="18"/>
                <w:szCs w:val="18"/>
              </w:rPr>
              <w:t xml:space="preserve">COVERED ENTITY: </w:t>
            </w:r>
          </w:p>
          <w:p w:rsidR="003C13D8" w:rsidRPr="00530A98" w:rsidRDefault="003C13D8" w:rsidP="001F7CA9">
            <w:pPr>
              <w:keepNext/>
              <w:keepLines/>
              <w:jc w:val="both"/>
              <w:rPr>
                <w:rFonts w:ascii="Verdana" w:hAnsi="Verdana"/>
                <w:sz w:val="18"/>
                <w:szCs w:val="18"/>
              </w:rPr>
            </w:pPr>
          </w:p>
          <w:p w:rsidR="003C13D8" w:rsidRPr="00530A98" w:rsidRDefault="003C13D8" w:rsidP="001F7CA9">
            <w:pPr>
              <w:keepNext/>
              <w:keepLines/>
              <w:jc w:val="both"/>
              <w:rPr>
                <w:rFonts w:ascii="Verdana" w:hAnsi="Verdana"/>
                <w:sz w:val="18"/>
                <w:szCs w:val="18"/>
              </w:rPr>
            </w:pPr>
          </w:p>
        </w:tc>
      </w:tr>
      <w:tr w:rsidR="003C13D8" w:rsidRPr="00530A98" w:rsidTr="001F7CA9">
        <w:trPr>
          <w:trHeight w:val="865"/>
        </w:trPr>
        <w:tc>
          <w:tcPr>
            <w:tcW w:w="4680" w:type="dxa"/>
            <w:tcBorders>
              <w:top w:val="nil"/>
              <w:left w:val="nil"/>
              <w:bottom w:val="nil"/>
              <w:right w:val="nil"/>
            </w:tcBorders>
          </w:tcPr>
          <w:p w:rsidR="003C13D8" w:rsidRPr="00530A98" w:rsidRDefault="003C13D8" w:rsidP="001F7CA9">
            <w:pPr>
              <w:keepNext/>
              <w:keepLines/>
              <w:jc w:val="both"/>
              <w:rPr>
                <w:rFonts w:ascii="Verdana" w:hAnsi="Verdana"/>
                <w:b/>
                <w:bCs/>
                <w:sz w:val="18"/>
                <w:szCs w:val="18"/>
              </w:rPr>
            </w:pPr>
          </w:p>
        </w:tc>
        <w:tc>
          <w:tcPr>
            <w:tcW w:w="4787" w:type="dxa"/>
            <w:tcBorders>
              <w:top w:val="nil"/>
              <w:left w:val="nil"/>
              <w:bottom w:val="nil"/>
              <w:right w:val="nil"/>
            </w:tcBorders>
          </w:tcPr>
          <w:p w:rsidR="003C13D8" w:rsidRPr="00530A98" w:rsidRDefault="003C13D8" w:rsidP="001F7CA9">
            <w:pPr>
              <w:keepNext/>
              <w:keepLines/>
              <w:jc w:val="both"/>
              <w:rPr>
                <w:rFonts w:ascii="Verdana" w:hAnsi="Verdana"/>
                <w:b/>
                <w:bCs/>
                <w:sz w:val="18"/>
                <w:szCs w:val="18"/>
              </w:rPr>
            </w:pPr>
          </w:p>
        </w:tc>
      </w:tr>
      <w:tr w:rsidR="003C13D8" w:rsidRPr="00530A98" w:rsidTr="001F7CA9">
        <w:trPr>
          <w:trHeight w:val="1285"/>
        </w:trPr>
        <w:tc>
          <w:tcPr>
            <w:tcW w:w="4680" w:type="dxa"/>
            <w:tcBorders>
              <w:top w:val="nil"/>
              <w:left w:val="nil"/>
              <w:bottom w:val="nil"/>
              <w:right w:val="nil"/>
            </w:tcBorders>
          </w:tcPr>
          <w:p w:rsidR="003C13D8" w:rsidRPr="00530A98" w:rsidRDefault="003C13D8" w:rsidP="001F7CA9">
            <w:pPr>
              <w:keepNext/>
              <w:keepLines/>
              <w:jc w:val="both"/>
              <w:rPr>
                <w:rFonts w:ascii="Verdana" w:hAnsi="Verdana"/>
                <w:sz w:val="18"/>
                <w:szCs w:val="18"/>
              </w:rPr>
            </w:pPr>
            <w:r w:rsidRPr="00530A98">
              <w:rPr>
                <w:rFonts w:ascii="Verdana" w:hAnsi="Verdana"/>
                <w:sz w:val="18"/>
                <w:szCs w:val="18"/>
              </w:rPr>
              <w:t xml:space="preserve">By: </w:t>
            </w:r>
            <w:r w:rsidRPr="00530A98">
              <w:rPr>
                <w:rFonts w:ascii="Verdana" w:hAnsi="Verdana"/>
                <w:sz w:val="18"/>
                <w:szCs w:val="18"/>
                <w:u w:val="single"/>
              </w:rPr>
              <w:tab/>
            </w:r>
            <w:r w:rsidRPr="00530A98">
              <w:rPr>
                <w:rFonts w:ascii="Verdana" w:hAnsi="Verdana"/>
                <w:sz w:val="18"/>
                <w:szCs w:val="18"/>
                <w:u w:val="single"/>
              </w:rPr>
              <w:tab/>
            </w:r>
            <w:r w:rsidRPr="00530A98">
              <w:rPr>
                <w:rFonts w:ascii="Verdana" w:hAnsi="Verdana"/>
                <w:sz w:val="18"/>
                <w:szCs w:val="18"/>
                <w:u w:val="single"/>
              </w:rPr>
              <w:tab/>
            </w:r>
            <w:r w:rsidRPr="00530A98">
              <w:rPr>
                <w:rFonts w:ascii="Verdana" w:hAnsi="Verdana"/>
                <w:sz w:val="18"/>
                <w:szCs w:val="18"/>
                <w:u w:val="single"/>
              </w:rPr>
              <w:tab/>
            </w:r>
            <w:r w:rsidRPr="00530A98">
              <w:rPr>
                <w:rFonts w:ascii="Verdana" w:hAnsi="Verdana"/>
                <w:sz w:val="18"/>
                <w:szCs w:val="18"/>
                <w:u w:val="single"/>
              </w:rPr>
              <w:tab/>
            </w:r>
            <w:r w:rsidRPr="00530A98">
              <w:rPr>
                <w:rFonts w:ascii="Verdana" w:hAnsi="Verdana"/>
                <w:sz w:val="18"/>
                <w:szCs w:val="18"/>
                <w:u w:val="single"/>
              </w:rPr>
              <w:tab/>
            </w:r>
          </w:p>
          <w:p w:rsidR="003C13D8" w:rsidRPr="00530A98" w:rsidRDefault="003C13D8" w:rsidP="001F7CA9">
            <w:pPr>
              <w:keepNext/>
              <w:keepLines/>
              <w:jc w:val="both"/>
              <w:rPr>
                <w:rFonts w:ascii="Verdana" w:hAnsi="Verdana"/>
                <w:sz w:val="18"/>
                <w:szCs w:val="18"/>
              </w:rPr>
            </w:pPr>
          </w:p>
        </w:tc>
        <w:tc>
          <w:tcPr>
            <w:tcW w:w="4787" w:type="dxa"/>
            <w:tcBorders>
              <w:top w:val="nil"/>
              <w:left w:val="nil"/>
              <w:bottom w:val="nil"/>
              <w:right w:val="nil"/>
            </w:tcBorders>
          </w:tcPr>
          <w:p w:rsidR="003C13D8" w:rsidRPr="00530A98" w:rsidRDefault="003C13D8" w:rsidP="001F7CA9">
            <w:pPr>
              <w:keepNext/>
              <w:keepLines/>
              <w:jc w:val="both"/>
              <w:rPr>
                <w:rFonts w:ascii="Verdana" w:hAnsi="Verdana"/>
                <w:sz w:val="18"/>
                <w:szCs w:val="18"/>
                <w:u w:val="single"/>
              </w:rPr>
            </w:pPr>
            <w:r w:rsidRPr="00530A98">
              <w:rPr>
                <w:rFonts w:ascii="Verdana" w:hAnsi="Verdana"/>
                <w:sz w:val="18"/>
                <w:szCs w:val="18"/>
              </w:rPr>
              <w:t xml:space="preserve">By: </w:t>
            </w:r>
            <w:r w:rsidRPr="00530A98">
              <w:rPr>
                <w:rFonts w:ascii="Verdana" w:hAnsi="Verdana"/>
                <w:sz w:val="18"/>
                <w:szCs w:val="18"/>
                <w:u w:val="single"/>
              </w:rPr>
              <w:tab/>
            </w:r>
            <w:r w:rsidRPr="00530A98">
              <w:rPr>
                <w:rFonts w:ascii="Verdana" w:hAnsi="Verdana"/>
                <w:sz w:val="18"/>
                <w:szCs w:val="18"/>
                <w:u w:val="single"/>
              </w:rPr>
              <w:tab/>
            </w:r>
            <w:r w:rsidRPr="00530A98">
              <w:rPr>
                <w:rFonts w:ascii="Verdana" w:hAnsi="Verdana"/>
                <w:sz w:val="18"/>
                <w:szCs w:val="18"/>
                <w:u w:val="single"/>
              </w:rPr>
              <w:tab/>
            </w:r>
            <w:r w:rsidRPr="00530A98">
              <w:rPr>
                <w:rFonts w:ascii="Verdana" w:hAnsi="Verdana"/>
                <w:sz w:val="18"/>
                <w:szCs w:val="18"/>
                <w:u w:val="single"/>
              </w:rPr>
              <w:tab/>
            </w:r>
            <w:r w:rsidRPr="00530A98">
              <w:rPr>
                <w:rFonts w:ascii="Verdana" w:hAnsi="Verdana"/>
                <w:sz w:val="18"/>
                <w:szCs w:val="18"/>
                <w:u w:val="single"/>
              </w:rPr>
              <w:tab/>
            </w:r>
            <w:r w:rsidRPr="00530A98">
              <w:rPr>
                <w:rFonts w:ascii="Verdana" w:hAnsi="Verdana"/>
                <w:sz w:val="18"/>
                <w:szCs w:val="18"/>
                <w:u w:val="single"/>
              </w:rPr>
              <w:tab/>
            </w:r>
          </w:p>
          <w:p w:rsidR="003C13D8" w:rsidRPr="00530A98" w:rsidRDefault="003C13D8" w:rsidP="001F7CA9">
            <w:pPr>
              <w:keepNext/>
              <w:keepLines/>
              <w:jc w:val="both"/>
              <w:rPr>
                <w:rFonts w:ascii="Verdana" w:hAnsi="Verdana"/>
                <w:sz w:val="18"/>
                <w:szCs w:val="18"/>
              </w:rPr>
            </w:pPr>
          </w:p>
          <w:p w:rsidR="003C13D8" w:rsidRPr="00530A98" w:rsidRDefault="003C13D8" w:rsidP="001F7CA9">
            <w:pPr>
              <w:keepNext/>
              <w:keepLines/>
              <w:jc w:val="both"/>
              <w:rPr>
                <w:rFonts w:ascii="Verdana" w:hAnsi="Verdana"/>
                <w:sz w:val="18"/>
                <w:szCs w:val="18"/>
              </w:rPr>
            </w:pPr>
            <w:r w:rsidRPr="00530A98">
              <w:rPr>
                <w:rFonts w:ascii="Verdana" w:hAnsi="Verdana"/>
                <w:sz w:val="18"/>
                <w:szCs w:val="18"/>
              </w:rPr>
              <w:t>Name: _____________________________________</w:t>
            </w:r>
          </w:p>
          <w:p w:rsidR="003C13D8" w:rsidRPr="00530A98" w:rsidRDefault="003C13D8" w:rsidP="001F7CA9">
            <w:pPr>
              <w:keepNext/>
              <w:keepLines/>
              <w:jc w:val="both"/>
              <w:rPr>
                <w:rFonts w:ascii="Verdana" w:hAnsi="Verdana"/>
                <w:sz w:val="18"/>
                <w:szCs w:val="18"/>
              </w:rPr>
            </w:pPr>
            <w:r w:rsidRPr="00530A98">
              <w:rPr>
                <w:rFonts w:ascii="Verdana" w:hAnsi="Verdana"/>
                <w:sz w:val="18"/>
                <w:szCs w:val="18"/>
              </w:rPr>
              <w:t>Title: ______________________________________</w:t>
            </w:r>
          </w:p>
        </w:tc>
      </w:tr>
    </w:tbl>
    <w:p w:rsidR="00387BB8" w:rsidRDefault="00387BB8"/>
    <w:sectPr w:rsidR="00387BB8" w:rsidSect="00387BB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5A8" w:rsidRDefault="00AA25A8" w:rsidP="00D12D22">
      <w:r>
        <w:separator/>
      </w:r>
    </w:p>
  </w:endnote>
  <w:endnote w:type="continuationSeparator" w:id="0">
    <w:p w:rsidR="00AA25A8" w:rsidRDefault="00AA25A8" w:rsidP="00D12D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8E" w:rsidRDefault="00E026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201" w:rsidRDefault="00CC4201">
    <w:pPr>
      <w:pStyle w:val="Footer"/>
      <w:jc w:val="center"/>
    </w:pPr>
    <w:fldSimple w:instr=" PAGE   \* MERGEFORMAT ">
      <w:r w:rsidR="00E0268E">
        <w:rPr>
          <w:noProof/>
        </w:rPr>
        <w:t>1</w:t>
      </w:r>
    </w:fldSimple>
  </w:p>
  <w:p w:rsidR="00CC4201" w:rsidRDefault="00CC420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8E" w:rsidRDefault="00E026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5A8" w:rsidRDefault="00AA25A8" w:rsidP="00D12D22">
      <w:r>
        <w:separator/>
      </w:r>
    </w:p>
  </w:footnote>
  <w:footnote w:type="continuationSeparator" w:id="0">
    <w:p w:rsidR="00AA25A8" w:rsidRDefault="00AA25A8" w:rsidP="00D12D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8E" w:rsidRDefault="00E026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8E" w:rsidRDefault="00E026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68E" w:rsidRDefault="00E0268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trackRevisions/>
  <w:doNotTrackMoves/>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C13D8"/>
    <w:rsid w:val="00060E70"/>
    <w:rsid w:val="000632BC"/>
    <w:rsid w:val="001735C5"/>
    <w:rsid w:val="00181B3A"/>
    <w:rsid w:val="001A6055"/>
    <w:rsid w:val="001F7CA9"/>
    <w:rsid w:val="002A14CD"/>
    <w:rsid w:val="002D7B92"/>
    <w:rsid w:val="00321ED6"/>
    <w:rsid w:val="00387BB8"/>
    <w:rsid w:val="003A42C6"/>
    <w:rsid w:val="003C13D8"/>
    <w:rsid w:val="00486025"/>
    <w:rsid w:val="004A5FB3"/>
    <w:rsid w:val="005A130A"/>
    <w:rsid w:val="005B7922"/>
    <w:rsid w:val="00641364"/>
    <w:rsid w:val="006821BD"/>
    <w:rsid w:val="007856E8"/>
    <w:rsid w:val="007872D8"/>
    <w:rsid w:val="007B17AE"/>
    <w:rsid w:val="00807AFC"/>
    <w:rsid w:val="008D061D"/>
    <w:rsid w:val="009839C3"/>
    <w:rsid w:val="009B238F"/>
    <w:rsid w:val="009C566F"/>
    <w:rsid w:val="00A11AD1"/>
    <w:rsid w:val="00A55E30"/>
    <w:rsid w:val="00AA1B77"/>
    <w:rsid w:val="00AA25A8"/>
    <w:rsid w:val="00AC10C0"/>
    <w:rsid w:val="00CC4201"/>
    <w:rsid w:val="00D12D22"/>
    <w:rsid w:val="00E0268E"/>
    <w:rsid w:val="00FC4750"/>
    <w:rsid w:val="00FD2100"/>
    <w:rsid w:val="00FF0CB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3D8"/>
    <w:pPr>
      <w:widowControl w:val="0"/>
      <w:overflowPunct w:val="0"/>
      <w:adjustRightInd w:val="0"/>
    </w:pPr>
    <w:rPr>
      <w:rFonts w:ascii="Times New Roman" w:eastAsia="Times New Roman" w:hAnsi="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D22"/>
    <w:pPr>
      <w:tabs>
        <w:tab w:val="center" w:pos="4680"/>
        <w:tab w:val="right" w:pos="9360"/>
      </w:tabs>
    </w:pPr>
  </w:style>
  <w:style w:type="character" w:customStyle="1" w:styleId="HeaderChar">
    <w:name w:val="Header Char"/>
    <w:basedOn w:val="DefaultParagraphFont"/>
    <w:link w:val="Header"/>
    <w:uiPriority w:val="99"/>
    <w:rsid w:val="00D12D22"/>
    <w:rPr>
      <w:rFonts w:ascii="Times New Roman" w:eastAsia="Times New Roman" w:hAnsi="Times New Roman"/>
      <w:kern w:val="28"/>
      <w:sz w:val="24"/>
      <w:szCs w:val="24"/>
    </w:rPr>
  </w:style>
  <w:style w:type="paragraph" w:styleId="Footer">
    <w:name w:val="footer"/>
    <w:basedOn w:val="Normal"/>
    <w:link w:val="FooterChar"/>
    <w:uiPriority w:val="99"/>
    <w:unhideWhenUsed/>
    <w:rsid w:val="00D12D22"/>
    <w:pPr>
      <w:tabs>
        <w:tab w:val="center" w:pos="4680"/>
        <w:tab w:val="right" w:pos="9360"/>
      </w:tabs>
    </w:pPr>
  </w:style>
  <w:style w:type="character" w:customStyle="1" w:styleId="FooterChar">
    <w:name w:val="Footer Char"/>
    <w:basedOn w:val="DefaultParagraphFont"/>
    <w:link w:val="Footer"/>
    <w:uiPriority w:val="99"/>
    <w:rsid w:val="00D12D22"/>
    <w:rPr>
      <w:rFonts w:ascii="Times New Roman" w:eastAsia="Times New Roman" w:hAnsi="Times New Roman"/>
      <w:kern w:val="28"/>
      <w:sz w:val="24"/>
      <w:szCs w:val="24"/>
    </w:rPr>
  </w:style>
  <w:style w:type="paragraph" w:styleId="BalloonText">
    <w:name w:val="Balloon Text"/>
    <w:basedOn w:val="Normal"/>
    <w:link w:val="BalloonTextChar"/>
    <w:uiPriority w:val="99"/>
    <w:semiHidden/>
    <w:unhideWhenUsed/>
    <w:rsid w:val="00807AFC"/>
    <w:rPr>
      <w:rFonts w:ascii="Tahoma" w:hAnsi="Tahoma" w:cs="Tahoma"/>
      <w:sz w:val="16"/>
      <w:szCs w:val="16"/>
    </w:rPr>
  </w:style>
  <w:style w:type="character" w:customStyle="1" w:styleId="BalloonTextChar">
    <w:name w:val="Balloon Text Char"/>
    <w:basedOn w:val="DefaultParagraphFont"/>
    <w:link w:val="BalloonText"/>
    <w:uiPriority w:val="99"/>
    <w:semiHidden/>
    <w:rsid w:val="00807AFC"/>
    <w:rPr>
      <w:rFonts w:ascii="Tahoma" w:eastAsia="Times New Roman" w:hAnsi="Tahoma" w:cs="Tahoma"/>
      <w:kern w:val="28"/>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1776</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2009-05-29T22:39:00Z</dcterms:created>
  <dcterms:modified xsi:type="dcterms:W3CDTF">2009-05-29T22:39:00Z</dcterms:modified>
</cp:coreProperties>
</file>