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1B" w:rsidRPr="00B217AE" w:rsidRDefault="00AF741B" w:rsidP="00AF741B">
      <w:pPr>
        <w:pStyle w:val="H1"/>
      </w:pPr>
      <w:r w:rsidRPr="00284548">
        <w:rPr>
          <w:noProof/>
        </w:rPr>
        <w:drawing>
          <wp:anchor distT="0" distB="0" distL="114300" distR="114300" simplePos="0" relativeHeight="251659264" behindDoc="0" locked="0" layoutInCell="1" allowOverlap="1">
            <wp:simplePos x="0" y="0"/>
            <wp:positionH relativeFrom="margin">
              <wp:posOffset>-295275</wp:posOffset>
            </wp:positionH>
            <wp:positionV relativeFrom="page">
              <wp:posOffset>0</wp:posOffset>
            </wp:positionV>
            <wp:extent cx="6858000" cy="1476375"/>
            <wp:effectExtent l="19050" t="0" r="0" b="0"/>
            <wp:wrapNone/>
            <wp:docPr id="2" name="Picture 1" descr="TwC_Word-Template_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C_Word-Template_Banner.bmp"/>
                    <pic:cNvPicPr/>
                  </pic:nvPicPr>
                  <pic:blipFill>
                    <a:blip r:embed="rId11" cstate="print"/>
                    <a:stretch>
                      <a:fillRect/>
                    </a:stretch>
                  </pic:blipFill>
                  <pic:spPr>
                    <a:xfrm>
                      <a:off x="0" y="0"/>
                      <a:ext cx="6858000" cy="1476375"/>
                    </a:xfrm>
                    <a:prstGeom prst="rect">
                      <a:avLst/>
                    </a:prstGeom>
                  </pic:spPr>
                </pic:pic>
              </a:graphicData>
            </a:graphic>
          </wp:anchor>
        </w:drawing>
      </w:r>
      <w:r>
        <w:t>Microsoft</w:t>
      </w:r>
      <w:r w:rsidRPr="0058353B">
        <w:t xml:space="preserve"> &amp; Data Governance</w:t>
      </w:r>
      <w:r>
        <w:tab/>
      </w:r>
      <w:r>
        <w:tab/>
      </w:r>
      <w:r w:rsidRPr="0058353B">
        <w:t>October 2008</w:t>
      </w:r>
    </w:p>
    <w:p w:rsidR="00AF741B" w:rsidRPr="00AF741B" w:rsidRDefault="00AF741B" w:rsidP="00AF741B"/>
    <w:p w:rsidR="00AF741B" w:rsidRPr="00B217AE" w:rsidRDefault="00AF741B" w:rsidP="00AF741B">
      <w:pPr>
        <w:pStyle w:val="H1"/>
      </w:pPr>
      <w:r w:rsidRPr="00284548">
        <w:rPr>
          <w:noProof/>
        </w:rPr>
        <w:drawing>
          <wp:anchor distT="0" distB="0" distL="114300" distR="114300" simplePos="0" relativeHeight="251661312" behindDoc="0" locked="0" layoutInCell="1" allowOverlap="1">
            <wp:simplePos x="0" y="0"/>
            <wp:positionH relativeFrom="margin">
              <wp:posOffset>-295275</wp:posOffset>
            </wp:positionH>
            <wp:positionV relativeFrom="page">
              <wp:posOffset>0</wp:posOffset>
            </wp:positionV>
            <wp:extent cx="6858000" cy="1476375"/>
            <wp:effectExtent l="19050" t="0" r="0" b="0"/>
            <wp:wrapNone/>
            <wp:docPr id="1" name="Picture 1" descr="TwC_Word-Template_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C_Word-Template_Banner.bmp"/>
                    <pic:cNvPicPr/>
                  </pic:nvPicPr>
                  <pic:blipFill>
                    <a:blip r:embed="rId11" cstate="print"/>
                    <a:stretch>
                      <a:fillRect/>
                    </a:stretch>
                  </pic:blipFill>
                  <pic:spPr>
                    <a:xfrm>
                      <a:off x="0" y="0"/>
                      <a:ext cx="6858000" cy="1476375"/>
                    </a:xfrm>
                    <a:prstGeom prst="rect">
                      <a:avLst/>
                    </a:prstGeom>
                  </pic:spPr>
                </pic:pic>
              </a:graphicData>
            </a:graphic>
          </wp:anchor>
        </w:drawing>
      </w:r>
      <w:r>
        <w:t>Microsoft</w:t>
      </w:r>
      <w:r w:rsidRPr="0058353B">
        <w:t xml:space="preserve"> &amp; </w:t>
      </w:r>
      <w:r>
        <w:t xml:space="preserve">Data </w:t>
      </w:r>
      <w:r w:rsidR="00662BAA">
        <w:t>Retention</w:t>
      </w:r>
      <w:r>
        <w:tab/>
      </w:r>
      <w:r>
        <w:tab/>
      </w:r>
      <w:r w:rsidR="00E548E6">
        <w:tab/>
      </w:r>
      <w:r w:rsidR="00E548E6">
        <w:tab/>
      </w:r>
      <w:r w:rsidR="00E548E6">
        <w:tab/>
      </w:r>
      <w:r w:rsidR="00E548E6">
        <w:tab/>
      </w:r>
      <w:r w:rsidR="00C50650">
        <w:t>February</w:t>
      </w:r>
      <w:r w:rsidR="00C50650" w:rsidRPr="0058353B">
        <w:t xml:space="preserve"> 200</w:t>
      </w:r>
      <w:r w:rsidR="00C50650">
        <w:t>9</w:t>
      </w:r>
    </w:p>
    <w:p w:rsidR="0046074D" w:rsidRPr="00D67DF8" w:rsidRDefault="0046074D" w:rsidP="009474DC">
      <w:pPr>
        <w:pStyle w:val="H2"/>
        <w:rPr>
          <w:color w:val="FF0000"/>
        </w:rPr>
      </w:pPr>
    </w:p>
    <w:p w:rsidR="009474DC" w:rsidRPr="001A6B42" w:rsidRDefault="0030718F" w:rsidP="00AF741B">
      <w:pPr>
        <w:rPr>
          <w:rFonts w:ascii="Tahoma" w:hAnsi="Tahoma" w:cs="Tahoma"/>
          <w:sz w:val="19"/>
          <w:szCs w:val="19"/>
        </w:rPr>
      </w:pPr>
      <w:r w:rsidRPr="001A6B42">
        <w:rPr>
          <w:rFonts w:ascii="Tahoma" w:hAnsi="Tahoma" w:cs="Tahoma"/>
          <w:b/>
          <w:i/>
          <w:sz w:val="19"/>
          <w:szCs w:val="19"/>
        </w:rPr>
        <w:t>Executive Summary</w:t>
      </w:r>
    </w:p>
    <w:p w:rsidR="00662BAA" w:rsidRDefault="00CB03C4" w:rsidP="00662BAA">
      <w:pPr>
        <w:pStyle w:val="Text"/>
      </w:pPr>
      <w:r w:rsidRPr="00CB03C4">
        <w:rPr>
          <w:i/>
        </w:rPr>
        <w:t>D</w:t>
      </w:r>
      <w:r w:rsidR="00662BAA" w:rsidRPr="00CB03C4">
        <w:rPr>
          <w:i/>
        </w:rPr>
        <w:t>ata Retention</w:t>
      </w:r>
      <w:r w:rsidR="00662BAA" w:rsidRPr="00662BAA">
        <w:t xml:space="preserve"> refer</w:t>
      </w:r>
      <w:r w:rsidR="00347091">
        <w:t>s</w:t>
      </w:r>
      <w:r w:rsidR="00662BAA" w:rsidRPr="00662BAA">
        <w:t xml:space="preserve"> to the practice o</w:t>
      </w:r>
      <w:r w:rsidR="00503EBA">
        <w:t>f keeping records of data and metadata</w:t>
      </w:r>
      <w:r>
        <w:t xml:space="preserve"> </w:t>
      </w:r>
      <w:r w:rsidR="00662BAA" w:rsidRPr="00662BAA">
        <w:t xml:space="preserve">that is generated </w:t>
      </w:r>
      <w:r w:rsidR="00930D59">
        <w:t xml:space="preserve">by an organization </w:t>
      </w:r>
      <w:r w:rsidR="00662BAA" w:rsidRPr="00662BAA">
        <w:t xml:space="preserve">while conducting regular business operations. This </w:t>
      </w:r>
      <w:r>
        <w:t>Electronically Stored Information (ESI)</w:t>
      </w:r>
      <w:r w:rsidR="00662BAA" w:rsidRPr="00662BAA">
        <w:t xml:space="preserve"> may exist in the form of str</w:t>
      </w:r>
      <w:r>
        <w:t xml:space="preserve">uctured and non-structured data, as well as the </w:t>
      </w:r>
      <w:r w:rsidR="00B1111A">
        <w:t>associated metadata</w:t>
      </w:r>
      <w:r w:rsidR="00662BAA" w:rsidRPr="00662BAA">
        <w:t xml:space="preserve"> </w:t>
      </w:r>
      <w:r w:rsidR="00B1111A">
        <w:t>that</w:t>
      </w:r>
      <w:r w:rsidR="00662BAA" w:rsidRPr="00662BAA">
        <w:t xml:space="preserve"> </w:t>
      </w:r>
      <w:r w:rsidR="00F80219">
        <w:t>a</w:t>
      </w:r>
      <w:r w:rsidR="00662BAA" w:rsidRPr="00662BAA">
        <w:t xml:space="preserve"> company </w:t>
      </w:r>
      <w:r w:rsidR="00930D59">
        <w:t xml:space="preserve">may </w:t>
      </w:r>
      <w:r w:rsidR="007D58C2">
        <w:t xml:space="preserve">decide to </w:t>
      </w:r>
      <w:r w:rsidR="00662BAA" w:rsidRPr="00662BAA">
        <w:t xml:space="preserve">keep for future business use, </w:t>
      </w:r>
      <w:r w:rsidR="00F80219">
        <w:t xml:space="preserve">or </w:t>
      </w:r>
      <w:r w:rsidR="00662BAA" w:rsidRPr="00662BAA">
        <w:t>to comply with existing legislation, regulations and/or IT controls.</w:t>
      </w:r>
    </w:p>
    <w:p w:rsidR="00BE2656" w:rsidRDefault="00A22106" w:rsidP="00662BAA">
      <w:pPr>
        <w:pStyle w:val="Text"/>
      </w:pPr>
      <w:r>
        <w:t>O</w:t>
      </w:r>
      <w:r w:rsidR="007D58C2">
        <w:t>rganizations need to be</w:t>
      </w:r>
      <w:r w:rsidR="003F4F6A">
        <w:t xml:space="preserve"> aware of the potential risks </w:t>
      </w:r>
      <w:r w:rsidR="007D58C2">
        <w:t>associated with wholesale</w:t>
      </w:r>
      <w:r w:rsidR="003F4F6A">
        <w:t xml:space="preserve"> </w:t>
      </w:r>
      <w:r>
        <w:t>stor</w:t>
      </w:r>
      <w:r w:rsidR="007D58C2">
        <w:t>age of</w:t>
      </w:r>
      <w:r>
        <w:t xml:space="preserve"> large volumes of</w:t>
      </w:r>
      <w:r w:rsidR="003F4F6A">
        <w:t xml:space="preserve"> customer and business data</w:t>
      </w:r>
      <w:r>
        <w:t xml:space="preserve"> for </w:t>
      </w:r>
      <w:r w:rsidR="007D58C2">
        <w:t>indefinite</w:t>
      </w:r>
      <w:r>
        <w:t xml:space="preserve"> periods of time</w:t>
      </w:r>
      <w:r w:rsidR="00BE2656">
        <w:t xml:space="preserve">: </w:t>
      </w:r>
    </w:p>
    <w:p w:rsidR="00BE2656" w:rsidRDefault="00A22106" w:rsidP="00BE2656">
      <w:pPr>
        <w:pStyle w:val="Text"/>
        <w:numPr>
          <w:ilvl w:val="0"/>
          <w:numId w:val="8"/>
        </w:numPr>
      </w:pPr>
      <w:r>
        <w:t>A</w:t>
      </w:r>
      <w:r w:rsidR="00BE2656">
        <w:t>ccidental use of customer data in violation of the company’s privacy policy</w:t>
      </w:r>
      <w:r w:rsidR="007D58C2">
        <w:t>,</w:t>
      </w:r>
      <w:r w:rsidR="00BE2656">
        <w:t xml:space="preserve"> </w:t>
      </w:r>
      <w:r w:rsidR="00330AC7">
        <w:t xml:space="preserve">of the wishes of the customer, </w:t>
      </w:r>
      <w:r w:rsidR="00BE2656">
        <w:t xml:space="preserve">or </w:t>
      </w:r>
      <w:r>
        <w:t xml:space="preserve">of </w:t>
      </w:r>
      <w:r w:rsidR="00BE2656">
        <w:t>data privacy laws</w:t>
      </w:r>
      <w:r w:rsidR="007D58C2">
        <w:t xml:space="preserve"> and regulations</w:t>
      </w:r>
      <w:r w:rsidR="002A3FE7">
        <w:t xml:space="preserve"> can result in hefty fines and costly litigation</w:t>
      </w:r>
      <w:r w:rsidR="00BE2656">
        <w:t>.</w:t>
      </w:r>
    </w:p>
    <w:p w:rsidR="00BE2656" w:rsidRDefault="00BE2656" w:rsidP="00BE2656">
      <w:pPr>
        <w:pStyle w:val="Text"/>
        <w:numPr>
          <w:ilvl w:val="0"/>
          <w:numId w:val="8"/>
        </w:numPr>
      </w:pPr>
      <w:r>
        <w:t>Loss or theft of large volumes of customer data</w:t>
      </w:r>
      <w:r w:rsidR="007D58C2">
        <w:t>, generally known as data breaches</w:t>
      </w:r>
      <w:r w:rsidR="002A3FE7">
        <w:t>, leading to loss of prestige, data breach notification costs, fines and litigation</w:t>
      </w:r>
      <w:r>
        <w:t>.</w:t>
      </w:r>
    </w:p>
    <w:p w:rsidR="00BE2656" w:rsidRDefault="003F4F6A" w:rsidP="00BE2656">
      <w:pPr>
        <w:pStyle w:val="Text"/>
        <w:numPr>
          <w:ilvl w:val="0"/>
          <w:numId w:val="8"/>
        </w:numPr>
      </w:pPr>
      <w:r>
        <w:t xml:space="preserve">Application of court-ordered digital forensic techniques (e-discovery) to </w:t>
      </w:r>
      <w:r w:rsidR="007D58C2">
        <w:t>a</w:t>
      </w:r>
      <w:r>
        <w:t xml:space="preserve"> company’s </w:t>
      </w:r>
      <w:r w:rsidR="007D58C2">
        <w:t xml:space="preserve">stored </w:t>
      </w:r>
      <w:r>
        <w:t>information in civil litigation cases where the company itself is a defendant</w:t>
      </w:r>
      <w:r w:rsidR="00330AC7">
        <w:t>, which imperils customer privacy</w:t>
      </w:r>
      <w:r>
        <w:t xml:space="preserve">. </w:t>
      </w:r>
      <w:r w:rsidR="00BE2656">
        <w:t xml:space="preserve"> </w:t>
      </w:r>
    </w:p>
    <w:p w:rsidR="00907B37" w:rsidRPr="00662BAA" w:rsidRDefault="00A22106" w:rsidP="00662BAA">
      <w:pPr>
        <w:pStyle w:val="Text"/>
      </w:pPr>
      <w:r>
        <w:t>Non-existent</w:t>
      </w:r>
      <w:r w:rsidR="002A3FE7">
        <w:t xml:space="preserve"> or unclear data retention policies and practices may lead </w:t>
      </w:r>
      <w:r w:rsidR="007D58C2">
        <w:t>enterprises</w:t>
      </w:r>
      <w:r w:rsidR="002A3FE7">
        <w:t xml:space="preserve"> to</w:t>
      </w:r>
      <w:r w:rsidR="003F4F6A">
        <w:t xml:space="preserve"> </w:t>
      </w:r>
      <w:r w:rsidR="002A3FE7">
        <w:t xml:space="preserve">incur </w:t>
      </w:r>
      <w:r w:rsidR="00DA6600" w:rsidRPr="00662BAA">
        <w:t>level</w:t>
      </w:r>
      <w:r w:rsidR="003F4F6A">
        <w:t>s</w:t>
      </w:r>
      <w:r w:rsidR="00DA6600" w:rsidRPr="00662BAA">
        <w:t xml:space="preserve"> of risk </w:t>
      </w:r>
      <w:r w:rsidR="00930D59">
        <w:t xml:space="preserve">that </w:t>
      </w:r>
      <w:r w:rsidR="003F4F6A">
        <w:t>are</w:t>
      </w:r>
      <w:r w:rsidR="00DA6600" w:rsidRPr="00662BAA">
        <w:t xml:space="preserve"> higher than </w:t>
      </w:r>
      <w:r w:rsidR="002A3FE7">
        <w:t>it is</w:t>
      </w:r>
      <w:r w:rsidR="00DA6600" w:rsidRPr="00662BAA">
        <w:t xml:space="preserve"> </w:t>
      </w:r>
      <w:r w:rsidR="00330AC7">
        <w:t xml:space="preserve">knowingly </w:t>
      </w:r>
      <w:r w:rsidR="00DA6600" w:rsidRPr="00662BAA">
        <w:t>willing to accept.</w:t>
      </w:r>
      <w:r w:rsidR="00B1111A">
        <w:t xml:space="preserve"> </w:t>
      </w:r>
      <w:r w:rsidR="00F80219" w:rsidRPr="00B1111A">
        <w:t>Sound data retention policies</w:t>
      </w:r>
      <w:r w:rsidR="002A3FE7">
        <w:t xml:space="preserve"> on the other hand</w:t>
      </w:r>
      <w:r w:rsidR="00F80219" w:rsidRPr="00B1111A">
        <w:t xml:space="preserve"> can not only limit a company’s exposure but also, when properly chosen and managed as part of a comprehensive Data Governance strategy, can</w:t>
      </w:r>
      <w:r w:rsidR="00907B37" w:rsidRPr="00B1111A">
        <w:t xml:space="preserve"> improve compliance with statutes and regulations</w:t>
      </w:r>
      <w:r w:rsidR="00E95E8A" w:rsidRPr="00B1111A">
        <w:t>, reduce the time required to compile data to enable decision</w:t>
      </w:r>
      <w:r>
        <w:t xml:space="preserve"> making</w:t>
      </w:r>
      <w:r w:rsidR="00F80219" w:rsidRPr="00B1111A">
        <w:t>, reduce overall IT costs,</w:t>
      </w:r>
      <w:r w:rsidR="00E95E8A" w:rsidRPr="00B1111A">
        <w:t xml:space="preserve"> and limit exposure to </w:t>
      </w:r>
      <w:r>
        <w:t xml:space="preserve">data </w:t>
      </w:r>
      <w:r w:rsidR="00E95E8A" w:rsidRPr="00B1111A">
        <w:t>loss or theft.</w:t>
      </w:r>
    </w:p>
    <w:p w:rsidR="005E0489" w:rsidRPr="00B1111A" w:rsidRDefault="005E0489" w:rsidP="005E0489">
      <w:pPr>
        <w:pStyle w:val="H3"/>
        <w:spacing w:before="240"/>
        <w:rPr>
          <w:vertAlign w:val="superscript"/>
        </w:rPr>
      </w:pPr>
      <w:r w:rsidRPr="001A6B42">
        <w:t xml:space="preserve">Background: </w:t>
      </w:r>
      <w:r w:rsidR="00662BAA">
        <w:t>D</w:t>
      </w:r>
      <w:r w:rsidR="00A666C3" w:rsidRPr="001A6B42">
        <w:t xml:space="preserve">ata </w:t>
      </w:r>
      <w:r w:rsidR="00662BAA">
        <w:t>Retention</w:t>
      </w:r>
      <w:r w:rsidR="00B1111A">
        <w:rPr>
          <w:rStyle w:val="FootnoteReference"/>
        </w:rPr>
        <w:footnoteReference w:id="2"/>
      </w:r>
    </w:p>
    <w:p w:rsidR="003256D9" w:rsidRDefault="00662BAA" w:rsidP="003256D9">
      <w:pPr>
        <w:pStyle w:val="Text"/>
      </w:pPr>
      <w:r w:rsidRPr="00662BAA">
        <w:t>In private industry, data retention practices other than those specified by statutes</w:t>
      </w:r>
      <w:r w:rsidR="00330AC7">
        <w:t xml:space="preserve"> and regulations</w:t>
      </w:r>
      <w:r w:rsidRPr="00662BAA">
        <w:t xml:space="preserve"> have b</w:t>
      </w:r>
      <w:r w:rsidR="007D58C2">
        <w:t xml:space="preserve">een primarily ad-hoc in nature, </w:t>
      </w:r>
      <w:r w:rsidRPr="00662BAA">
        <w:t xml:space="preserve">often varying by department or business units within the same organization.  </w:t>
      </w:r>
      <w:r w:rsidR="00BC2A55">
        <w:t>M</w:t>
      </w:r>
      <w:r w:rsidRPr="00662BAA">
        <w:t xml:space="preserve">any organizations began to “keep everything” in an attempt to simplify the process and ensure that critical data would be available if needed.  As digital storage capacity increased and costs decreased, this strategy became financially easier to justify and individual departments implemented their own retention practices in addition to those performed by the organization.  Today, the practice has trickled </w:t>
      </w:r>
      <w:r w:rsidR="007D58C2">
        <w:t>down to the individual user who may</w:t>
      </w:r>
      <w:r w:rsidRPr="00662BAA">
        <w:t xml:space="preserve"> retain data on laptops, desktops, </w:t>
      </w:r>
      <w:r w:rsidR="00E548E6">
        <w:t xml:space="preserve">personal backup units </w:t>
      </w:r>
      <w:r w:rsidRPr="00662BAA">
        <w:t xml:space="preserve">and portable electronic devices, often resulting in multiple copies of data which may not all have appropriate protection levels or enforced retention periods.  </w:t>
      </w:r>
      <w:r w:rsidR="007D58C2">
        <w:t>T</w:t>
      </w:r>
      <w:r w:rsidRPr="00662BAA">
        <w:t>he 2008 Verizon Da</w:t>
      </w:r>
      <w:r w:rsidR="007D58C2">
        <w:t>ta Breach Investigations Report indicates that</w:t>
      </w:r>
      <w:r w:rsidRPr="00662BAA">
        <w:t xml:space="preserve"> 66% of breaches involved data that was not </w:t>
      </w:r>
      <w:proofErr w:type="gramStart"/>
      <w:r w:rsidRPr="00662BAA">
        <w:lastRenderedPageBreak/>
        <w:t>known</w:t>
      </w:r>
      <w:proofErr w:type="gramEnd"/>
      <w:r w:rsidRPr="00662BAA">
        <w:t xml:space="preserve"> to </w:t>
      </w:r>
      <w:r w:rsidR="00E548E6">
        <w:t>reside</w:t>
      </w:r>
      <w:r w:rsidRPr="00662BAA">
        <w:t xml:space="preserve"> on the affected system</w:t>
      </w:r>
      <w:r w:rsidR="007D58C2">
        <w:t xml:space="preserve"> at the time of the incident</w:t>
      </w:r>
      <w:r w:rsidRPr="00662BAA">
        <w:rPr>
          <w:rStyle w:val="FootnoteReference"/>
          <w:rFonts w:cs="Tahoma"/>
          <w:sz w:val="19"/>
        </w:rPr>
        <w:footnoteReference w:id="3"/>
      </w:r>
      <w:r w:rsidR="00BD1628">
        <w:t>.</w:t>
      </w:r>
      <w:r w:rsidR="00BD1628">
        <w:br/>
      </w:r>
    </w:p>
    <w:p w:rsidR="0066333B" w:rsidRDefault="00330AC7" w:rsidP="003256D9">
      <w:pPr>
        <w:pStyle w:val="Text"/>
      </w:pPr>
      <w:r>
        <w:t>M</w:t>
      </w:r>
      <w:r w:rsidR="0066333B">
        <w:t>isuse of customer personal information and data breach incidents</w:t>
      </w:r>
      <w:r w:rsidR="008F4827">
        <w:t>,</w:t>
      </w:r>
      <w:r w:rsidR="0066333B">
        <w:t xml:space="preserve"> caused by data loss or theft</w:t>
      </w:r>
      <w:r w:rsidR="008F4827">
        <w:t>,</w:t>
      </w:r>
      <w:r w:rsidR="0066333B">
        <w:t xml:space="preserve"> will likely </w:t>
      </w:r>
      <w:r w:rsidR="007D58C2">
        <w:t>result in</w:t>
      </w:r>
      <w:r w:rsidR="0066333B">
        <w:t xml:space="preserve"> fines and</w:t>
      </w:r>
      <w:r w:rsidR="007D58C2">
        <w:t>,</w:t>
      </w:r>
      <w:r w:rsidR="0066333B">
        <w:t xml:space="preserve"> quite possibly</w:t>
      </w:r>
      <w:r w:rsidR="007D58C2">
        <w:t>,</w:t>
      </w:r>
      <w:r w:rsidR="0066333B">
        <w:t xml:space="preserve"> litigation. The </w:t>
      </w:r>
      <w:r w:rsidR="009A1CF8">
        <w:t>monetary</w:t>
      </w:r>
      <w:r w:rsidR="0066333B">
        <w:t xml:space="preserve"> cost</w:t>
      </w:r>
      <w:r w:rsidR="009A1CF8">
        <w:t xml:space="preserve"> of fines</w:t>
      </w:r>
      <w:r w:rsidR="007D58C2">
        <w:t xml:space="preserve"> </w:t>
      </w:r>
      <w:r w:rsidR="0066333B">
        <w:t>will vary depending on the jurisdiction(s) where the violation is committed</w:t>
      </w:r>
      <w:r w:rsidR="000B31A8">
        <w:t>, but can be significant. In the European Union, where the right to privacy is considered a basic human right, penalties will likely be stiffer than elsewhere. And these fin</w:t>
      </w:r>
      <w:r w:rsidR="009A1CF8">
        <w:t xml:space="preserve">es will </w:t>
      </w:r>
      <w:r>
        <w:t xml:space="preserve">be </w:t>
      </w:r>
      <w:r w:rsidR="009A1CF8">
        <w:t>on top of other financial costs;</w:t>
      </w:r>
      <w:r w:rsidR="000B31A8">
        <w:t xml:space="preserve"> direct or indirect, the company might have suffered for the loss.</w:t>
      </w:r>
    </w:p>
    <w:p w:rsidR="000B31A8" w:rsidRDefault="009A1CF8" w:rsidP="003256D9">
      <w:pPr>
        <w:pStyle w:val="Text"/>
      </w:pPr>
      <w:r>
        <w:t>For</w:t>
      </w:r>
      <w:r w:rsidR="000B31A8">
        <w:t xml:space="preserve"> civil litigation cases</w:t>
      </w:r>
      <w:r>
        <w:t xml:space="preserve"> in general</w:t>
      </w:r>
      <w:r w:rsidR="000B31A8">
        <w:t>, the</w:t>
      </w:r>
      <w:r w:rsidR="000B31A8" w:rsidRPr="00662BAA">
        <w:t xml:space="preserve"> advent of E</w:t>
      </w:r>
      <w:r w:rsidR="000B31A8">
        <w:t xml:space="preserve">SI is expected to have significant impact. This because it is now possible to search </w:t>
      </w:r>
      <w:r w:rsidR="000B31A8" w:rsidRPr="00662BAA">
        <w:t xml:space="preserve">tens of thousands of </w:t>
      </w:r>
      <w:r>
        <w:t xml:space="preserve">digital documents </w:t>
      </w:r>
      <w:r w:rsidR="000B31A8" w:rsidRPr="00662BAA">
        <w:t>for key words and phrases within a reasonable timeframe and at a fraction of the cost of</w:t>
      </w:r>
      <w:r w:rsidR="000B31A8">
        <w:t xml:space="preserve"> the physical search process.</w:t>
      </w:r>
      <w:r w:rsidR="00356F58">
        <w:t xml:space="preserve"> </w:t>
      </w:r>
      <w:r>
        <w:t xml:space="preserve">In the U.S., the Federal Rules of Civil Procedure specify that “any matter, not privileged, that is relevant to the claim or defense of any party” is discoverable. </w:t>
      </w:r>
      <w:r w:rsidR="00D51C68">
        <w:t>The rules recognize exceptions for cases where the burden and/or cost of the search is unreasonable and the related ESI is likely not relevant to the case, but that is it. Other countries, primarily those in the European Union, are likely to take action in the near future.</w:t>
      </w:r>
      <w:r w:rsidR="00330AC7">
        <w:t xml:space="preserve"> However, a potential result of litigation is the compromise of privacy of customers, whose personal information is disclosed.</w:t>
      </w:r>
    </w:p>
    <w:p w:rsidR="00C64055" w:rsidRDefault="00C64055" w:rsidP="00C64055">
      <w:pPr>
        <w:pStyle w:val="H3"/>
        <w:spacing w:before="240"/>
      </w:pPr>
      <w:r>
        <w:t>What Should Organizations Do?</w:t>
      </w:r>
    </w:p>
    <w:p w:rsidR="003A0204" w:rsidRPr="00B1111A" w:rsidRDefault="00242171" w:rsidP="00662BAA">
      <w:pPr>
        <w:rPr>
          <w:rFonts w:ascii="Tahoma" w:hAnsi="Tahoma" w:cs="Tahoma"/>
          <w:sz w:val="19"/>
          <w:szCs w:val="19"/>
        </w:rPr>
      </w:pPr>
      <w:r w:rsidRPr="00B1111A">
        <w:rPr>
          <w:rFonts w:ascii="Tahoma" w:hAnsi="Tahoma" w:cs="Tahoma"/>
          <w:sz w:val="19"/>
          <w:szCs w:val="19"/>
        </w:rPr>
        <w:t>For organizations, o</w:t>
      </w:r>
      <w:r w:rsidR="00662BAA" w:rsidRPr="00B1111A">
        <w:rPr>
          <w:rFonts w:ascii="Tahoma" w:hAnsi="Tahoma" w:cs="Tahoma"/>
          <w:sz w:val="19"/>
          <w:szCs w:val="19"/>
        </w:rPr>
        <w:t xml:space="preserve">wnership of the </w:t>
      </w:r>
      <w:r w:rsidR="009639E7">
        <w:rPr>
          <w:rFonts w:ascii="Tahoma" w:hAnsi="Tahoma" w:cs="Tahoma"/>
          <w:sz w:val="19"/>
          <w:szCs w:val="19"/>
        </w:rPr>
        <w:t xml:space="preserve">data </w:t>
      </w:r>
      <w:r w:rsidR="00662BAA" w:rsidRPr="00B1111A">
        <w:rPr>
          <w:rFonts w:ascii="Tahoma" w:hAnsi="Tahoma" w:cs="Tahoma"/>
          <w:sz w:val="19"/>
          <w:szCs w:val="19"/>
        </w:rPr>
        <w:t xml:space="preserve">retention process is critical to success.  </w:t>
      </w:r>
      <w:r w:rsidR="008C209C" w:rsidRPr="00B1111A">
        <w:rPr>
          <w:rFonts w:ascii="Tahoma" w:hAnsi="Tahoma" w:cs="Tahoma"/>
          <w:sz w:val="19"/>
          <w:szCs w:val="19"/>
        </w:rPr>
        <w:t>M</w:t>
      </w:r>
      <w:r w:rsidR="00662BAA" w:rsidRPr="00B1111A">
        <w:rPr>
          <w:rFonts w:ascii="Tahoma" w:hAnsi="Tahoma" w:cs="Tahoma"/>
          <w:sz w:val="19"/>
          <w:szCs w:val="19"/>
        </w:rPr>
        <w:t>erely delegat</w:t>
      </w:r>
      <w:r w:rsidR="008C209C" w:rsidRPr="00B1111A">
        <w:rPr>
          <w:rFonts w:ascii="Tahoma" w:hAnsi="Tahoma" w:cs="Tahoma"/>
          <w:sz w:val="19"/>
          <w:szCs w:val="19"/>
        </w:rPr>
        <w:t>ing</w:t>
      </w:r>
      <w:r w:rsidR="00662BAA" w:rsidRPr="00B1111A">
        <w:rPr>
          <w:rFonts w:ascii="Tahoma" w:hAnsi="Tahoma" w:cs="Tahoma"/>
          <w:sz w:val="19"/>
          <w:szCs w:val="19"/>
        </w:rPr>
        <w:t xml:space="preserve"> the task to the legal department or </w:t>
      </w:r>
      <w:r w:rsidR="009639E7">
        <w:rPr>
          <w:rFonts w:ascii="Tahoma" w:hAnsi="Tahoma" w:cs="Tahoma"/>
          <w:sz w:val="19"/>
          <w:szCs w:val="19"/>
        </w:rPr>
        <w:t xml:space="preserve">to </w:t>
      </w:r>
      <w:r w:rsidR="00662BAA" w:rsidRPr="00B1111A">
        <w:rPr>
          <w:rFonts w:ascii="Tahoma" w:hAnsi="Tahoma" w:cs="Tahoma"/>
          <w:sz w:val="19"/>
          <w:szCs w:val="19"/>
        </w:rPr>
        <w:t>IT</w:t>
      </w:r>
      <w:r w:rsidR="008C209C" w:rsidRPr="00B1111A">
        <w:rPr>
          <w:rFonts w:ascii="Tahoma" w:hAnsi="Tahoma" w:cs="Tahoma"/>
          <w:sz w:val="19"/>
          <w:szCs w:val="19"/>
        </w:rPr>
        <w:t xml:space="preserve"> would be a mistake</w:t>
      </w:r>
      <w:r w:rsidR="00B37A7F" w:rsidRPr="00B1111A">
        <w:rPr>
          <w:rFonts w:ascii="Tahoma" w:hAnsi="Tahoma" w:cs="Tahoma"/>
          <w:sz w:val="19"/>
          <w:szCs w:val="19"/>
        </w:rPr>
        <w:t>, as</w:t>
      </w:r>
      <w:r w:rsidR="008C209C" w:rsidRPr="00B1111A">
        <w:rPr>
          <w:rFonts w:ascii="Tahoma" w:hAnsi="Tahoma" w:cs="Tahoma"/>
          <w:sz w:val="19"/>
          <w:szCs w:val="19"/>
        </w:rPr>
        <w:t xml:space="preserve"> </w:t>
      </w:r>
      <w:r w:rsidR="00662BAA" w:rsidRPr="00B1111A">
        <w:rPr>
          <w:rFonts w:ascii="Tahoma" w:hAnsi="Tahoma" w:cs="Tahoma"/>
          <w:sz w:val="19"/>
          <w:szCs w:val="19"/>
        </w:rPr>
        <w:t>legal</w:t>
      </w:r>
      <w:r w:rsidR="00B37A7F" w:rsidRPr="00B1111A">
        <w:rPr>
          <w:rFonts w:ascii="Tahoma" w:hAnsi="Tahoma" w:cs="Tahoma"/>
          <w:sz w:val="19"/>
          <w:szCs w:val="19"/>
        </w:rPr>
        <w:t>’s guidance is essential to avoid potential legal and compliance pitfalls, and</w:t>
      </w:r>
      <w:r w:rsidR="00662BAA" w:rsidRPr="00B1111A">
        <w:rPr>
          <w:rFonts w:ascii="Tahoma" w:hAnsi="Tahoma" w:cs="Tahoma"/>
          <w:sz w:val="19"/>
          <w:szCs w:val="19"/>
        </w:rPr>
        <w:t xml:space="preserve"> IT</w:t>
      </w:r>
      <w:r w:rsidR="00B37A7F" w:rsidRPr="00B1111A">
        <w:rPr>
          <w:rFonts w:ascii="Tahoma" w:hAnsi="Tahoma" w:cs="Tahoma"/>
          <w:sz w:val="19"/>
          <w:szCs w:val="19"/>
        </w:rPr>
        <w:t xml:space="preserve"> will </w:t>
      </w:r>
      <w:r w:rsidR="00C14D57">
        <w:rPr>
          <w:rFonts w:ascii="Tahoma" w:hAnsi="Tahoma" w:cs="Tahoma"/>
          <w:sz w:val="19"/>
          <w:szCs w:val="19"/>
        </w:rPr>
        <w:t xml:space="preserve">inevitably </w:t>
      </w:r>
      <w:r w:rsidR="00296835" w:rsidRPr="00B1111A">
        <w:rPr>
          <w:rFonts w:ascii="Tahoma" w:hAnsi="Tahoma" w:cs="Tahoma"/>
          <w:sz w:val="19"/>
          <w:szCs w:val="19"/>
        </w:rPr>
        <w:t>have to</w:t>
      </w:r>
      <w:r w:rsidR="00B37A7F" w:rsidRPr="00B1111A">
        <w:rPr>
          <w:rFonts w:ascii="Tahoma" w:hAnsi="Tahoma" w:cs="Tahoma"/>
          <w:sz w:val="19"/>
          <w:szCs w:val="19"/>
        </w:rPr>
        <w:t xml:space="preserve"> enforc</w:t>
      </w:r>
      <w:r w:rsidR="00296835" w:rsidRPr="00B1111A">
        <w:rPr>
          <w:rFonts w:ascii="Tahoma" w:hAnsi="Tahoma" w:cs="Tahoma"/>
          <w:sz w:val="19"/>
          <w:szCs w:val="19"/>
        </w:rPr>
        <w:t>e</w:t>
      </w:r>
      <w:r w:rsidR="00B37A7F" w:rsidRPr="00B1111A">
        <w:rPr>
          <w:rFonts w:ascii="Tahoma" w:hAnsi="Tahoma" w:cs="Tahoma"/>
          <w:sz w:val="19"/>
          <w:szCs w:val="19"/>
        </w:rPr>
        <w:t xml:space="preserve"> the </w:t>
      </w:r>
      <w:r w:rsidR="00C14D57">
        <w:rPr>
          <w:rFonts w:ascii="Tahoma" w:hAnsi="Tahoma" w:cs="Tahoma"/>
          <w:sz w:val="19"/>
          <w:szCs w:val="19"/>
        </w:rPr>
        <w:t>resulting policies</w:t>
      </w:r>
      <w:r w:rsidR="00B37A7F" w:rsidRPr="00B1111A">
        <w:rPr>
          <w:rFonts w:ascii="Tahoma" w:hAnsi="Tahoma" w:cs="Tahoma"/>
          <w:sz w:val="19"/>
          <w:szCs w:val="19"/>
        </w:rPr>
        <w:t xml:space="preserve">. Furthermore, involvement of business groups and upper management in this process is essential in order to guarantee that the firm’s strategy is properly supported by its own data </w:t>
      </w:r>
      <w:r w:rsidR="00662BAA" w:rsidRPr="00B1111A">
        <w:rPr>
          <w:rFonts w:ascii="Tahoma" w:hAnsi="Tahoma" w:cs="Tahoma"/>
          <w:sz w:val="19"/>
          <w:szCs w:val="19"/>
        </w:rPr>
        <w:t>retention procedures</w:t>
      </w:r>
      <w:r w:rsidR="00B37A7F" w:rsidRPr="00B1111A">
        <w:rPr>
          <w:rFonts w:ascii="Tahoma" w:hAnsi="Tahoma" w:cs="Tahoma"/>
          <w:sz w:val="19"/>
          <w:szCs w:val="19"/>
        </w:rPr>
        <w:t>.</w:t>
      </w:r>
      <w:r w:rsidR="008C209C" w:rsidRPr="00B1111A">
        <w:t xml:space="preserve"> </w:t>
      </w:r>
      <w:r w:rsidR="00C64055" w:rsidRPr="00B1111A">
        <w:rPr>
          <w:rFonts w:ascii="Tahoma" w:hAnsi="Tahoma" w:cs="Tahoma"/>
          <w:sz w:val="19"/>
          <w:szCs w:val="19"/>
        </w:rPr>
        <w:t xml:space="preserve"> </w:t>
      </w:r>
      <w:r w:rsidR="003A0204" w:rsidRPr="00B1111A">
        <w:rPr>
          <w:rFonts w:ascii="Tahoma" w:hAnsi="Tahoma" w:cs="Tahoma"/>
          <w:sz w:val="19"/>
          <w:szCs w:val="19"/>
        </w:rPr>
        <w:t xml:space="preserve">A team comprised of stakeholders </w:t>
      </w:r>
      <w:r w:rsidR="009639E7">
        <w:rPr>
          <w:rFonts w:ascii="Tahoma" w:hAnsi="Tahoma" w:cs="Tahoma"/>
          <w:sz w:val="19"/>
          <w:szCs w:val="19"/>
        </w:rPr>
        <w:t xml:space="preserve">from the different groups and </w:t>
      </w:r>
      <w:r w:rsidR="003A0204" w:rsidRPr="00B1111A">
        <w:rPr>
          <w:rFonts w:ascii="Tahoma" w:hAnsi="Tahoma" w:cs="Tahoma"/>
          <w:sz w:val="19"/>
          <w:szCs w:val="19"/>
        </w:rPr>
        <w:t xml:space="preserve">overseen by the Chief </w:t>
      </w:r>
      <w:r w:rsidR="00D75647">
        <w:rPr>
          <w:rFonts w:ascii="Tahoma" w:hAnsi="Tahoma" w:cs="Tahoma"/>
          <w:sz w:val="19"/>
          <w:szCs w:val="19"/>
        </w:rPr>
        <w:t>Privacy</w:t>
      </w:r>
      <w:r w:rsidR="00D75647" w:rsidRPr="00B1111A">
        <w:rPr>
          <w:rFonts w:ascii="Tahoma" w:hAnsi="Tahoma" w:cs="Tahoma"/>
          <w:sz w:val="19"/>
          <w:szCs w:val="19"/>
        </w:rPr>
        <w:t xml:space="preserve"> </w:t>
      </w:r>
      <w:r w:rsidR="003A0204" w:rsidRPr="00B1111A">
        <w:rPr>
          <w:rFonts w:ascii="Tahoma" w:hAnsi="Tahoma" w:cs="Tahoma"/>
          <w:sz w:val="19"/>
          <w:szCs w:val="19"/>
        </w:rPr>
        <w:t>Officer (C</w:t>
      </w:r>
      <w:r w:rsidR="00D75647">
        <w:rPr>
          <w:rFonts w:ascii="Tahoma" w:hAnsi="Tahoma" w:cs="Tahoma"/>
          <w:sz w:val="19"/>
          <w:szCs w:val="19"/>
        </w:rPr>
        <w:t>P</w:t>
      </w:r>
      <w:r w:rsidR="003A0204" w:rsidRPr="00B1111A">
        <w:rPr>
          <w:rFonts w:ascii="Tahoma" w:hAnsi="Tahoma" w:cs="Tahoma"/>
          <w:sz w:val="19"/>
          <w:szCs w:val="19"/>
        </w:rPr>
        <w:t>O) can be an effective solution.</w:t>
      </w:r>
    </w:p>
    <w:p w:rsidR="00BC2A55" w:rsidRPr="00B1111A" w:rsidRDefault="003A0204" w:rsidP="00662BAA">
      <w:pPr>
        <w:rPr>
          <w:rFonts w:ascii="Tahoma" w:hAnsi="Tahoma" w:cs="Tahoma"/>
          <w:sz w:val="19"/>
          <w:szCs w:val="19"/>
        </w:rPr>
      </w:pPr>
      <w:r w:rsidRPr="00B1111A">
        <w:rPr>
          <w:rFonts w:ascii="Tahoma" w:hAnsi="Tahoma" w:cs="Tahoma"/>
          <w:sz w:val="19"/>
          <w:szCs w:val="19"/>
        </w:rPr>
        <w:t>Microsoft recommends that companies choose and implement data retention policies in the context of a comprehensive Data Governance strategy</w:t>
      </w:r>
      <w:r w:rsidR="00C14D57">
        <w:rPr>
          <w:rFonts w:ascii="Tahoma" w:hAnsi="Tahoma" w:cs="Tahoma"/>
          <w:sz w:val="19"/>
          <w:szCs w:val="19"/>
        </w:rPr>
        <w:t xml:space="preserve"> for Governance, Risk and Compliance (GRC)</w:t>
      </w:r>
      <w:r w:rsidR="00BC2A55" w:rsidRPr="00B1111A">
        <w:rPr>
          <w:rFonts w:ascii="Tahoma" w:hAnsi="Tahoma" w:cs="Tahoma"/>
          <w:sz w:val="19"/>
          <w:szCs w:val="19"/>
        </w:rPr>
        <w:t>.</w:t>
      </w:r>
      <w:r w:rsidRPr="00B1111A">
        <w:rPr>
          <w:rFonts w:ascii="Tahoma" w:hAnsi="Tahoma" w:cs="Tahoma"/>
          <w:sz w:val="19"/>
          <w:szCs w:val="19"/>
        </w:rPr>
        <w:t xml:space="preserve"> </w:t>
      </w:r>
      <w:r w:rsidR="00BC2A55" w:rsidRPr="00B1111A">
        <w:rPr>
          <w:rFonts w:ascii="Tahoma" w:hAnsi="Tahoma" w:cs="Tahoma"/>
          <w:sz w:val="19"/>
          <w:szCs w:val="19"/>
        </w:rPr>
        <w:t>This strategy will comprise</w:t>
      </w:r>
      <w:r w:rsidRPr="00B1111A">
        <w:rPr>
          <w:rFonts w:ascii="Tahoma" w:hAnsi="Tahoma" w:cs="Tahoma"/>
          <w:sz w:val="19"/>
          <w:szCs w:val="19"/>
        </w:rPr>
        <w:t xml:space="preserve"> policies, procedures and standards that will enable effective use of the organization’s structured and unstructured data</w:t>
      </w:r>
      <w:r w:rsidR="00BC2A55" w:rsidRPr="00B1111A">
        <w:rPr>
          <w:rFonts w:ascii="Tahoma" w:hAnsi="Tahoma" w:cs="Tahoma"/>
          <w:sz w:val="19"/>
          <w:szCs w:val="19"/>
        </w:rPr>
        <w:t>:</w:t>
      </w:r>
    </w:p>
    <w:p w:rsidR="00BC2A55" w:rsidRPr="00B1111A" w:rsidRDefault="00BC2A55" w:rsidP="00BC2A55">
      <w:pPr>
        <w:pStyle w:val="ListParagraph"/>
        <w:numPr>
          <w:ilvl w:val="0"/>
          <w:numId w:val="6"/>
        </w:numPr>
        <w:rPr>
          <w:rFonts w:ascii="Tahoma" w:hAnsi="Tahoma" w:cs="Tahoma"/>
          <w:sz w:val="19"/>
          <w:szCs w:val="19"/>
        </w:rPr>
      </w:pPr>
      <w:r w:rsidRPr="00B1111A">
        <w:rPr>
          <w:rFonts w:ascii="Tahoma" w:hAnsi="Tahoma" w:cs="Tahoma"/>
          <w:sz w:val="19"/>
          <w:szCs w:val="19"/>
        </w:rPr>
        <w:t>T</w:t>
      </w:r>
      <w:r w:rsidR="003A0204" w:rsidRPr="00B1111A">
        <w:rPr>
          <w:rFonts w:ascii="Tahoma" w:hAnsi="Tahoma" w:cs="Tahoma"/>
          <w:sz w:val="19"/>
          <w:szCs w:val="19"/>
        </w:rPr>
        <w:t>o improve business decision making due to increased data accuracy</w:t>
      </w:r>
    </w:p>
    <w:p w:rsidR="00BC2A55" w:rsidRPr="00B1111A" w:rsidRDefault="00BC2A55" w:rsidP="00BC2A55">
      <w:pPr>
        <w:pStyle w:val="ListParagraph"/>
        <w:numPr>
          <w:ilvl w:val="0"/>
          <w:numId w:val="6"/>
        </w:numPr>
        <w:rPr>
          <w:rFonts w:ascii="Tahoma" w:hAnsi="Tahoma" w:cs="Tahoma"/>
          <w:sz w:val="19"/>
          <w:szCs w:val="19"/>
        </w:rPr>
      </w:pPr>
      <w:r w:rsidRPr="00B1111A">
        <w:rPr>
          <w:rFonts w:ascii="Tahoma" w:hAnsi="Tahoma" w:cs="Tahoma"/>
          <w:sz w:val="19"/>
          <w:szCs w:val="19"/>
        </w:rPr>
        <w:t>R</w:t>
      </w:r>
      <w:r w:rsidR="003A0204" w:rsidRPr="00B1111A">
        <w:rPr>
          <w:rFonts w:ascii="Tahoma" w:hAnsi="Tahoma" w:cs="Tahoma"/>
          <w:sz w:val="19"/>
          <w:szCs w:val="19"/>
        </w:rPr>
        <w:t>educe data redundancy and related maintenance costs</w:t>
      </w:r>
    </w:p>
    <w:p w:rsidR="00EC5948" w:rsidRPr="00B1111A" w:rsidRDefault="00BC2A55" w:rsidP="00BC2A55">
      <w:pPr>
        <w:pStyle w:val="ListParagraph"/>
        <w:numPr>
          <w:ilvl w:val="0"/>
          <w:numId w:val="6"/>
        </w:numPr>
        <w:rPr>
          <w:rFonts w:ascii="Tahoma" w:hAnsi="Tahoma" w:cs="Tahoma"/>
          <w:sz w:val="19"/>
          <w:szCs w:val="19"/>
        </w:rPr>
      </w:pPr>
      <w:r w:rsidRPr="00B1111A">
        <w:rPr>
          <w:rFonts w:ascii="Tahoma" w:hAnsi="Tahoma" w:cs="Tahoma"/>
          <w:sz w:val="19"/>
          <w:szCs w:val="19"/>
        </w:rPr>
        <w:t>C</w:t>
      </w:r>
      <w:r w:rsidR="003A0204" w:rsidRPr="00B1111A">
        <w:rPr>
          <w:rFonts w:ascii="Tahoma" w:hAnsi="Tahoma" w:cs="Tahoma"/>
          <w:sz w:val="19"/>
          <w:szCs w:val="19"/>
        </w:rPr>
        <w:t>omply with laws and regulations</w:t>
      </w:r>
    </w:p>
    <w:p w:rsidR="00A142D8" w:rsidRDefault="00EC5948" w:rsidP="00BC2A55">
      <w:pPr>
        <w:pStyle w:val="ListParagraph"/>
        <w:numPr>
          <w:ilvl w:val="0"/>
          <w:numId w:val="6"/>
        </w:numPr>
        <w:rPr>
          <w:rFonts w:ascii="Tahoma" w:hAnsi="Tahoma" w:cs="Tahoma"/>
          <w:sz w:val="19"/>
          <w:szCs w:val="19"/>
        </w:rPr>
      </w:pPr>
      <w:r w:rsidRPr="00B1111A">
        <w:rPr>
          <w:rFonts w:ascii="Tahoma" w:hAnsi="Tahoma" w:cs="Tahoma"/>
          <w:sz w:val="19"/>
          <w:szCs w:val="19"/>
        </w:rPr>
        <w:t>Reduce exposure of the company’s data to loss or theft</w:t>
      </w:r>
      <w:r w:rsidR="003A0204" w:rsidRPr="00B1111A">
        <w:rPr>
          <w:rFonts w:ascii="Tahoma" w:hAnsi="Tahoma" w:cs="Tahoma"/>
          <w:sz w:val="19"/>
          <w:szCs w:val="19"/>
        </w:rPr>
        <w:t xml:space="preserve">. </w:t>
      </w:r>
    </w:p>
    <w:p w:rsidR="00C14D57" w:rsidRDefault="00C14D57" w:rsidP="00C14D57">
      <w:pPr>
        <w:rPr>
          <w:rFonts w:ascii="Tahoma" w:hAnsi="Tahoma" w:cs="Tahoma"/>
          <w:sz w:val="19"/>
          <w:szCs w:val="19"/>
        </w:rPr>
      </w:pPr>
    </w:p>
    <w:p w:rsidR="001C1066" w:rsidRPr="008418F8" w:rsidRDefault="001C1066" w:rsidP="001C1066">
      <w:pPr>
        <w:pStyle w:val="Text"/>
        <w:spacing w:before="240"/>
        <w:rPr>
          <w:i/>
          <w:sz w:val="18"/>
          <w:szCs w:val="18"/>
        </w:rPr>
      </w:pPr>
      <w:r w:rsidRPr="008418F8">
        <w:rPr>
          <w:i/>
          <w:sz w:val="18"/>
          <w:szCs w:val="18"/>
        </w:rPr>
        <w:t>For more information on Microsoft’s work in computer security, privacy, and online safety, please visit: www.microsoft.com/</w:t>
      </w:r>
      <w:r w:rsidRPr="008418F8">
        <w:rPr>
          <w:rStyle w:val="CommentReference"/>
          <w:i/>
          <w:sz w:val="18"/>
          <w:szCs w:val="18"/>
        </w:rPr>
        <w:t>mscorp/twc</w:t>
      </w:r>
    </w:p>
    <w:p w:rsidR="001C1066" w:rsidRPr="00C14D57" w:rsidRDefault="001C1066" w:rsidP="00C14D57">
      <w:pPr>
        <w:rPr>
          <w:rFonts w:ascii="Tahoma" w:hAnsi="Tahoma" w:cs="Tahoma"/>
          <w:sz w:val="19"/>
          <w:szCs w:val="19"/>
        </w:rPr>
      </w:pPr>
    </w:p>
    <w:sectPr w:rsidR="001C1066" w:rsidRPr="00C14D57" w:rsidSect="00611BC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D63" w:rsidRDefault="00392D63" w:rsidP="00D2586B">
      <w:pPr>
        <w:spacing w:after="0" w:line="240" w:lineRule="auto"/>
      </w:pPr>
      <w:r>
        <w:separator/>
      </w:r>
    </w:p>
  </w:endnote>
  <w:endnote w:type="continuationSeparator" w:id="1">
    <w:p w:rsidR="00392D63" w:rsidRDefault="00392D63" w:rsidP="00D25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D63" w:rsidRDefault="00392D63" w:rsidP="00D2586B">
      <w:pPr>
        <w:spacing w:after="0" w:line="240" w:lineRule="auto"/>
      </w:pPr>
      <w:r>
        <w:separator/>
      </w:r>
    </w:p>
  </w:footnote>
  <w:footnote w:type="continuationSeparator" w:id="1">
    <w:p w:rsidR="00392D63" w:rsidRDefault="00392D63" w:rsidP="00D2586B">
      <w:pPr>
        <w:spacing w:after="0" w:line="240" w:lineRule="auto"/>
      </w:pPr>
      <w:r>
        <w:continuationSeparator/>
      </w:r>
    </w:p>
  </w:footnote>
  <w:footnote w:id="2">
    <w:p w:rsidR="00B1111A" w:rsidRPr="0069373F" w:rsidRDefault="00B1111A" w:rsidP="00B1111A">
      <w:pPr>
        <w:pStyle w:val="FootnoteText"/>
      </w:pPr>
      <w:r w:rsidRPr="00BD1628">
        <w:rPr>
          <w:rStyle w:val="FootnoteReference"/>
        </w:rPr>
        <w:footnoteRef/>
      </w:r>
      <w:r w:rsidRPr="00BD1628">
        <w:t xml:space="preserve"> Note that our use of the term </w:t>
      </w:r>
      <w:r w:rsidRPr="00BD1628">
        <w:rPr>
          <w:i/>
        </w:rPr>
        <w:t>Data Retention</w:t>
      </w:r>
      <w:r w:rsidRPr="00BD1628">
        <w:t xml:space="preserve"> relates to issues that are different, and largely unrelated, to those discussed in the </w:t>
      </w:r>
      <w:r w:rsidRPr="00BD1628">
        <w:rPr>
          <w:i/>
        </w:rPr>
        <w:t>Data Retention Directive</w:t>
      </w:r>
      <w:r w:rsidRPr="00BD1628">
        <w:t xml:space="preserve"> that was passed by the European Parliament in March of 2006. </w:t>
      </w:r>
      <w:r>
        <w:t>It</w:t>
      </w:r>
      <w:r w:rsidRPr="00BD1628">
        <w:t xml:space="preserve"> discusses requirement</w:t>
      </w:r>
      <w:r>
        <w:t>s</w:t>
      </w:r>
      <w:r w:rsidRPr="00BD1628">
        <w:t xml:space="preserve"> for electronic communications services and networks to store traffic data related to telephone calls and e-mails for periods of up to two years.</w:t>
      </w:r>
      <w:r>
        <w:t xml:space="preserve">  </w:t>
      </w:r>
    </w:p>
  </w:footnote>
  <w:footnote w:id="3">
    <w:p w:rsidR="00BC2A55" w:rsidRDefault="00BC2A55" w:rsidP="00662BAA">
      <w:pPr>
        <w:pStyle w:val="FootnoteText"/>
      </w:pPr>
      <w:r>
        <w:rPr>
          <w:rStyle w:val="FootnoteReference"/>
        </w:rPr>
        <w:footnoteRef/>
      </w:r>
      <w:r>
        <w:t xml:space="preserve"> Source: Verizon Business Risk Team, “2008 Verizon Data Breach Investigations Report”, </w:t>
      </w:r>
      <w:r w:rsidRPr="003F67A9">
        <w:t>http://www.verizonbusiness.com/resources/security/databreachreport.pdf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63F"/>
    <w:multiLevelType w:val="hybridMultilevel"/>
    <w:tmpl w:val="8206B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86F81"/>
    <w:multiLevelType w:val="hybridMultilevel"/>
    <w:tmpl w:val="024C7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84982"/>
    <w:multiLevelType w:val="hybridMultilevel"/>
    <w:tmpl w:val="82601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A1A01"/>
    <w:multiLevelType w:val="hybridMultilevel"/>
    <w:tmpl w:val="7EB68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AA012D"/>
    <w:multiLevelType w:val="hybridMultilevel"/>
    <w:tmpl w:val="85FA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7E13C6"/>
    <w:multiLevelType w:val="hybridMultilevel"/>
    <w:tmpl w:val="9660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FD24AF"/>
    <w:multiLevelType w:val="hybridMultilevel"/>
    <w:tmpl w:val="81C4D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534B11"/>
    <w:multiLevelType w:val="hybridMultilevel"/>
    <w:tmpl w:val="3F1C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EB57B4"/>
    <w:multiLevelType w:val="hybridMultilevel"/>
    <w:tmpl w:val="9F36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A706E1"/>
    <w:multiLevelType w:val="hybridMultilevel"/>
    <w:tmpl w:val="33F49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8"/>
  </w:num>
  <w:num w:numId="6">
    <w:abstractNumId w:val="5"/>
  </w:num>
  <w:num w:numId="7">
    <w:abstractNumId w:val="6"/>
  </w:num>
  <w:num w:numId="8">
    <w:abstractNumId w:val="9"/>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F741B"/>
    <w:rsid w:val="00025C23"/>
    <w:rsid w:val="00025C96"/>
    <w:rsid w:val="00032E65"/>
    <w:rsid w:val="00067E71"/>
    <w:rsid w:val="00072B87"/>
    <w:rsid w:val="00074ECA"/>
    <w:rsid w:val="0008478A"/>
    <w:rsid w:val="000A05B8"/>
    <w:rsid w:val="000A3874"/>
    <w:rsid w:val="000B31A8"/>
    <w:rsid w:val="000D0B65"/>
    <w:rsid w:val="000D105F"/>
    <w:rsid w:val="000D1867"/>
    <w:rsid w:val="000E149F"/>
    <w:rsid w:val="0010399D"/>
    <w:rsid w:val="00122072"/>
    <w:rsid w:val="00126FDD"/>
    <w:rsid w:val="001309AB"/>
    <w:rsid w:val="00143C75"/>
    <w:rsid w:val="001550B1"/>
    <w:rsid w:val="00197B5E"/>
    <w:rsid w:val="001A3ACC"/>
    <w:rsid w:val="001A6B42"/>
    <w:rsid w:val="001B2947"/>
    <w:rsid w:val="001C1066"/>
    <w:rsid w:val="001D0A6B"/>
    <w:rsid w:val="001D1973"/>
    <w:rsid w:val="001E517C"/>
    <w:rsid w:val="00204725"/>
    <w:rsid w:val="002134D7"/>
    <w:rsid w:val="00231F07"/>
    <w:rsid w:val="00242171"/>
    <w:rsid w:val="002737B2"/>
    <w:rsid w:val="002740C4"/>
    <w:rsid w:val="00277BB8"/>
    <w:rsid w:val="00291F33"/>
    <w:rsid w:val="00296835"/>
    <w:rsid w:val="002A3FE7"/>
    <w:rsid w:val="002B136D"/>
    <w:rsid w:val="002F760C"/>
    <w:rsid w:val="0030718F"/>
    <w:rsid w:val="003256D9"/>
    <w:rsid w:val="00330AC7"/>
    <w:rsid w:val="0033273E"/>
    <w:rsid w:val="00347091"/>
    <w:rsid w:val="00352430"/>
    <w:rsid w:val="00353363"/>
    <w:rsid w:val="00356DEB"/>
    <w:rsid w:val="00356F58"/>
    <w:rsid w:val="00375562"/>
    <w:rsid w:val="003760C9"/>
    <w:rsid w:val="00391616"/>
    <w:rsid w:val="00392D63"/>
    <w:rsid w:val="003A0204"/>
    <w:rsid w:val="003C77B0"/>
    <w:rsid w:val="003E0302"/>
    <w:rsid w:val="003E574B"/>
    <w:rsid w:val="003F4F6A"/>
    <w:rsid w:val="00403364"/>
    <w:rsid w:val="00417FBB"/>
    <w:rsid w:val="00436B3F"/>
    <w:rsid w:val="004555BE"/>
    <w:rsid w:val="0046074D"/>
    <w:rsid w:val="00467D94"/>
    <w:rsid w:val="0047725A"/>
    <w:rsid w:val="00486A44"/>
    <w:rsid w:val="00492087"/>
    <w:rsid w:val="004A5621"/>
    <w:rsid w:val="00503EBA"/>
    <w:rsid w:val="00527388"/>
    <w:rsid w:val="005409D3"/>
    <w:rsid w:val="005449A0"/>
    <w:rsid w:val="00551010"/>
    <w:rsid w:val="00552AC6"/>
    <w:rsid w:val="00562036"/>
    <w:rsid w:val="00591813"/>
    <w:rsid w:val="005B4CFC"/>
    <w:rsid w:val="005B7600"/>
    <w:rsid w:val="005B7C46"/>
    <w:rsid w:val="005C7FA4"/>
    <w:rsid w:val="005E0489"/>
    <w:rsid w:val="005E3C07"/>
    <w:rsid w:val="005E51D2"/>
    <w:rsid w:val="005F54BB"/>
    <w:rsid w:val="00603E10"/>
    <w:rsid w:val="00611BC8"/>
    <w:rsid w:val="00632EF5"/>
    <w:rsid w:val="00640257"/>
    <w:rsid w:val="00643126"/>
    <w:rsid w:val="00662BAA"/>
    <w:rsid w:val="0066333B"/>
    <w:rsid w:val="006635FA"/>
    <w:rsid w:val="00683CFD"/>
    <w:rsid w:val="00683DC0"/>
    <w:rsid w:val="006849FB"/>
    <w:rsid w:val="0069373F"/>
    <w:rsid w:val="00694042"/>
    <w:rsid w:val="006A5861"/>
    <w:rsid w:val="006B29DE"/>
    <w:rsid w:val="006D1E3F"/>
    <w:rsid w:val="00701425"/>
    <w:rsid w:val="00723A21"/>
    <w:rsid w:val="00724F77"/>
    <w:rsid w:val="00747A37"/>
    <w:rsid w:val="007615D8"/>
    <w:rsid w:val="00771F69"/>
    <w:rsid w:val="00790D80"/>
    <w:rsid w:val="00795D9F"/>
    <w:rsid w:val="007A7316"/>
    <w:rsid w:val="007B273C"/>
    <w:rsid w:val="007D58C2"/>
    <w:rsid w:val="007E03AC"/>
    <w:rsid w:val="007E0F8E"/>
    <w:rsid w:val="008108C0"/>
    <w:rsid w:val="00815204"/>
    <w:rsid w:val="00837C55"/>
    <w:rsid w:val="008422D0"/>
    <w:rsid w:val="008479FC"/>
    <w:rsid w:val="00862060"/>
    <w:rsid w:val="00884597"/>
    <w:rsid w:val="00887EE3"/>
    <w:rsid w:val="008B0342"/>
    <w:rsid w:val="008C209C"/>
    <w:rsid w:val="008C3717"/>
    <w:rsid w:val="008D50CE"/>
    <w:rsid w:val="008E361F"/>
    <w:rsid w:val="008F4827"/>
    <w:rsid w:val="00907B37"/>
    <w:rsid w:val="00930D59"/>
    <w:rsid w:val="00931EA6"/>
    <w:rsid w:val="00942A7E"/>
    <w:rsid w:val="009474DC"/>
    <w:rsid w:val="00947CEF"/>
    <w:rsid w:val="009639E7"/>
    <w:rsid w:val="0097479F"/>
    <w:rsid w:val="00993CA1"/>
    <w:rsid w:val="009A1CF8"/>
    <w:rsid w:val="009B15D0"/>
    <w:rsid w:val="009B77AD"/>
    <w:rsid w:val="009C3BD6"/>
    <w:rsid w:val="009E3223"/>
    <w:rsid w:val="00A142D8"/>
    <w:rsid w:val="00A17172"/>
    <w:rsid w:val="00A21A45"/>
    <w:rsid w:val="00A22106"/>
    <w:rsid w:val="00A40ED0"/>
    <w:rsid w:val="00A42976"/>
    <w:rsid w:val="00A65E0C"/>
    <w:rsid w:val="00A666C3"/>
    <w:rsid w:val="00A70E47"/>
    <w:rsid w:val="00A779B4"/>
    <w:rsid w:val="00A77D57"/>
    <w:rsid w:val="00A94DE5"/>
    <w:rsid w:val="00AE5720"/>
    <w:rsid w:val="00AE5A0F"/>
    <w:rsid w:val="00AF32E8"/>
    <w:rsid w:val="00AF741B"/>
    <w:rsid w:val="00B1111A"/>
    <w:rsid w:val="00B15219"/>
    <w:rsid w:val="00B22B0C"/>
    <w:rsid w:val="00B33074"/>
    <w:rsid w:val="00B37A7F"/>
    <w:rsid w:val="00B60E71"/>
    <w:rsid w:val="00B667F4"/>
    <w:rsid w:val="00B667F8"/>
    <w:rsid w:val="00B7712F"/>
    <w:rsid w:val="00B9222F"/>
    <w:rsid w:val="00B92B2D"/>
    <w:rsid w:val="00B972EA"/>
    <w:rsid w:val="00BA5207"/>
    <w:rsid w:val="00BA69D1"/>
    <w:rsid w:val="00BC2A55"/>
    <w:rsid w:val="00BC6306"/>
    <w:rsid w:val="00BD1628"/>
    <w:rsid w:val="00BE2656"/>
    <w:rsid w:val="00BE526C"/>
    <w:rsid w:val="00BF150A"/>
    <w:rsid w:val="00C05CDF"/>
    <w:rsid w:val="00C061D6"/>
    <w:rsid w:val="00C14D57"/>
    <w:rsid w:val="00C233EE"/>
    <w:rsid w:val="00C23E5F"/>
    <w:rsid w:val="00C273B2"/>
    <w:rsid w:val="00C310C8"/>
    <w:rsid w:val="00C35353"/>
    <w:rsid w:val="00C36EEB"/>
    <w:rsid w:val="00C42136"/>
    <w:rsid w:val="00C43C02"/>
    <w:rsid w:val="00C50650"/>
    <w:rsid w:val="00C61236"/>
    <w:rsid w:val="00C64055"/>
    <w:rsid w:val="00C87FC5"/>
    <w:rsid w:val="00C91CE0"/>
    <w:rsid w:val="00CB03C4"/>
    <w:rsid w:val="00CB5FD8"/>
    <w:rsid w:val="00CB669B"/>
    <w:rsid w:val="00CB6948"/>
    <w:rsid w:val="00CC2761"/>
    <w:rsid w:val="00CF05BF"/>
    <w:rsid w:val="00CF4F32"/>
    <w:rsid w:val="00D16F82"/>
    <w:rsid w:val="00D20C50"/>
    <w:rsid w:val="00D25832"/>
    <w:rsid w:val="00D2586B"/>
    <w:rsid w:val="00D51C68"/>
    <w:rsid w:val="00D52F25"/>
    <w:rsid w:val="00D53087"/>
    <w:rsid w:val="00D55C96"/>
    <w:rsid w:val="00D67DF8"/>
    <w:rsid w:val="00D75647"/>
    <w:rsid w:val="00D801F8"/>
    <w:rsid w:val="00D97070"/>
    <w:rsid w:val="00DA1833"/>
    <w:rsid w:val="00DA6600"/>
    <w:rsid w:val="00DC614D"/>
    <w:rsid w:val="00DC6596"/>
    <w:rsid w:val="00DF1D98"/>
    <w:rsid w:val="00E1101C"/>
    <w:rsid w:val="00E224E6"/>
    <w:rsid w:val="00E548E6"/>
    <w:rsid w:val="00E66102"/>
    <w:rsid w:val="00E66D63"/>
    <w:rsid w:val="00E75C41"/>
    <w:rsid w:val="00E95E8A"/>
    <w:rsid w:val="00E970BC"/>
    <w:rsid w:val="00EB0FF5"/>
    <w:rsid w:val="00EC5948"/>
    <w:rsid w:val="00EC7911"/>
    <w:rsid w:val="00EF017C"/>
    <w:rsid w:val="00EF19DD"/>
    <w:rsid w:val="00EF537C"/>
    <w:rsid w:val="00F017C9"/>
    <w:rsid w:val="00F12DB5"/>
    <w:rsid w:val="00F22213"/>
    <w:rsid w:val="00F32672"/>
    <w:rsid w:val="00F53140"/>
    <w:rsid w:val="00F744BD"/>
    <w:rsid w:val="00F80219"/>
    <w:rsid w:val="00F82875"/>
    <w:rsid w:val="00FA5CCC"/>
    <w:rsid w:val="00FB09F4"/>
    <w:rsid w:val="00FF2C22"/>
    <w:rsid w:val="00FF4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BC8"/>
  </w:style>
  <w:style w:type="paragraph" w:styleId="Heading1">
    <w:name w:val="heading 1"/>
    <w:basedOn w:val="Normal"/>
    <w:next w:val="Normal"/>
    <w:link w:val="Heading1Char"/>
    <w:uiPriority w:val="9"/>
    <w:qFormat/>
    <w:rsid w:val="00AF74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41B"/>
    <w:rPr>
      <w:rFonts w:asciiTheme="majorHAnsi" w:eastAsiaTheme="majorEastAsia" w:hAnsiTheme="majorHAnsi" w:cstheme="majorBidi"/>
      <w:b/>
      <w:bCs/>
      <w:color w:val="365F91" w:themeColor="accent1" w:themeShade="BF"/>
      <w:sz w:val="28"/>
      <w:szCs w:val="28"/>
    </w:rPr>
  </w:style>
  <w:style w:type="paragraph" w:customStyle="1" w:styleId="H1">
    <w:name w:val="H1"/>
    <w:basedOn w:val="Normal"/>
    <w:uiPriority w:val="99"/>
    <w:rsid w:val="00AF741B"/>
    <w:pPr>
      <w:keepNext/>
      <w:spacing w:before="380" w:after="120" w:line="240" w:lineRule="auto"/>
    </w:pPr>
    <w:rPr>
      <w:rFonts w:ascii="Tahoma" w:eastAsia="Times New Roman" w:hAnsi="Tahoma" w:cs="Tahoma"/>
      <w:b/>
      <w:color w:val="45AED1"/>
      <w:sz w:val="24"/>
      <w:szCs w:val="24"/>
    </w:rPr>
  </w:style>
  <w:style w:type="paragraph" w:customStyle="1" w:styleId="H3">
    <w:name w:val="H3"/>
    <w:uiPriority w:val="99"/>
    <w:rsid w:val="005E0489"/>
    <w:pPr>
      <w:keepNext/>
      <w:spacing w:before="120" w:after="90" w:line="240" w:lineRule="auto"/>
    </w:pPr>
    <w:rPr>
      <w:rFonts w:ascii="Tahoma" w:eastAsia="Times New Roman" w:hAnsi="Tahoma" w:cs="Tahoma"/>
      <w:b/>
      <w:i/>
      <w:sz w:val="19"/>
      <w:szCs w:val="19"/>
    </w:rPr>
  </w:style>
  <w:style w:type="paragraph" w:customStyle="1" w:styleId="Text">
    <w:name w:val="Text"/>
    <w:basedOn w:val="Normal"/>
    <w:uiPriority w:val="99"/>
    <w:qFormat/>
    <w:rsid w:val="005E0489"/>
    <w:pPr>
      <w:spacing w:after="120" w:line="280" w:lineRule="exact"/>
    </w:pPr>
    <w:rPr>
      <w:rFonts w:ascii="Tahoma" w:eastAsia="Times New Roman" w:hAnsi="Tahoma" w:cs="Tahoma"/>
      <w:sz w:val="19"/>
      <w:szCs w:val="19"/>
    </w:rPr>
  </w:style>
  <w:style w:type="paragraph" w:styleId="ListParagraph">
    <w:name w:val="List Paragraph"/>
    <w:basedOn w:val="Normal"/>
    <w:uiPriority w:val="34"/>
    <w:qFormat/>
    <w:rsid w:val="00025C23"/>
    <w:pPr>
      <w:ind w:left="720"/>
      <w:contextualSpacing/>
    </w:pPr>
  </w:style>
  <w:style w:type="character" w:styleId="CommentReference">
    <w:name w:val="annotation reference"/>
    <w:basedOn w:val="DefaultParagraphFont"/>
    <w:uiPriority w:val="99"/>
    <w:semiHidden/>
    <w:unhideWhenUsed/>
    <w:rsid w:val="007E0F8E"/>
    <w:rPr>
      <w:sz w:val="16"/>
      <w:szCs w:val="16"/>
    </w:rPr>
  </w:style>
  <w:style w:type="paragraph" w:styleId="CommentText">
    <w:name w:val="annotation text"/>
    <w:basedOn w:val="Normal"/>
    <w:link w:val="CommentTextChar"/>
    <w:uiPriority w:val="99"/>
    <w:semiHidden/>
    <w:unhideWhenUsed/>
    <w:rsid w:val="007E0F8E"/>
    <w:pPr>
      <w:spacing w:line="240" w:lineRule="auto"/>
    </w:pPr>
    <w:rPr>
      <w:sz w:val="20"/>
      <w:szCs w:val="20"/>
    </w:rPr>
  </w:style>
  <w:style w:type="character" w:customStyle="1" w:styleId="CommentTextChar">
    <w:name w:val="Comment Text Char"/>
    <w:basedOn w:val="DefaultParagraphFont"/>
    <w:link w:val="CommentText"/>
    <w:uiPriority w:val="99"/>
    <w:semiHidden/>
    <w:rsid w:val="007E0F8E"/>
    <w:rPr>
      <w:sz w:val="20"/>
      <w:szCs w:val="20"/>
    </w:rPr>
  </w:style>
  <w:style w:type="paragraph" w:styleId="CommentSubject">
    <w:name w:val="annotation subject"/>
    <w:basedOn w:val="CommentText"/>
    <w:next w:val="CommentText"/>
    <w:link w:val="CommentSubjectChar"/>
    <w:uiPriority w:val="99"/>
    <w:semiHidden/>
    <w:unhideWhenUsed/>
    <w:rsid w:val="007E0F8E"/>
    <w:rPr>
      <w:b/>
      <w:bCs/>
    </w:rPr>
  </w:style>
  <w:style w:type="character" w:customStyle="1" w:styleId="CommentSubjectChar">
    <w:name w:val="Comment Subject Char"/>
    <w:basedOn w:val="CommentTextChar"/>
    <w:link w:val="CommentSubject"/>
    <w:uiPriority w:val="99"/>
    <w:semiHidden/>
    <w:rsid w:val="007E0F8E"/>
    <w:rPr>
      <w:b/>
      <w:bCs/>
    </w:rPr>
  </w:style>
  <w:style w:type="paragraph" w:styleId="BalloonText">
    <w:name w:val="Balloon Text"/>
    <w:basedOn w:val="Normal"/>
    <w:link w:val="BalloonTextChar"/>
    <w:uiPriority w:val="99"/>
    <w:semiHidden/>
    <w:unhideWhenUsed/>
    <w:rsid w:val="007E0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F8E"/>
    <w:rPr>
      <w:rFonts w:ascii="Tahoma" w:hAnsi="Tahoma" w:cs="Tahoma"/>
      <w:sz w:val="16"/>
      <w:szCs w:val="16"/>
    </w:rPr>
  </w:style>
  <w:style w:type="paragraph" w:styleId="Header">
    <w:name w:val="header"/>
    <w:basedOn w:val="Normal"/>
    <w:link w:val="HeaderChar"/>
    <w:uiPriority w:val="99"/>
    <w:semiHidden/>
    <w:unhideWhenUsed/>
    <w:rsid w:val="00D258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586B"/>
  </w:style>
  <w:style w:type="paragraph" w:styleId="Footer">
    <w:name w:val="footer"/>
    <w:basedOn w:val="Normal"/>
    <w:link w:val="FooterChar"/>
    <w:uiPriority w:val="99"/>
    <w:semiHidden/>
    <w:unhideWhenUsed/>
    <w:rsid w:val="00D258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586B"/>
  </w:style>
  <w:style w:type="paragraph" w:customStyle="1" w:styleId="H2">
    <w:name w:val="H2"/>
    <w:basedOn w:val="Normal"/>
    <w:uiPriority w:val="99"/>
    <w:rsid w:val="009474DC"/>
    <w:pPr>
      <w:keepNext/>
      <w:spacing w:before="130" w:after="80" w:line="240" w:lineRule="auto"/>
    </w:pPr>
    <w:rPr>
      <w:rFonts w:ascii="Tahoma" w:eastAsia="Times New Roman" w:hAnsi="Tahoma" w:cs="Tahoma"/>
      <w:b/>
      <w:szCs w:val="19"/>
    </w:rPr>
  </w:style>
  <w:style w:type="paragraph" w:styleId="Revision">
    <w:name w:val="Revision"/>
    <w:hidden/>
    <w:uiPriority w:val="99"/>
    <w:semiHidden/>
    <w:rsid w:val="00683CFD"/>
    <w:pPr>
      <w:spacing w:after="0" w:line="240" w:lineRule="auto"/>
    </w:pPr>
  </w:style>
  <w:style w:type="paragraph" w:styleId="FootnoteText">
    <w:name w:val="footnote text"/>
    <w:basedOn w:val="Normal"/>
    <w:link w:val="FootnoteTextChar"/>
    <w:uiPriority w:val="99"/>
    <w:semiHidden/>
    <w:qFormat/>
    <w:rsid w:val="00662BAA"/>
    <w:pPr>
      <w:spacing w:after="80" w:line="180" w:lineRule="exact"/>
    </w:pPr>
    <w:rPr>
      <w:rFonts w:ascii="Tahoma" w:eastAsia="Times New Roman" w:hAnsi="Tahoma" w:cs="Times New Roman"/>
      <w:sz w:val="16"/>
      <w:szCs w:val="20"/>
    </w:rPr>
  </w:style>
  <w:style w:type="character" w:customStyle="1" w:styleId="FootnoteTextChar">
    <w:name w:val="Footnote Text Char"/>
    <w:basedOn w:val="DefaultParagraphFont"/>
    <w:link w:val="FootnoteText"/>
    <w:uiPriority w:val="99"/>
    <w:semiHidden/>
    <w:rsid w:val="00662BAA"/>
    <w:rPr>
      <w:rFonts w:ascii="Tahoma" w:eastAsia="Times New Roman" w:hAnsi="Tahoma" w:cs="Times New Roman"/>
      <w:sz w:val="16"/>
      <w:szCs w:val="20"/>
    </w:rPr>
  </w:style>
  <w:style w:type="character" w:styleId="FootnoteReference">
    <w:name w:val="footnote reference"/>
    <w:basedOn w:val="DefaultParagraphFont"/>
    <w:uiPriority w:val="99"/>
    <w:semiHidden/>
    <w:qFormat/>
    <w:rsid w:val="00662BAA"/>
    <w:rPr>
      <w:rFonts w:ascii="Tahoma" w:hAnsi="Tahoma" w:cs="Times New Roman"/>
      <w:sz w:val="16"/>
      <w:vertAlign w:val="superscript"/>
    </w:rPr>
  </w:style>
  <w:style w:type="character" w:styleId="Hyperlink">
    <w:name w:val="Hyperlink"/>
    <w:basedOn w:val="DefaultParagraphFont"/>
    <w:uiPriority w:val="99"/>
    <w:unhideWhenUsed/>
    <w:rsid w:val="009C3BD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80A1CC56AAF449B48872B8BAF03511" ma:contentTypeVersion="0" ma:contentTypeDescription="Create a new document." ma:contentTypeScope="" ma:versionID="a868627aed807437696a828b0554980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6E73D3E-C371-4D33-A141-8DC42C111992}">
  <ds:schemaRefs>
    <ds:schemaRef ds:uri="http://schemas.microsoft.com/office/2006/metadata/properties"/>
  </ds:schemaRefs>
</ds:datastoreItem>
</file>

<file path=customXml/itemProps2.xml><?xml version="1.0" encoding="utf-8"?>
<ds:datastoreItem xmlns:ds="http://schemas.openxmlformats.org/officeDocument/2006/customXml" ds:itemID="{26885516-AFDD-4261-9E27-F4415003D3AB}">
  <ds:schemaRefs>
    <ds:schemaRef ds:uri="http://schemas.microsoft.com/sharepoint/v3/contenttype/forms"/>
  </ds:schemaRefs>
</ds:datastoreItem>
</file>

<file path=customXml/itemProps3.xml><?xml version="1.0" encoding="utf-8"?>
<ds:datastoreItem xmlns:ds="http://schemas.openxmlformats.org/officeDocument/2006/customXml" ds:itemID="{AEBF8351-5FFA-4979-BC73-7A8F1E3758CD}">
  <ds:schemaRefs>
    <ds:schemaRef ds:uri="http://schemas.openxmlformats.org/officeDocument/2006/bibliography"/>
  </ds:schemaRefs>
</ds:datastoreItem>
</file>

<file path=customXml/itemProps4.xml><?xml version="1.0" encoding="utf-8"?>
<ds:datastoreItem xmlns:ds="http://schemas.openxmlformats.org/officeDocument/2006/customXml" ds:itemID="{68391FC9-7C15-4227-82A6-97590D6C6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4820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Howie</dc:creator>
  <cp:lastModifiedBy>Javier Salido</cp:lastModifiedBy>
  <cp:revision>2</cp:revision>
  <dcterms:created xsi:type="dcterms:W3CDTF">2009-03-09T20:02:00Z</dcterms:created>
  <dcterms:modified xsi:type="dcterms:W3CDTF">2009-03-09T20:02:00Z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0x010100A380A1CC56AAF449B48872B8BAF03511</vt:lpwstr>
  </property>
</Properties>
</file>