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Tr="00AF07BE">
        <w:tblPrEx>
          <w:tblCellMar>
            <w:top w:w="0" w:type="dxa"/>
            <w:bottom w:w="0" w:type="dxa"/>
          </w:tblCellMar>
        </w:tblPrEx>
        <w:trPr>
          <w:cantSplit/>
          <w:trHeight w:hRule="exact" w:val="1970"/>
        </w:trPr>
        <w:tc>
          <w:tcPr>
            <w:tcW w:w="3119" w:type="dxa"/>
            <w:vMerge w:val="restart"/>
          </w:tcPr>
          <w:p w:rsidR="003119F1" w:rsidRDefault="003119F1">
            <w:pPr>
              <w:pStyle w:val="SectionHeading"/>
              <w:spacing w:before="100"/>
            </w:pPr>
            <w:bookmarkStart w:id="0" w:name="TableColumn" w:colFirst="1" w:colLast="1"/>
            <w:r>
              <w:t>Overview</w:t>
            </w:r>
          </w:p>
          <w:p w:rsidR="003119F1" w:rsidRDefault="003119F1">
            <w:pPr>
              <w:pStyle w:val="Bodycopy"/>
            </w:pPr>
            <w:r>
              <w:rPr>
                <w:rFonts w:ascii="Franklin Gothic Heavy" w:hAnsi="Franklin Gothic Heavy"/>
              </w:rPr>
              <w:t>Country</w:t>
            </w:r>
            <w:r w:rsidR="006E5542">
              <w:rPr>
                <w:rFonts w:ascii="Franklin Gothic Heavy" w:hAnsi="Franklin Gothic Heavy"/>
              </w:rPr>
              <w:t xml:space="preserve"> or Region</w:t>
            </w:r>
            <w:r>
              <w:rPr>
                <w:rFonts w:ascii="Franklin Gothic Heavy" w:hAnsi="Franklin Gothic Heavy"/>
              </w:rPr>
              <w:t>:</w:t>
            </w:r>
            <w:r>
              <w:t xml:space="preserve"> </w:t>
            </w:r>
            <w:bookmarkStart w:id="1" w:name="OverviewCountry"/>
            <w:r w:rsidR="00AF07BE">
              <w:t>Canada</w:t>
            </w:r>
            <w:bookmarkEnd w:id="1"/>
          </w:p>
          <w:p w:rsidR="00160A13" w:rsidRDefault="00160A13">
            <w:pPr>
              <w:pStyle w:val="Bodycopy"/>
              <w:rPr>
                <w:rFonts w:ascii="Franklin Gothic Heavy" w:hAnsi="Franklin Gothic Heavy"/>
              </w:rPr>
            </w:pPr>
          </w:p>
          <w:p w:rsidR="003119F1" w:rsidRDefault="003119F1">
            <w:pPr>
              <w:pStyle w:val="Bodycopy"/>
            </w:pPr>
            <w:r>
              <w:rPr>
                <w:rFonts w:ascii="Franklin Gothic Heavy" w:hAnsi="Franklin Gothic Heavy"/>
              </w:rPr>
              <w:t>Industry:</w:t>
            </w:r>
            <w:r>
              <w:t xml:space="preserve"> </w:t>
            </w:r>
            <w:bookmarkStart w:id="2" w:name="OverviewIndustry"/>
            <w:r w:rsidR="00AF07BE">
              <w:t>Financial Services</w:t>
            </w:r>
            <w:r w:rsidR="00AF07BE">
              <w:tab/>
            </w:r>
            <w:bookmarkEnd w:id="2"/>
          </w:p>
          <w:p w:rsidR="003119F1" w:rsidRDefault="003119F1">
            <w:pPr>
              <w:pStyle w:val="Bodycopy"/>
            </w:pPr>
          </w:p>
          <w:p w:rsidR="003119F1" w:rsidRDefault="003119F1">
            <w:pPr>
              <w:pStyle w:val="Bodycopyheading"/>
            </w:pPr>
            <w:r>
              <w:t>Customer Profile</w:t>
            </w:r>
          </w:p>
          <w:p w:rsidR="003119F1" w:rsidRDefault="00AF07BE">
            <w:pPr>
              <w:pStyle w:val="Bodycopy"/>
            </w:pPr>
            <w:bookmarkStart w:id="3" w:name="OverviewCustomerProfile"/>
            <w:r>
              <w:t>CAA South Central Ontario club provides members with a range of auto, insurance and travel services.</w:t>
            </w:r>
            <w:bookmarkEnd w:id="3"/>
          </w:p>
          <w:p w:rsidR="003119F1" w:rsidRDefault="003119F1">
            <w:pPr>
              <w:pStyle w:val="Bodycopy"/>
            </w:pPr>
          </w:p>
          <w:p w:rsidR="003119F1" w:rsidRDefault="003119F1">
            <w:pPr>
              <w:pStyle w:val="Bodycopyheading"/>
            </w:pPr>
            <w:r>
              <w:t>Business Situation</w:t>
            </w:r>
          </w:p>
          <w:p w:rsidR="003119F1" w:rsidRDefault="00AF07BE">
            <w:pPr>
              <w:pStyle w:val="Bodycopy"/>
            </w:pPr>
            <w:bookmarkStart w:id="4" w:name="OverviewBusinessSituation"/>
            <w:r>
              <w:t>A patchwork of disconnected data warehousing solutions made it nearly impossible for CAA to get ‘one version of the truth’ for its insurance data, hindering growth.</w:t>
            </w:r>
            <w:bookmarkEnd w:id="4"/>
          </w:p>
          <w:p w:rsidR="003119F1" w:rsidRDefault="003119F1">
            <w:pPr>
              <w:pStyle w:val="Bodycopy"/>
            </w:pPr>
          </w:p>
          <w:p w:rsidR="003119F1" w:rsidRDefault="003119F1">
            <w:pPr>
              <w:pStyle w:val="Bodycopyheading"/>
            </w:pPr>
            <w:r>
              <w:t>Solution</w:t>
            </w:r>
          </w:p>
          <w:p w:rsidR="003119F1" w:rsidRDefault="00AF07BE">
            <w:pPr>
              <w:pStyle w:val="Bodycopy"/>
            </w:pPr>
            <w:bookmarkStart w:id="5" w:name="OverviewSolution"/>
            <w:r>
              <w:t xml:space="preserve">In less than a year CAA launched an advanced a revolutionary business intelligence system that can analyze 60million rows of data, and promoting growth. </w:t>
            </w:r>
            <w:bookmarkEnd w:id="5"/>
          </w:p>
          <w:p w:rsidR="003119F1" w:rsidRDefault="003119F1">
            <w:pPr>
              <w:pStyle w:val="Bodycopy"/>
            </w:pPr>
          </w:p>
          <w:p w:rsidR="003119F1" w:rsidRDefault="003119F1">
            <w:pPr>
              <w:pStyle w:val="Bodycopyheading"/>
            </w:pPr>
            <w:r>
              <w:t>Benefits</w:t>
            </w:r>
          </w:p>
          <w:p w:rsidR="00AF07BE" w:rsidRDefault="00AF07BE">
            <w:pPr>
              <w:pStyle w:val="Bullet"/>
            </w:pPr>
            <w:bookmarkStart w:id="6" w:name="OverviewBenefits"/>
            <w:r>
              <w:t>Industry pioneers</w:t>
            </w:r>
          </w:p>
          <w:p w:rsidR="00AF07BE" w:rsidRDefault="00AF07BE">
            <w:pPr>
              <w:pStyle w:val="Bullet"/>
            </w:pPr>
            <w:r>
              <w:t>Leadership in the insurance in</w:t>
            </w:r>
            <w:r w:rsidR="00160A13">
              <w:t>dustry</w:t>
            </w:r>
          </w:p>
          <w:p w:rsidR="00AF07BE" w:rsidRDefault="00AF07BE">
            <w:pPr>
              <w:pStyle w:val="Bullet"/>
            </w:pPr>
            <w:r>
              <w:t>Reduced cost and greater IT ef</w:t>
            </w:r>
            <w:r w:rsidR="00160A13">
              <w:t>ficiency</w:t>
            </w:r>
          </w:p>
          <w:p w:rsidR="003119F1" w:rsidRDefault="00AF07BE">
            <w:pPr>
              <w:pStyle w:val="Bullet"/>
            </w:pPr>
            <w:r>
              <w:t>Scalable, flexible architectur</w:t>
            </w:r>
            <w:bookmarkEnd w:id="6"/>
            <w:r w:rsidR="00160A13">
              <w:t>e</w:t>
            </w:r>
          </w:p>
          <w:p w:rsidR="003119F1" w:rsidRDefault="003119F1">
            <w:pPr>
              <w:pStyle w:val="Bodycopy"/>
            </w:pPr>
          </w:p>
        </w:tc>
        <w:tc>
          <w:tcPr>
            <w:tcW w:w="284" w:type="dxa"/>
            <w:tcBorders>
              <w:left w:val="nil"/>
              <w:right w:val="single" w:sz="8" w:space="0" w:color="999999"/>
            </w:tcBorders>
            <w:shd w:val="clear" w:color="auto" w:fill="auto"/>
          </w:tcPr>
          <w:p w:rsidR="003119F1" w:rsidRDefault="003119F1"/>
        </w:tc>
        <w:tc>
          <w:tcPr>
            <w:tcW w:w="284" w:type="dxa"/>
            <w:tcBorders>
              <w:left w:val="single" w:sz="8" w:space="0" w:color="999999"/>
            </w:tcBorders>
          </w:tcPr>
          <w:p w:rsidR="003119F1" w:rsidRDefault="003119F1"/>
        </w:tc>
        <w:tc>
          <w:tcPr>
            <w:tcW w:w="6861" w:type="dxa"/>
          </w:tcPr>
          <w:p w:rsidR="003119F1" w:rsidRDefault="00AF07BE">
            <w:pPr>
              <w:pStyle w:val="Pullquote"/>
            </w:pPr>
            <w:bookmarkStart w:id="7" w:name="DocumentIntroduction"/>
            <w:r>
              <w:t>“There’s a lot of buzz around here because everyone realizes this doesn’t just represent dollar savings, but an actual, strategic, bottom-line impact to the business.”</w:t>
            </w:r>
            <w:bookmarkEnd w:id="7"/>
          </w:p>
          <w:p w:rsidR="003119F1" w:rsidRDefault="00AF07BE">
            <w:pPr>
              <w:pStyle w:val="PullQuotecredit"/>
            </w:pPr>
            <w:bookmarkStart w:id="8" w:name="DocumentIntroductionCredit"/>
            <w:r>
              <w:t>Jay Woo, chief operating officer, CAA South Central Ontario</w:t>
            </w:r>
            <w:bookmarkEnd w:id="8"/>
          </w:p>
          <w:p w:rsidR="003119F1" w:rsidRDefault="003119F1">
            <w:pPr>
              <w:spacing w:after="80"/>
              <w:jc w:val="right"/>
              <w:rPr>
                <w:color w:val="FF9900"/>
              </w:rPr>
            </w:pPr>
          </w:p>
        </w:tc>
      </w:tr>
      <w:tr w:rsidR="003119F1" w:rsidTr="00AF07BE">
        <w:tblPrEx>
          <w:tblCellMar>
            <w:top w:w="0" w:type="dxa"/>
            <w:bottom w:w="0" w:type="dxa"/>
          </w:tblCellMar>
        </w:tblPrEx>
        <w:trPr>
          <w:cantSplit/>
          <w:trHeight w:hRule="exact" w:val="6300"/>
        </w:trPr>
        <w:tc>
          <w:tcPr>
            <w:tcW w:w="3119" w:type="dxa"/>
            <w:vMerge/>
          </w:tcPr>
          <w:p w:rsidR="003119F1" w:rsidRDefault="003119F1">
            <w:pPr>
              <w:pStyle w:val="Bodycopy"/>
            </w:pPr>
          </w:p>
        </w:tc>
        <w:tc>
          <w:tcPr>
            <w:tcW w:w="284" w:type="dxa"/>
            <w:tcBorders>
              <w:left w:val="nil"/>
              <w:right w:val="single" w:sz="8" w:space="0" w:color="999999"/>
            </w:tcBorders>
            <w:shd w:val="clear" w:color="auto" w:fill="auto"/>
          </w:tcPr>
          <w:p w:rsidR="003119F1" w:rsidRDefault="003119F1">
            <w:pPr>
              <w:pStyle w:val="Bodycopy"/>
            </w:pPr>
          </w:p>
        </w:tc>
        <w:tc>
          <w:tcPr>
            <w:tcW w:w="284" w:type="dxa"/>
            <w:tcBorders>
              <w:left w:val="single" w:sz="8" w:space="0" w:color="999999"/>
            </w:tcBorders>
          </w:tcPr>
          <w:p w:rsidR="003119F1" w:rsidRDefault="003119F1">
            <w:pPr>
              <w:pStyle w:val="Bodycopy"/>
            </w:pPr>
          </w:p>
        </w:tc>
        <w:tc>
          <w:tcPr>
            <w:tcW w:w="6861" w:type="dxa"/>
          </w:tcPr>
          <w:p w:rsidR="00AF07BE" w:rsidRDefault="00AF07BE" w:rsidP="00AF07BE">
            <w:pPr>
              <w:pStyle w:val="StandFirstIntroduction"/>
            </w:pPr>
            <w:bookmarkStart w:id="9" w:name="DocumentFirstPageBody"/>
            <w:r>
              <w:t>For more than 100 years, CAA’s South Central Ontario club has provided members with a range of auto, insurance and travel services. In 2008, the South Central Ontario club wanted to take advantage of its 1.8 million roadside assistance customers to grow its insurance business and better compete against larger insurance players. A patchwork of disconnected data warehousing solutions made it nearly impossible for CAA to get ‘one version of the truth’ for its insurance data, hindering this vision. CAA turned to Microsoft SQL Server 2008 to help completely remodel the data warehousing structure at CAA South Central Ontario, standardize on a single platform and implement a service oriented architecture (SOA) model. In less than a year Woo and his team have delivered the advanced business intelligence system CAA needs to succeed in the insurance business, a solution that can analyze over 60 m</w:t>
            </w:r>
            <w:r w:rsidR="00044B2C">
              <w:t>illion rows of data, and that has attracted attention from across the industry.</w:t>
            </w:r>
          </w:p>
          <w:bookmarkEnd w:id="9"/>
          <w:p w:rsidR="003119F1" w:rsidRDefault="003119F1">
            <w:pPr>
              <w:pStyle w:val="Bodycopy"/>
            </w:pPr>
          </w:p>
        </w:tc>
      </w:tr>
      <w:tr w:rsidR="003119F1" w:rsidTr="00AF07BE">
        <w:tblPrEx>
          <w:tblCellMar>
            <w:top w:w="0" w:type="dxa"/>
            <w:bottom w:w="0" w:type="dxa"/>
          </w:tblCellMar>
        </w:tblPrEx>
        <w:trPr>
          <w:cantSplit/>
          <w:trHeight w:hRule="exact" w:val="180"/>
        </w:trPr>
        <w:tc>
          <w:tcPr>
            <w:tcW w:w="3119" w:type="dxa"/>
          </w:tcPr>
          <w:p w:rsidR="003119F1" w:rsidRDefault="003119F1"/>
        </w:tc>
        <w:tc>
          <w:tcPr>
            <w:tcW w:w="284" w:type="dxa"/>
            <w:tcBorders>
              <w:left w:val="nil"/>
              <w:right w:val="single" w:sz="8" w:space="0" w:color="999999"/>
            </w:tcBorders>
            <w:shd w:val="clear" w:color="auto" w:fill="auto"/>
          </w:tcPr>
          <w:p w:rsidR="003119F1" w:rsidRDefault="003119F1"/>
        </w:tc>
        <w:tc>
          <w:tcPr>
            <w:tcW w:w="284" w:type="dxa"/>
            <w:tcBorders>
              <w:left w:val="single" w:sz="8" w:space="0" w:color="999999"/>
            </w:tcBorders>
          </w:tcPr>
          <w:p w:rsidR="003119F1" w:rsidRDefault="003119F1"/>
        </w:tc>
        <w:tc>
          <w:tcPr>
            <w:tcW w:w="6861" w:type="dxa"/>
          </w:tcPr>
          <w:p w:rsidR="003119F1" w:rsidRDefault="003119F1">
            <w:pPr>
              <w:spacing w:after="80"/>
              <w:jc w:val="right"/>
              <w:rPr>
                <w:color w:val="FF9900"/>
              </w:rPr>
            </w:pPr>
          </w:p>
        </w:tc>
      </w:tr>
      <w:tr w:rsidR="003119F1" w:rsidTr="00AF07BE">
        <w:tblPrEx>
          <w:tblCellMar>
            <w:top w:w="0" w:type="dxa"/>
            <w:bottom w:w="0" w:type="dxa"/>
          </w:tblCellMar>
        </w:tblPrEx>
        <w:trPr>
          <w:cantSplit/>
          <w:trHeight w:val="1740"/>
        </w:trPr>
        <w:tc>
          <w:tcPr>
            <w:tcW w:w="3119" w:type="dxa"/>
            <w:vMerge w:val="restart"/>
            <w:vAlign w:val="bottom"/>
          </w:tcPr>
          <w:p w:rsidR="003119F1" w:rsidRDefault="003119F1"/>
        </w:tc>
        <w:tc>
          <w:tcPr>
            <w:tcW w:w="284" w:type="dxa"/>
            <w:tcBorders>
              <w:left w:val="nil"/>
              <w:right w:val="single" w:sz="8" w:space="0" w:color="999999"/>
            </w:tcBorders>
            <w:shd w:val="clear" w:color="auto" w:fill="auto"/>
          </w:tcPr>
          <w:p w:rsidR="003119F1" w:rsidRDefault="003119F1"/>
        </w:tc>
        <w:tc>
          <w:tcPr>
            <w:tcW w:w="284" w:type="dxa"/>
            <w:vMerge w:val="restart"/>
            <w:tcBorders>
              <w:left w:val="single" w:sz="8" w:space="0" w:color="999999"/>
            </w:tcBorders>
          </w:tcPr>
          <w:p w:rsidR="003119F1" w:rsidRDefault="003119F1"/>
        </w:tc>
        <w:tc>
          <w:tcPr>
            <w:tcW w:w="6861" w:type="dxa"/>
            <w:vMerge w:val="restart"/>
            <w:vAlign w:val="bottom"/>
          </w:tcPr>
          <w:p w:rsidR="003119F1" w:rsidRDefault="00160A13">
            <w:pPr>
              <w:jc w:val="right"/>
              <w:rPr>
                <w:color w:val="FF9900"/>
              </w:rPr>
            </w:pPr>
            <w:bookmarkStart w:id="10" w:name="ProductLogo"/>
            <w:r>
              <w:rPr>
                <w:noProof/>
                <w:color w:val="FF9900"/>
                <w:lang w:val="en-CA" w:eastAsia="en-CA"/>
              </w:rPr>
              <w:drawing>
                <wp:inline distT="0" distB="0" distL="0" distR="0">
                  <wp:extent cx="1981200" cy="914400"/>
                  <wp:effectExtent l="19050" t="0" r="0" b="0"/>
                  <wp:docPr id="3" name="Picture 3" descr="C:\Users\imise\AppData\Roaming\Microsoft\Templates\CEP_Files\CEPFiles_logo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ise\AppData\Roaming\Microsoft\Templates\CEP_Files\CEPFiles_logo_Microsoft.jpg"/>
                          <pic:cNvPicPr>
                            <a:picLocks noChangeAspect="1" noChangeArrowheads="1"/>
                          </pic:cNvPicPr>
                        </pic:nvPicPr>
                        <pic:blipFill>
                          <a:blip r:embed="rId7" cstate="print"/>
                          <a:srcRect/>
                          <a:stretch>
                            <a:fillRect/>
                          </a:stretch>
                        </pic:blipFill>
                        <pic:spPr bwMode="auto">
                          <a:xfrm>
                            <a:off x="0" y="0"/>
                            <a:ext cx="1981200" cy="914400"/>
                          </a:xfrm>
                          <a:prstGeom prst="rect">
                            <a:avLst/>
                          </a:prstGeom>
                          <a:noFill/>
                          <a:ln w="9525">
                            <a:noFill/>
                            <a:miter lim="800000"/>
                            <a:headEnd/>
                            <a:tailEnd/>
                          </a:ln>
                        </pic:spPr>
                      </pic:pic>
                    </a:graphicData>
                  </a:graphic>
                </wp:inline>
              </w:drawing>
            </w:r>
            <w:bookmarkEnd w:id="10"/>
          </w:p>
        </w:tc>
      </w:tr>
      <w:bookmarkEnd w:id="0"/>
      <w:tr w:rsidR="003119F1">
        <w:tblPrEx>
          <w:tblCellMar>
            <w:top w:w="0" w:type="dxa"/>
            <w:bottom w:w="0" w:type="dxa"/>
          </w:tblCellMar>
        </w:tblPrEx>
        <w:trPr>
          <w:cantSplit/>
          <w:trHeight w:val="80"/>
        </w:trPr>
        <w:tc>
          <w:tcPr>
            <w:tcW w:w="3119" w:type="dxa"/>
            <w:vMerge/>
            <w:vAlign w:val="bottom"/>
          </w:tcPr>
          <w:p w:rsidR="003119F1" w:rsidRDefault="003119F1"/>
        </w:tc>
        <w:tc>
          <w:tcPr>
            <w:tcW w:w="284" w:type="dxa"/>
            <w:tcBorders>
              <w:left w:val="nil"/>
            </w:tcBorders>
          </w:tcPr>
          <w:p w:rsidR="003119F1" w:rsidRDefault="003119F1">
            <w:pPr>
              <w:rPr>
                <w:sz w:val="12"/>
              </w:rPr>
            </w:pPr>
          </w:p>
        </w:tc>
        <w:tc>
          <w:tcPr>
            <w:tcW w:w="284" w:type="dxa"/>
            <w:vMerge/>
            <w:tcBorders>
              <w:left w:val="nil"/>
            </w:tcBorders>
          </w:tcPr>
          <w:p w:rsidR="003119F1" w:rsidRDefault="003119F1"/>
        </w:tc>
        <w:tc>
          <w:tcPr>
            <w:tcW w:w="6861"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headerReference w:type="default" r:id="rId8"/>
          <w:pgSz w:w="12242" w:h="15842" w:code="1"/>
          <w:pgMar w:top="3600" w:right="851" w:bottom="200" w:left="851" w:header="0" w:footer="300" w:gutter="0"/>
          <w:cols w:space="227"/>
          <w:docGrid w:linePitch="360"/>
        </w:sectPr>
      </w:pPr>
    </w:p>
    <w:p w:rsidR="003119F1" w:rsidRDefault="003119F1">
      <w:pPr>
        <w:pStyle w:val="SectionHeading"/>
      </w:pPr>
      <w:r>
        <w:t>Situation</w:t>
      </w:r>
    </w:p>
    <w:p w:rsidR="00AF07BE" w:rsidRDefault="00AF07BE">
      <w:pPr>
        <w:pStyle w:val="Bodycopy"/>
      </w:pPr>
      <w:bookmarkStart w:id="14" w:name="DocumentSituation"/>
      <w:r>
        <w:t xml:space="preserve">Whether Canadians are stuck on the highway with a flat tire or dealing with the aftermath of a leaky basement – the Canadian Automobile Association (CAA) is who they rely on to send a tow truck or make sure their home insurance covers the damages.  With over five million members the Canadian Automobile Association (CAA) is one of the largest consumer-based organizations in Canada. Best known for its emergency roadside assistance, CAA also offers its members valuable travel and insurance services through nine automobile clubs and 148 offices across the country.  </w:t>
      </w:r>
    </w:p>
    <w:p w:rsidR="00AF07BE" w:rsidRDefault="00AF07BE">
      <w:pPr>
        <w:pStyle w:val="Bodycopy"/>
      </w:pPr>
    </w:p>
    <w:p w:rsidR="00AF07BE" w:rsidRDefault="00AF07BE">
      <w:pPr>
        <w:pStyle w:val="Bodycopy"/>
      </w:pPr>
      <w:r>
        <w:t xml:space="preserve">For more than 100 years, CAA’s South Central Ontario club has provided this densely populated region with a range of auto, insurance and travel services. In 2008, the South Central Ontario club wanted to take advantage of its 1.8 million customers to grow its insurance business and better compete against larger insurance players. </w:t>
      </w:r>
    </w:p>
    <w:p w:rsidR="00AF07BE" w:rsidRDefault="00AF07BE">
      <w:pPr>
        <w:pStyle w:val="Bodycopy"/>
      </w:pPr>
    </w:p>
    <w:p w:rsidR="00AF07BE" w:rsidRDefault="00AF07BE">
      <w:pPr>
        <w:pStyle w:val="Bodycopy"/>
      </w:pPr>
      <w:r>
        <w:t>Insurance is all about calculating risk – accurate customer information is instrumental in determining the right policy and price for each customer that will deliver positive returns for CAA South Central Ontario. The biggest roadblock to achieving its growth strategy was lack of accurate business intelligence due to a siloed data warehouse.</w:t>
      </w:r>
    </w:p>
    <w:p w:rsidR="00AF07BE" w:rsidRDefault="00AF07BE">
      <w:pPr>
        <w:pStyle w:val="Bodycopy"/>
      </w:pPr>
    </w:p>
    <w:p w:rsidR="00AF07BE" w:rsidRDefault="00AF07BE">
      <w:pPr>
        <w:pStyle w:val="Bodycopy"/>
      </w:pPr>
      <w:r>
        <w:t xml:space="preserve">For years, individual departments at CAA were responsible for their own data warehousing, and across the company that data resided in a patchwork of disconnected solutions based on Microsoft®, Oracle, and at least four other proprietary technologies. This siloed environment made it nearly impossible for CAA South Central Ontario to get ‘one version of the truth’ on its customers. </w:t>
      </w:r>
    </w:p>
    <w:p w:rsidR="00AF07BE" w:rsidRDefault="00AF07BE">
      <w:pPr>
        <w:pStyle w:val="Bodycopy"/>
      </w:pPr>
    </w:p>
    <w:p w:rsidR="00AF07BE" w:rsidRDefault="00AF07BE">
      <w:pPr>
        <w:pStyle w:val="Bodycopy"/>
      </w:pPr>
      <w:r>
        <w:t>"There was no single view into our data, and that was a big problem,” says Jay Woo, chief operating officer, CAA. "It led to multiple versions of the truth, and no one could get the single, accurate view of our clients that we need to build our insurance business. That information is critical. Everything from determining rates, policy renewals and special offers relies on client data being accurate and up to date, and it was urgent that we fix it.”</w:t>
      </w:r>
    </w:p>
    <w:p w:rsidR="00AF07BE" w:rsidRDefault="00AF07BE">
      <w:pPr>
        <w:pStyle w:val="Bodycopy"/>
      </w:pPr>
    </w:p>
    <w:p w:rsidR="00AF07BE" w:rsidRDefault="00AF07BE">
      <w:pPr>
        <w:pStyle w:val="Bodycopy"/>
      </w:pPr>
      <w:r>
        <w:t>The ability to correctly assess risk is especially vital.  Each time a member applies for home coverage, for example, CAA must be able to mine that applicant’s data to determine information such as the age of their neighbourhood, or whether house is located in an area prone to floods or near hazardous facilities. Incorrectly assessing risk based on faulty information can lead to substantial losses down the road.</w:t>
      </w:r>
    </w:p>
    <w:p w:rsidR="00AF07BE" w:rsidRDefault="00AF07BE">
      <w:pPr>
        <w:pStyle w:val="Bodycopy"/>
      </w:pPr>
    </w:p>
    <w:p w:rsidR="00AF07BE" w:rsidRDefault="00AF07BE">
      <w:pPr>
        <w:pStyle w:val="Bodycopy"/>
      </w:pPr>
      <w:r>
        <w:t>"The old system meant we were prone to competitive anti-selection. Because we couldn't accurately determine a policyholder's risk, we attracted business other insurance companies would never accept. If we stayed on course, we would incur higher risk and unacceptable losses," adds Woo.</w:t>
      </w:r>
    </w:p>
    <w:p w:rsidR="00AF07BE" w:rsidRDefault="00AF07BE">
      <w:pPr>
        <w:pStyle w:val="Bodycopy"/>
      </w:pPr>
    </w:p>
    <w:p w:rsidR="00AF07BE" w:rsidRDefault="00AF07BE">
      <w:pPr>
        <w:pStyle w:val="Bodycopy"/>
      </w:pPr>
      <w:r>
        <w:t xml:space="preserve">Additionally, Canadian insurers are bound by a range of privacy and data regulations that, for example, make it illegal in some provinces to set auto insurance rates based on variables such as age. Reports looking at potential clients must be carefully designed to omit specific information. Given these stringent requirements and siloed database systems, it could often take days to run reports. Business analysts would spend at least two weeks pulling and scrubbing the data to piece together the “one version of the truth” the company needed to make its decisions.  </w:t>
      </w:r>
    </w:p>
    <w:p w:rsidR="00AF07BE" w:rsidRDefault="00AF07BE">
      <w:pPr>
        <w:pStyle w:val="Bodycopy"/>
      </w:pPr>
    </w:p>
    <w:p w:rsidR="00AF07BE" w:rsidRDefault="00AF07BE">
      <w:pPr>
        <w:pStyle w:val="Bodycopy"/>
      </w:pPr>
      <w:r>
        <w:t>The heterogeneous environment also taxed CAA's IT resources. Supporting multiple database technologies required specialized skills and a great deal of time and effort, plus sizeable licensing fees.</w:t>
      </w:r>
    </w:p>
    <w:p w:rsidR="00AF07BE" w:rsidRDefault="00AF07BE">
      <w:pPr>
        <w:pStyle w:val="Bodycopy"/>
      </w:pPr>
    </w:p>
    <w:bookmarkEnd w:id="14"/>
    <w:p w:rsidR="003119F1" w:rsidRDefault="003119F1">
      <w:pPr>
        <w:pStyle w:val="Bodycopy"/>
      </w:pPr>
    </w:p>
    <w:p w:rsidR="003119F1" w:rsidRDefault="003119F1">
      <w:pPr>
        <w:pStyle w:val="Bodycopy"/>
      </w:pPr>
    </w:p>
    <w:p w:rsidR="003119F1" w:rsidRDefault="003119F1">
      <w:pPr>
        <w:pStyle w:val="SectionHeading"/>
      </w:pPr>
      <w:r>
        <w:t>Solution</w:t>
      </w:r>
    </w:p>
    <w:p w:rsidR="00AF07BE" w:rsidRDefault="00AF07BE">
      <w:pPr>
        <w:pStyle w:val="Bodycopy"/>
      </w:pPr>
      <w:bookmarkStart w:id="15" w:name="DocumentSolution"/>
      <w:r>
        <w:t xml:space="preserve">Woo and the IT team decided to completely remodel the data warehousing structure at CAA South Central Ontario, standardizing on a single platform where possible and implementing a service oriented architecture (SOA) model to ensure that data could move seamlessly across the auto, travel/retail, insurance and marketing divisions. This would break down the existing barriers and make information easily accessible to everyone from call centre staff to senior executives. </w:t>
      </w:r>
    </w:p>
    <w:p w:rsidR="00AF07BE" w:rsidRDefault="00AF07BE">
      <w:pPr>
        <w:pStyle w:val="Bodycopy"/>
      </w:pPr>
    </w:p>
    <w:p w:rsidR="00AF07BE" w:rsidRDefault="00AF07BE">
      <w:pPr>
        <w:pStyle w:val="Bodycopy"/>
      </w:pPr>
      <w:r>
        <w:t xml:space="preserve">CAA looked at multiple competitive technology platforms.  "When we looked at these technologies in detail, we saw that the other competitive tools were not as interoperable as Microsoft’s core stack, and that meant we would spend more time making the technology work together vs. doing what we needed it to do," says Woo. </w:t>
      </w:r>
    </w:p>
    <w:p w:rsidR="00AF07BE" w:rsidRDefault="00AF07BE">
      <w:pPr>
        <w:pStyle w:val="Bodycopy"/>
      </w:pPr>
    </w:p>
    <w:p w:rsidR="00AF07BE" w:rsidRDefault="00AF07BE">
      <w:pPr>
        <w:pStyle w:val="Bodycopy"/>
      </w:pPr>
      <w:r>
        <w:t xml:space="preserve">With their decision made, Woo and his team set about re-architecting the business intelligence environment. Using Microsoft Visual Studio® 2008, the Microsoft .NET Framework, Microsoft SQL Server® 2008, Microsoft SQL Server 2008 Integration Services and Microsoft SQL Server 2008 Analysis Services, they built a series of reusable Web services, defining each business process related to submission, storing and gathering of data that could be consumed across the organization. There, data can be quickly analyzed and routed to the desktop in a spreadsheet through Microsoft Office Excel® 2007, or as part of scorecards and customized dashboard generated in PerformancePoint. All documents generated by the BI system are then stored and shared in a customizable portal built using Microsoft Office SharePoint® Services. </w:t>
      </w:r>
    </w:p>
    <w:p w:rsidR="00AF07BE" w:rsidRDefault="00AF07BE">
      <w:pPr>
        <w:pStyle w:val="Bodycopy"/>
      </w:pPr>
    </w:p>
    <w:p w:rsidR="00AF07BE" w:rsidRDefault="00AF07BE">
      <w:pPr>
        <w:pStyle w:val="Bodycopy"/>
      </w:pPr>
      <w:r>
        <w:t>Using the advanced ETL features in SQL Server allows each division to manage rules governing data as best suits their needs without having to involve the IT department to manually make the changes for them. The IT team also designed the SQL Server database in a multi-dimensional model – enabling near limitless combinations of queries and questions to be made against it - and making it easy to change or expand as the business evolves.</w:t>
      </w:r>
    </w:p>
    <w:p w:rsidR="00AF07BE" w:rsidRDefault="00AF07BE">
      <w:pPr>
        <w:pStyle w:val="Bodycopy"/>
      </w:pPr>
    </w:p>
    <w:p w:rsidR="00AF07BE" w:rsidRDefault="00AF07BE">
      <w:pPr>
        <w:pStyle w:val="Bodycopy"/>
      </w:pPr>
      <w:r>
        <w:t xml:space="preserve">To take full advantage of existing assets, the system also integrates in near seamless fashion with the Oracle and other legacy databases still in use at CAA. </w:t>
      </w:r>
    </w:p>
    <w:bookmarkEnd w:id="15"/>
    <w:p w:rsidR="003119F1" w:rsidRDefault="003119F1">
      <w:pPr>
        <w:pStyle w:val="Bodycopy"/>
      </w:pPr>
    </w:p>
    <w:p w:rsidR="003119F1" w:rsidRDefault="003119F1">
      <w:pPr>
        <w:pStyle w:val="Bodycopy"/>
      </w:pPr>
    </w:p>
    <w:p w:rsidR="003119F1" w:rsidRDefault="003119F1">
      <w:pPr>
        <w:pStyle w:val="SectionHeading"/>
      </w:pPr>
      <w:r>
        <w:t>Benefits</w:t>
      </w:r>
    </w:p>
    <w:p w:rsidR="00AF07BE" w:rsidRDefault="00AF07BE">
      <w:pPr>
        <w:pStyle w:val="Bodycopy"/>
      </w:pPr>
      <w:bookmarkStart w:id="16" w:name="DocumentBenefits"/>
      <w:r>
        <w:t xml:space="preserve">In less than a year, Woo and his team have delivered the advanced business intelligence system CAA needs to succeed in the insurance business, a solution that can analyze more than 60 million rows of data, and that has attracted attention from across the industry. </w:t>
      </w:r>
    </w:p>
    <w:p w:rsidR="00AF07BE" w:rsidRDefault="00AF07BE">
      <w:pPr>
        <w:pStyle w:val="Bodycopy"/>
      </w:pPr>
    </w:p>
    <w:p w:rsidR="00AF07BE" w:rsidRDefault="00AF07BE">
      <w:pPr>
        <w:pStyle w:val="Bodycopy"/>
      </w:pPr>
      <w:r>
        <w:t xml:space="preserve">“There’s a lot of buzz going on around here because everyone realizes this doesn’t just represent dollar savings, but an actual, strategic, bottom-line impact to the business. It is having a big impact on everyone, and that’s really exciting,” says Woo. </w:t>
      </w:r>
    </w:p>
    <w:p w:rsidR="00AF07BE" w:rsidRDefault="00AF07BE">
      <w:pPr>
        <w:pStyle w:val="Bodycopy"/>
      </w:pPr>
    </w:p>
    <w:p w:rsidR="00AF07BE" w:rsidRPr="00AF07BE" w:rsidRDefault="00AF07BE">
      <w:pPr>
        <w:pStyle w:val="Bodycopy"/>
        <w:rPr>
          <w:b/>
          <w:i/>
        </w:rPr>
      </w:pPr>
      <w:r w:rsidRPr="00AF07BE">
        <w:rPr>
          <w:b/>
          <w:i/>
        </w:rPr>
        <w:t>Industry pioneers</w:t>
      </w:r>
    </w:p>
    <w:p w:rsidR="00AF07BE" w:rsidRDefault="00AF07BE">
      <w:pPr>
        <w:pStyle w:val="Bodycopy"/>
      </w:pPr>
      <w:r>
        <w:t xml:space="preserve">The data warehouse solution is not only a key business driver for CAA, it also represents an important milestone in the insurance industry. In nearly every P&amp;C insurance company, there are complex calculations for determining loss ratios, earned premium and risk factors that correlate to loss.  These metrics drive many other metrics, and are critical components of running an insurance company.  The mechanics are simple, but are complicated due to the many variables that affect these calculations.  As a result, most insurance companies run those calculations on a monthly or quarterly basis.  </w:t>
      </w:r>
    </w:p>
    <w:p w:rsidR="00AF07BE" w:rsidRDefault="00AF07BE">
      <w:pPr>
        <w:pStyle w:val="Bodycopy"/>
      </w:pPr>
      <w:r>
        <w:t xml:space="preserve"> </w:t>
      </w:r>
    </w:p>
    <w:p w:rsidR="00AF07BE" w:rsidRDefault="00AF07BE">
      <w:pPr>
        <w:pStyle w:val="Bodycopy"/>
      </w:pPr>
      <w:r>
        <w:t xml:space="preserve">However, leveraging Microsoft SQL Server 2008 Integration Services, CAA built a logic engine that enables staff to calculate this intelligence on a daily basis.  This gives CAA a key competitive advantage against rival companies that cope with a lag from anywhere between one to three months.  </w:t>
      </w:r>
    </w:p>
    <w:p w:rsidR="00AF07BE" w:rsidRDefault="00AF07BE">
      <w:pPr>
        <w:pStyle w:val="Bodycopy"/>
      </w:pPr>
    </w:p>
    <w:p w:rsidR="00AF07BE" w:rsidRDefault="00AF07BE">
      <w:pPr>
        <w:pStyle w:val="Bodycopy"/>
      </w:pPr>
      <w:r>
        <w:t>“With this capability we can proactively manage our business better and maximize profitability. Plus, if this complex logic ever changes, we change it easily because of the Microsoft foundation,” says Woo.</w:t>
      </w:r>
    </w:p>
    <w:p w:rsidR="00AF07BE" w:rsidRDefault="00AF07BE">
      <w:pPr>
        <w:pStyle w:val="Bodycopy"/>
      </w:pPr>
    </w:p>
    <w:p w:rsidR="00AF07BE" w:rsidRDefault="00AF07BE">
      <w:pPr>
        <w:pStyle w:val="Bodycopy"/>
      </w:pPr>
      <w:r>
        <w:t xml:space="preserve">The solution has also attracted the attention of other insurance companies, opening the door to potential commercialization opportunities. </w:t>
      </w:r>
    </w:p>
    <w:p w:rsidR="00AF07BE" w:rsidRDefault="00AF07BE">
      <w:pPr>
        <w:pStyle w:val="Bodycopy"/>
      </w:pPr>
    </w:p>
    <w:p w:rsidR="00AF07BE" w:rsidRPr="00AF07BE" w:rsidRDefault="00AF07BE">
      <w:pPr>
        <w:pStyle w:val="Bodycopy"/>
        <w:rPr>
          <w:b/>
          <w:i/>
        </w:rPr>
      </w:pPr>
      <w:r w:rsidRPr="00AF07BE">
        <w:rPr>
          <w:b/>
          <w:i/>
        </w:rPr>
        <w:t>Leadership in the insurance industry</w:t>
      </w:r>
    </w:p>
    <w:p w:rsidR="00AF07BE" w:rsidRDefault="00AF07BE">
      <w:pPr>
        <w:pStyle w:val="Bodycopy"/>
      </w:pPr>
      <w:r>
        <w:t xml:space="preserve">No longer is the data warehouse a hindrance to CAA’s business goals. Today, it’s the engine that powers its competitive edge. The new business intelligence system has positioned CAA to begin leveraging its vast membership and growing its insurance business in earnest, and make inroads into a highly competitive and tightly regulated marketplace. Not only can CAA maximize its existing membership data and identify potential new clients for its insurance business based on buying habits, it can ensure those clients are the right kind of clients – low-risk. Using data gleaned from the system, reports can be instantly superimposed on a virtual map using Microsoft MapPoint® 2010 to determine who lives in a high-risk area, or is more prone to be victims of natural disasters, helping CAA manage their risks accordingly.  </w:t>
      </w:r>
    </w:p>
    <w:p w:rsidR="00AF07BE" w:rsidRDefault="00AF07BE">
      <w:pPr>
        <w:pStyle w:val="Bodycopy"/>
      </w:pPr>
    </w:p>
    <w:p w:rsidR="00AF07BE" w:rsidRDefault="00AF07BE">
      <w:pPr>
        <w:pStyle w:val="Bodycopy"/>
      </w:pPr>
      <w:r>
        <w:t xml:space="preserve">“In insurance, there’s no such thing as bad risk, just bad pricing. We want to differentiate ourselves from competitors and provide different offerings, but do so with the confidence that we’ll not face substantial losses along the way. The new Microsoft data warehouse provides all this and more,” says Woo. </w:t>
      </w:r>
    </w:p>
    <w:p w:rsidR="00AF07BE" w:rsidRDefault="00AF07BE">
      <w:pPr>
        <w:pStyle w:val="Bodycopy"/>
      </w:pPr>
    </w:p>
    <w:p w:rsidR="00AF07BE" w:rsidRDefault="00AF07BE">
      <w:pPr>
        <w:pStyle w:val="Bodycopy"/>
      </w:pPr>
      <w:r>
        <w:t>“As a relatively small organization, we can’t compete head-to-head with the large banks, so we have to be innovative to outmanoeuvre them. Our new enterprise data warehouse solution helps us do that. It enables us to be nimble, and leverage the power of our huge membership database in real-time, something our competitors don’t have,” says Nick Parks, President and CEO of CAA South Central Ontario.</w:t>
      </w:r>
    </w:p>
    <w:p w:rsidR="00AF07BE" w:rsidRDefault="00AF07BE">
      <w:pPr>
        <w:pStyle w:val="Bodycopy"/>
      </w:pPr>
    </w:p>
    <w:p w:rsidR="00AF07BE" w:rsidRPr="00AF07BE" w:rsidRDefault="00AF07BE">
      <w:pPr>
        <w:pStyle w:val="Bodycopy"/>
        <w:rPr>
          <w:b/>
          <w:i/>
        </w:rPr>
      </w:pPr>
      <w:r w:rsidRPr="00AF07BE">
        <w:rPr>
          <w:b/>
          <w:i/>
        </w:rPr>
        <w:t>Reduced cost and greater IT efficiency</w:t>
      </w:r>
    </w:p>
    <w:p w:rsidR="00AF07BE" w:rsidRDefault="00AF07BE">
      <w:pPr>
        <w:pStyle w:val="Bodycopy"/>
      </w:pPr>
      <w:r>
        <w:t xml:space="preserve">Prior to implementing the new data warehouse, it would take at least 24 hours for one of six dedicated analysts to run a typical report – activity that had to be performed on the weekends to avoid interfering with day-to-day activity. If any of the reports were done incorrectly or contained errors, the entire process would need to be repeated. It was not unusual for reports to take weeks – even months – to be finalized. </w:t>
      </w:r>
    </w:p>
    <w:p w:rsidR="00AF07BE" w:rsidRDefault="00AF07BE">
      <w:pPr>
        <w:pStyle w:val="Bodycopy"/>
      </w:pPr>
    </w:p>
    <w:p w:rsidR="00AF07BE" w:rsidRDefault="00AF07BE">
      <w:pPr>
        <w:pStyle w:val="Bodycopy"/>
      </w:pPr>
      <w:r>
        <w:t>Since implementing the new business intelligence platform, anyone on staff can request a report based on any criteria they need and get it within minutes. Not only has this given staff the information they need to make business decisions, it has also allowed   the IT team to be re-deployed to more strategic initiatives. It has even helped boost team morale – two of those analysts also had backgrounds in .NET development, skills they are now able to put to use as part of a new, business-wide project.</w:t>
      </w:r>
    </w:p>
    <w:p w:rsidR="00AF07BE" w:rsidRDefault="00AF07BE">
      <w:pPr>
        <w:pStyle w:val="Bodycopy"/>
      </w:pPr>
    </w:p>
    <w:p w:rsidR="00AF07BE" w:rsidRDefault="00AF07BE">
      <w:pPr>
        <w:pStyle w:val="Bodycopy"/>
      </w:pPr>
      <w:r>
        <w:t xml:space="preserve">“The data warehouse project was a catalyst and a real shift in thinking for the IT department. Now we’re seen as true business partners, moving well beyond the break-fix model and more into identifying new areas for the business to grow,” adds Woo. </w:t>
      </w:r>
    </w:p>
    <w:p w:rsidR="00AF07BE" w:rsidRDefault="00AF07BE">
      <w:pPr>
        <w:pStyle w:val="Bodycopy"/>
      </w:pPr>
    </w:p>
    <w:p w:rsidR="00AF07BE" w:rsidRPr="00AF07BE" w:rsidRDefault="00AF07BE">
      <w:pPr>
        <w:pStyle w:val="Bodycopy"/>
        <w:rPr>
          <w:b/>
          <w:i/>
        </w:rPr>
      </w:pPr>
      <w:r w:rsidRPr="00AF07BE">
        <w:rPr>
          <w:b/>
          <w:i/>
        </w:rPr>
        <w:t>Scalable, flexible architecture</w:t>
      </w:r>
    </w:p>
    <w:p w:rsidR="00AF07BE" w:rsidRDefault="00AF07BE">
      <w:pPr>
        <w:pStyle w:val="Bodycopy"/>
      </w:pPr>
      <w:r>
        <w:t>Tapping into the broad .NET development community and the learning resources available on the Microsoft Software Development Network (MSDN), the IT team at CAA was able to follow an agile development method and deliver the first iteration of the new data warehouse in just 10 months.</w:t>
      </w:r>
    </w:p>
    <w:p w:rsidR="00AF07BE" w:rsidRDefault="00AF07BE">
      <w:pPr>
        <w:pStyle w:val="Bodycopy"/>
      </w:pPr>
    </w:p>
    <w:p w:rsidR="00AF07BE" w:rsidRDefault="00AF07BE">
      <w:pPr>
        <w:pStyle w:val="Bodycopy"/>
      </w:pPr>
      <w:r>
        <w:t>“The market for Java and Oracle skills is far more niche, and we were never delayed because of questions or technical issues. Anytime a question or obstacle came up, we were able to find the answer in a blog or webinar on MSDN,” says Woo.</w:t>
      </w:r>
    </w:p>
    <w:p w:rsidR="00AF07BE" w:rsidRDefault="00AF07BE">
      <w:pPr>
        <w:pStyle w:val="Bodycopy"/>
      </w:pPr>
    </w:p>
    <w:p w:rsidR="00AF07BE" w:rsidRDefault="00AF07BE">
      <w:pPr>
        <w:pStyle w:val="Bodycopy"/>
      </w:pPr>
      <w:r>
        <w:t>Setting the stage for business transformation has also energized the IT department, helping CAA recruit more people to the team and changing how the team is perceived in the office. “A year ago we were perceived as the ‘fix it’ team. We’ve opened people’s eyes to what we can do, and we’re now involved in vision and strategy, which is appealing to everyone on the IT team.”</w:t>
      </w:r>
    </w:p>
    <w:p w:rsidR="00AF07BE" w:rsidRDefault="00AF07BE">
      <w:pPr>
        <w:pStyle w:val="Bodycopy"/>
      </w:pPr>
    </w:p>
    <w:bookmarkEnd w:id="16"/>
    <w:p w:rsidR="003119F1" w:rsidRDefault="003119F1">
      <w:pPr>
        <w:pStyle w:val="Bodycopy"/>
      </w:pPr>
    </w:p>
    <w:p w:rsidR="003119F1" w:rsidRDefault="003119F1">
      <w:pPr>
        <w:pStyle w:val="SectionHeading"/>
      </w:pPr>
      <w:r>
        <w:br w:type="column"/>
      </w:r>
      <w:bookmarkStart w:id="17" w:name="ProductBoilerplateTitle"/>
      <w:r>
        <w:rPr>
          <w:noProof/>
          <w:sz w:val="20"/>
        </w:rPr>
        <w:pict>
          <v:shapetype id="_x0000_t202" coordsize="21600,21600" o:spt="202" path="m,l,21600r21600,l21600,xe">
            <v:stroke joinstyle="miter"/>
            <v:path gradientshapeok="t" o:connecttype="rect"/>
          </v:shapetype>
          <v:shape id="_x0000_s1028" type="#_x0000_t202" style="position:absolute;margin-left:225pt;margin-top:622.75pt;width:348.3pt;height:109.25pt;z-index:251659776;mso-position-horizontal-relative:page;mso-position-vertical:absolute;mso-position-vertical-relative:page" fillcolor="#ccc" stroked="f">
            <v:textbox style="mso-next-textbox:#_x0000_s1028" inset="0,0,0,0">
              <w:txbxContent>
                <w:tbl>
                  <w:tblPr>
                    <w:tblW w:w="0" w:type="auto"/>
                    <w:tblInd w:w="156" w:type="dxa"/>
                    <w:tblCellMar>
                      <w:left w:w="0" w:type="dxa"/>
                      <w:right w:w="120" w:type="dxa"/>
                    </w:tblCellMar>
                    <w:tblLook w:val="0000"/>
                  </w:tblPr>
                  <w:tblGrid>
                    <w:gridCol w:w="3302"/>
                    <w:gridCol w:w="3390"/>
                  </w:tblGrid>
                  <w:tr w:rsidR="00726138">
                    <w:tblPrEx>
                      <w:tblCellMar>
                        <w:top w:w="0" w:type="dxa"/>
                        <w:bottom w:w="0" w:type="dxa"/>
                      </w:tblCellMar>
                    </w:tblPrEx>
                    <w:trPr>
                      <w:cantSplit/>
                      <w:trHeight w:hRule="exact" w:val="170"/>
                    </w:trPr>
                    <w:tc>
                      <w:tcPr>
                        <w:tcW w:w="6692" w:type="dxa"/>
                        <w:gridSpan w:val="2"/>
                      </w:tcPr>
                      <w:p w:rsidR="00726138" w:rsidRDefault="00726138">
                        <w:pPr>
                          <w:pStyle w:val="SectionHeadingGrey"/>
                        </w:pPr>
                        <w:bookmarkStart w:id="18" w:name="Softwareandservicestable"/>
                        <w:bookmarkEnd w:id="18"/>
                      </w:p>
                    </w:tc>
                  </w:tr>
                  <w:tr w:rsidR="00726138">
                    <w:tblPrEx>
                      <w:tblCellMar>
                        <w:top w:w="0" w:type="dxa"/>
                        <w:bottom w:w="0" w:type="dxa"/>
                      </w:tblCellMar>
                    </w:tblPrEx>
                    <w:trPr>
                      <w:trHeight w:val="3846"/>
                    </w:trPr>
                    <w:tc>
                      <w:tcPr>
                        <w:tcW w:w="3302" w:type="dxa"/>
                      </w:tcPr>
                      <w:p w:rsidR="00AF07BE" w:rsidRDefault="00AF07BE" w:rsidP="00AF07BE">
                        <w:pPr>
                          <w:pStyle w:val="SectionHeadingGrey"/>
                        </w:pPr>
                        <w:bookmarkStart w:id="19" w:name="SoftwareandServices1"/>
                        <w:bookmarkEnd w:id="19"/>
                        <w:r>
                          <w:t>Software &amp; Services</w:t>
                        </w:r>
                      </w:p>
                      <w:p w:rsidR="00AF07BE" w:rsidRDefault="00AF07BE" w:rsidP="00AF07BE">
                        <w:pPr>
                          <w:pStyle w:val="SectionHeadingGrey"/>
                        </w:pPr>
                      </w:p>
                      <w:p w:rsidR="00AF07BE" w:rsidRDefault="00AF07BE" w:rsidP="00AF07BE">
                        <w:pPr>
                          <w:pStyle w:val="BulletGrey"/>
                        </w:pPr>
                        <w:r>
                          <w:t>Microsoft SQL Server</w:t>
                        </w:r>
                        <w:r w:rsidRPr="00AF07BE">
                          <w:rPr>
                            <w:vertAlign w:val="superscript"/>
                          </w:rPr>
                          <w:t>®</w:t>
                        </w:r>
                        <w:r>
                          <w:t xml:space="preserve"> 2008</w:t>
                        </w:r>
                      </w:p>
                      <w:p w:rsidR="00AF07BE" w:rsidRDefault="00AF07BE" w:rsidP="00AF07BE">
                        <w:pPr>
                          <w:pStyle w:val="BulletGrey"/>
                        </w:pPr>
                        <w:r>
                          <w:t>Microsoft Office SharePoint</w:t>
                        </w:r>
                        <w:r w:rsidRPr="00AF07BE">
                          <w:rPr>
                            <w:vertAlign w:val="superscript"/>
                          </w:rPr>
                          <w:t>®</w:t>
                        </w:r>
                        <w:r w:rsidR="00160A13">
                          <w:t xml:space="preserve"> </w:t>
                        </w:r>
                      </w:p>
                      <w:p w:rsidR="00726138" w:rsidRDefault="00AF07BE" w:rsidP="00AF07BE">
                        <w:pPr>
                          <w:pStyle w:val="BulletGrey"/>
                        </w:pPr>
                        <w:r>
                          <w:t>Microsoft Visual Studio</w:t>
                        </w:r>
                        <w:r w:rsidRPr="00AF07BE">
                          <w:rPr>
                            <w:vertAlign w:val="superscript"/>
                          </w:rPr>
                          <w:t>®</w:t>
                        </w:r>
                        <w:r>
                          <w:t xml:space="preserve"> 2008</w:t>
                        </w:r>
                      </w:p>
                      <w:p w:rsidR="00160A13" w:rsidRDefault="00160A13" w:rsidP="00160A13">
                        <w:pPr>
                          <w:pStyle w:val="BulletGrey"/>
                        </w:pPr>
                        <w:r>
                          <w:t xml:space="preserve">Microsoft .NET </w:t>
                        </w:r>
                      </w:p>
                      <w:p w:rsidR="00160A13" w:rsidRDefault="00160A13" w:rsidP="00160A13">
                        <w:pPr>
                          <w:pStyle w:val="BulletGrey"/>
                          <w:numPr>
                            <w:ilvl w:val="0"/>
                            <w:numId w:val="0"/>
                          </w:numPr>
                          <w:ind w:left="170"/>
                        </w:pPr>
                      </w:p>
                    </w:tc>
                    <w:tc>
                      <w:tcPr>
                        <w:tcW w:w="3390" w:type="dxa"/>
                      </w:tcPr>
                      <w:p w:rsidR="00160A13" w:rsidRDefault="00160A13" w:rsidP="00160A13">
                        <w:pPr>
                          <w:pStyle w:val="BulletGrey"/>
                          <w:numPr>
                            <w:ilvl w:val="0"/>
                            <w:numId w:val="0"/>
                          </w:numPr>
                          <w:ind w:left="170"/>
                        </w:pPr>
                        <w:bookmarkStart w:id="20" w:name="SoftwareandServices2"/>
                        <w:bookmarkEnd w:id="20"/>
                      </w:p>
                      <w:p w:rsidR="00160A13" w:rsidRDefault="00160A13" w:rsidP="00160A13">
                        <w:pPr>
                          <w:pStyle w:val="BulletGrey"/>
                          <w:numPr>
                            <w:ilvl w:val="0"/>
                            <w:numId w:val="0"/>
                          </w:numPr>
                          <w:ind w:left="170"/>
                        </w:pPr>
                      </w:p>
                      <w:p w:rsidR="00AF07BE" w:rsidRDefault="00AF07BE" w:rsidP="00AF07BE">
                        <w:pPr>
                          <w:pStyle w:val="BulletGrey"/>
                        </w:pPr>
                        <w:r>
                          <w:t>Microsoft Office Excel</w:t>
                        </w:r>
                        <w:r w:rsidRPr="00AF07BE">
                          <w:rPr>
                            <w:vertAlign w:val="superscript"/>
                          </w:rPr>
                          <w:t>®</w:t>
                        </w:r>
                        <w:r>
                          <w:t xml:space="preserve"> 2007</w:t>
                        </w:r>
                      </w:p>
                      <w:p w:rsidR="00726138" w:rsidRDefault="00AF07BE" w:rsidP="00AF07BE">
                        <w:pPr>
                          <w:pStyle w:val="BulletGrey"/>
                        </w:pPr>
                        <w:r>
                          <w:t>Microsoft SQL Server 2008 Inte</w:t>
                        </w:r>
                        <w:r w:rsidR="00160A13">
                          <w:t>gration Services</w:t>
                        </w:r>
                      </w:p>
                      <w:p w:rsidR="00160A13" w:rsidRDefault="00160A13" w:rsidP="00160A13">
                        <w:pPr>
                          <w:pStyle w:val="BulletGrey"/>
                        </w:pPr>
                        <w:r>
                          <w:t>Microsoft SQL Server 2008 Analysis Services</w:t>
                        </w:r>
                      </w:p>
                      <w:p w:rsidR="00160A13" w:rsidRDefault="00160A13" w:rsidP="00160A13">
                        <w:pPr>
                          <w:pStyle w:val="BulletGrey"/>
                          <w:numPr>
                            <w:ilvl w:val="0"/>
                            <w:numId w:val="0"/>
                          </w:numPr>
                          <w:ind w:left="170"/>
                        </w:pPr>
                      </w:p>
                    </w:tc>
                  </w:tr>
                </w:tbl>
                <w:p w:rsidR="00726138" w:rsidRDefault="00726138">
                  <w:pPr>
                    <w:pStyle w:val="Bodycopy"/>
                    <w:rPr>
                      <w:lang w:val="sv-SE"/>
                    </w:rPr>
                  </w:pPr>
                </w:p>
              </w:txbxContent>
            </v:textbox>
            <w10:wrap type="square" anchorx="page" anchory="page"/>
            <w10:anchorlock/>
          </v:shape>
        </w:pict>
      </w:r>
      <w:r>
        <w:rPr>
          <w:noProof/>
          <w:sz w:val="20"/>
        </w:rPr>
        <w:pict>
          <v:shape id="DisclaimerBox" o:spid="_x0000_s1027"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726138" w:rsidTr="00AF07BE">
                    <w:tblPrEx>
                      <w:tblCellMar>
                        <w:top w:w="0" w:type="dxa"/>
                        <w:bottom w:w="0" w:type="dxa"/>
                      </w:tblCellMar>
                    </w:tblPrEx>
                    <w:trPr>
                      <w:trHeight w:val="2114"/>
                    </w:trPr>
                    <w:tc>
                      <w:tcPr>
                        <w:tcW w:w="3200" w:type="dxa"/>
                        <w:tcBorders>
                          <w:top w:val="nil"/>
                          <w:left w:val="nil"/>
                          <w:bottom w:val="nil"/>
                          <w:right w:val="nil"/>
                        </w:tcBorders>
                        <w:vAlign w:val="bottom"/>
                      </w:tcPr>
                      <w:p w:rsidR="00726138" w:rsidRDefault="00AF07BE">
                        <w:pPr>
                          <w:pStyle w:val="Disclaimer"/>
                        </w:pPr>
                        <w:bookmarkStart w:id="21" w:name="Disclaimer"/>
                        <w:r>
                          <w:rPr>
                            <w:szCs w:val="11"/>
                          </w:rPr>
                          <w:t>This case study is for informational purposes only. MICROSOFT MAKES NO WARRANTIES, EXPRESS OR IMPLIED, IN THIS SUMMARY.</w:t>
                        </w:r>
                        <w:bookmarkEnd w:id="21"/>
                      </w:p>
                      <w:p w:rsidR="00726138" w:rsidRDefault="00726138">
                        <w:pPr>
                          <w:pStyle w:val="Disclaimer"/>
                          <w:rPr>
                            <w:szCs w:val="11"/>
                          </w:rPr>
                        </w:pPr>
                      </w:p>
                      <w:p w:rsidR="00726138" w:rsidRDefault="00726138">
                        <w:pPr>
                          <w:pStyle w:val="Disclaimer"/>
                        </w:pPr>
                        <w:r>
                          <w:rPr>
                            <w:szCs w:val="11"/>
                          </w:rPr>
                          <w:t xml:space="preserve">Document published </w:t>
                        </w:r>
                        <w:bookmarkStart w:id="22" w:name="DocumentPublished"/>
                        <w:r w:rsidR="00AF07BE">
                          <w:rPr>
                            <w:szCs w:val="11"/>
                          </w:rPr>
                          <w:t>April 2010</w:t>
                        </w:r>
                        <w:bookmarkEnd w:id="22"/>
                      </w:p>
                    </w:tc>
                    <w:tc>
                      <w:tcPr>
                        <w:tcW w:w="280" w:type="dxa"/>
                        <w:tcBorders>
                          <w:top w:val="nil"/>
                          <w:left w:val="nil"/>
                          <w:bottom w:val="nil"/>
                          <w:right w:val="single" w:sz="8" w:space="0" w:color="999999"/>
                        </w:tcBorders>
                        <w:shd w:val="clear" w:color="auto" w:fill="auto"/>
                        <w:vAlign w:val="bottom"/>
                      </w:tcPr>
                      <w:p w:rsidR="00726138" w:rsidRDefault="00726138">
                        <w:pPr>
                          <w:pStyle w:val="Disclaimer"/>
                        </w:pPr>
                      </w:p>
                    </w:tc>
                  </w:tr>
                </w:tbl>
                <w:p w:rsidR="00726138" w:rsidRDefault="00726138">
                  <w:pPr>
                    <w:pStyle w:val="Disclaimer"/>
                  </w:pPr>
                </w:p>
              </w:txbxContent>
            </v:textbox>
            <w10:wrap anchorx="page" anchory="page"/>
            <w10:anchorlock/>
          </v:shape>
        </w:pict>
      </w:r>
      <w:r>
        <w:rPr>
          <w:noProof/>
          <w:sz w:val="20"/>
        </w:rPr>
        <w:pict>
          <v:shape id="_x0000_s1026" type="#_x0000_t202" style="position:absolute;margin-left:42.55pt;margin-top:161.95pt;width:155.9pt;height:484.4pt;z-index:251657728;mso-position-horizontal-relative:page;mso-position-vertical-relative:page" stroked="f">
            <v:textbox style="mso-next-textbox:#_x0000_s1026" inset="0,0,0,0">
              <w:txbxContent>
                <w:p w:rsidR="00726138" w:rsidRDefault="00726138">
                  <w:pPr>
                    <w:pStyle w:val="SectionHeading"/>
                  </w:pPr>
                  <w:r>
                    <w:t>For More Information</w:t>
                  </w:r>
                </w:p>
                <w:p w:rsidR="00726138" w:rsidRDefault="00726138">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please contact your local Microsoft subsidiary. To access information using the World Wide Web, go to: www.microsoft.com</w:t>
                  </w:r>
                </w:p>
                <w:p w:rsidR="00726138" w:rsidRDefault="00726138">
                  <w:pPr>
                    <w:pStyle w:val="Bodycopy"/>
                  </w:pPr>
                </w:p>
                <w:p w:rsidR="00726138" w:rsidRDefault="00726138">
                  <w:pPr>
                    <w:pStyle w:val="Bodycopy"/>
                  </w:pPr>
                </w:p>
                <w:p w:rsidR="00726138" w:rsidRDefault="00726138">
                  <w:pPr>
                    <w:pStyle w:val="Bodycopy"/>
                  </w:pPr>
                  <w:r>
                    <w:t xml:space="preserve">For more information about </w:t>
                  </w:r>
                  <w:bookmarkStart w:id="23" w:name="CustomerName"/>
                  <w:r w:rsidR="00AF07BE">
                    <w:t xml:space="preserve">Canadian Automobile Association </w:t>
                  </w:r>
                  <w:bookmarkEnd w:id="23"/>
                  <w:r>
                    <w:t xml:space="preserve">products and services, visit the Web site at: </w:t>
                  </w:r>
                  <w:bookmarkStart w:id="24" w:name="CustomerURL"/>
                  <w:bookmarkEnd w:id="24"/>
                </w:p>
                <w:p w:rsidR="00726138" w:rsidRDefault="00160A13">
                  <w:pPr>
                    <w:pStyle w:val="Bodycopy"/>
                  </w:pPr>
                  <w:hyperlink r:id="rId9" w:history="1">
                    <w:r w:rsidRPr="00AD21E8">
                      <w:rPr>
                        <w:rStyle w:val="Hyperlink"/>
                      </w:rPr>
                      <w:t>http://caa.ca/</w:t>
                    </w:r>
                  </w:hyperlink>
                </w:p>
                <w:p w:rsidR="00160A13" w:rsidRDefault="00160A13">
                  <w:pPr>
                    <w:pStyle w:val="Bodycopy"/>
                  </w:pPr>
                </w:p>
              </w:txbxContent>
            </v:textbox>
            <w10:wrap anchorx="page" anchory="page"/>
            <w10:anchorlock/>
          </v:shape>
        </w:pict>
      </w:r>
      <w:r w:rsidR="00AF07BE">
        <w:rPr>
          <w:noProof/>
          <w:sz w:val="20"/>
        </w:rPr>
        <w:t>Microsoft Server Product Portfolio</w:t>
      </w:r>
      <w:bookmarkEnd w:id="17"/>
    </w:p>
    <w:p w:rsidR="00AF07BE" w:rsidRDefault="00AF07BE">
      <w:pPr>
        <w:pStyle w:val="Bodycopy"/>
      </w:pPr>
      <w:bookmarkStart w:id="25" w:name="ProductBoilerplateText"/>
      <w:r>
        <w:t>For more information about the Microsoft server product portfolio, go to:</w:t>
      </w:r>
    </w:p>
    <w:p w:rsidR="00AF07BE" w:rsidRDefault="00AF07BE">
      <w:pPr>
        <w:pStyle w:val="Bodycopy"/>
      </w:pPr>
      <w:r>
        <w:t>www.microsoft.com/servers/default.mspx</w:t>
      </w:r>
    </w:p>
    <w:p w:rsidR="00AF07BE" w:rsidRDefault="00AF07BE">
      <w:pPr>
        <w:pStyle w:val="Bodycopy"/>
      </w:pPr>
    </w:p>
    <w:p w:rsidR="00AF07BE" w:rsidRPr="00160A13" w:rsidRDefault="00160A13">
      <w:pPr>
        <w:pStyle w:val="Bodycopy"/>
        <w:rPr>
          <w:b/>
        </w:rPr>
      </w:pPr>
      <w:r w:rsidRPr="00160A13">
        <w:rPr>
          <w:b/>
        </w:rPr>
        <w:t>Microsoft SQL Server 2008</w:t>
      </w:r>
    </w:p>
    <w:bookmarkEnd w:id="25"/>
    <w:p w:rsidR="00160A13" w:rsidRDefault="00160A13" w:rsidP="00160A13">
      <w:pPr>
        <w:pStyle w:val="Bodycopy"/>
      </w:pPr>
      <w:r>
        <w:t xml:space="preserve">Launched in August 2008, Microsoft® SQL Server® 2008 has generated overwhelming customer and partner excitement. With over 1.5 million downloads to-date, more than 2,500 partners use this platform to deliver their solutions. </w:t>
      </w:r>
    </w:p>
    <w:p w:rsidR="00160A13" w:rsidRDefault="00160A13" w:rsidP="00160A13">
      <w:pPr>
        <w:pStyle w:val="Bodycopy"/>
      </w:pPr>
    </w:p>
    <w:p w:rsidR="00160A13" w:rsidRDefault="00160A13" w:rsidP="00160A13">
      <w:pPr>
        <w:pStyle w:val="Bodycopy"/>
      </w:pPr>
      <w:r>
        <w:t xml:space="preserve">Regarded as a critical component of Microsoft’s acclaimed business intelligence platform, SQL Server 2008 has received industry recognition and is now considered the fastest-growing relational database in the world. </w:t>
      </w:r>
    </w:p>
    <w:p w:rsidR="00160A13" w:rsidRDefault="00160A13" w:rsidP="00160A13">
      <w:pPr>
        <w:pStyle w:val="Bodycopy"/>
      </w:pPr>
    </w:p>
    <w:p w:rsidR="003119F1" w:rsidRDefault="00160A13" w:rsidP="00160A13">
      <w:pPr>
        <w:pStyle w:val="Bodycopy"/>
      </w:pPr>
      <w:r>
        <w:t xml:space="preserve">To find out how you can use Windows SQL Server 2008 to deliver your solutions, go to </w:t>
      </w:r>
      <w:hyperlink r:id="rId10" w:history="1">
        <w:r>
          <w:rPr>
            <w:rStyle w:val="Hyperlink"/>
          </w:rPr>
          <w:t>http://www.microsoft.com/sqlserver/2008/en/us/default.aspx</w:t>
        </w:r>
      </w:hyperlink>
    </w:p>
    <w:sectPr w:rsidR="003119F1">
      <w:headerReference w:type="default" r:id="rId11"/>
      <w:footerReference w:type="default" r:id="rId12"/>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29D" w:rsidRDefault="00B6429D">
      <w:r>
        <w:separator/>
      </w:r>
    </w:p>
  </w:endnote>
  <w:endnote w:type="continuationSeparator" w:id="0">
    <w:p w:rsidR="00B6429D" w:rsidRDefault="00B6429D">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ranklin Gothic Heavy">
    <w:panose1 w:val="020B0903020102020204"/>
    <w:charset w:val="00"/>
    <w:family w:val="swiss"/>
    <w:pitch w:val="variable"/>
    <w:sig w:usb0="00000287" w:usb1="00000000" w:usb2="00000000" w:usb3="00000000" w:csb0="0000009F" w:csb1="00000000"/>
    <w:embedRegular r:id="rId1" w:subsetted="1" w:fontKey="{7A772E81-C759-47D8-A635-572EBDD27408}"/>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726138">
    <w:pPr>
      <w:pStyle w:val="Footer"/>
      <w:tabs>
        <w:tab w:val="left" w:pos="2760"/>
      </w:tabs>
      <w:jc w:val="right"/>
    </w:pPr>
    <w:r>
      <w:fldChar w:fldCharType="begin"/>
    </w:r>
    <w:r>
      <w:instrText xml:space="preserve"> if </w:instrText>
    </w:r>
    <w:r>
      <w:rPr>
        <w:rStyle w:val="PageNumber"/>
      </w:rPr>
      <w:fldChar w:fldCharType="begin"/>
    </w:r>
    <w:r>
      <w:rPr>
        <w:rStyle w:val="PageNumber"/>
      </w:rPr>
      <w:instrText xml:space="preserve"> PAGE </w:instrText>
    </w:r>
    <w:r>
      <w:rPr>
        <w:rStyle w:val="PageNumber"/>
      </w:rPr>
      <w:fldChar w:fldCharType="separate"/>
    </w:r>
    <w:r w:rsidR="00044B2C">
      <w:rPr>
        <w:rStyle w:val="PageNumber"/>
        <w:noProof/>
      </w:rPr>
      <w:instrText>5</w:instrText>
    </w:r>
    <w:r>
      <w:rPr>
        <w:rStyle w:val="PageNumber"/>
      </w:rPr>
      <w:fldChar w:fldCharType="end"/>
    </w:r>
    <w:r>
      <w:rPr>
        <w:rStyle w:val="PageNumber"/>
      </w:rPr>
      <w:instrText xml:space="preserve"> = </w:instrText>
    </w:r>
    <w:r>
      <w:rPr>
        <w:rStyle w:val="PageNumber"/>
      </w:rPr>
      <w:fldChar w:fldCharType="begin"/>
    </w:r>
    <w:r>
      <w:rPr>
        <w:rStyle w:val="PageNumber"/>
      </w:rPr>
      <w:instrText xml:space="preserve"> NUMPAGES </w:instrText>
    </w:r>
    <w:r>
      <w:rPr>
        <w:rStyle w:val="PageNumber"/>
      </w:rPr>
      <w:fldChar w:fldCharType="separate"/>
    </w:r>
    <w:r w:rsidR="00044B2C">
      <w:rPr>
        <w:rStyle w:val="PageNumber"/>
        <w:noProof/>
      </w:rPr>
      <w:instrText>7</w:instrText>
    </w:r>
    <w:r>
      <w:rPr>
        <w:rStyle w:val="PageNumber"/>
      </w:rPr>
      <w:fldChar w:fldCharType="end"/>
    </w:r>
    <w:r>
      <w:rPr>
        <w:rStyle w:val="PageNumber"/>
      </w:rPr>
      <w:instrText xml:space="preserve"> </w:instrText>
    </w:r>
    <w:r w:rsidR="00160A13">
      <w:rPr>
        <w:noProof/>
        <w:spacing w:val="20"/>
        <w:sz w:val="16"/>
        <w:lang w:val="en-CA" w:eastAsia="en-CA"/>
      </w:rPr>
      <w:drawing>
        <wp:inline distT="0" distB="0" distL="0" distR="0">
          <wp:extent cx="1981200" cy="914400"/>
          <wp:effectExtent l="19050" t="0" r="0" b="0"/>
          <wp:docPr id="8" name="Picture 8"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Pr>
        <w:rStyle w:val="PageNumber"/>
      </w:rPr>
      <w:instrText xml:space="preserve"> </w:instrText>
    </w:r>
    <w:r>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29D" w:rsidRDefault="00B6429D">
      <w:r>
        <w:separator/>
      </w:r>
    </w:p>
  </w:footnote>
  <w:footnote w:type="continuationSeparator" w:id="0">
    <w:p w:rsidR="00B6429D" w:rsidRDefault="00B64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726138">
      <w:tblPrEx>
        <w:tblCellMar>
          <w:top w:w="0" w:type="dxa"/>
          <w:bottom w:w="0" w:type="dxa"/>
        </w:tblCellMar>
      </w:tblPrEx>
      <w:trPr>
        <w:cantSplit/>
        <w:trHeight w:hRule="exact" w:val="1155"/>
      </w:trPr>
      <w:tc>
        <w:tcPr>
          <w:tcW w:w="4253" w:type="dxa"/>
          <w:gridSpan w:val="2"/>
          <w:vMerge w:val="restart"/>
        </w:tcPr>
        <w:p w:rsidR="00726138" w:rsidRDefault="00160A13">
          <w:bookmarkStart w:id="11" w:name="ProductPicture"/>
          <w:r>
            <w:rPr>
              <w:noProof/>
              <w:lang w:val="en-CA" w:eastAsia="en-CA"/>
            </w:rPr>
            <w:drawing>
              <wp:inline distT="0" distB="0" distL="0" distR="0">
                <wp:extent cx="2705100" cy="1676400"/>
                <wp:effectExtent l="19050" t="0" r="0" b="0"/>
                <wp:docPr id="1" name="Picture 1" descr="C:\Users\imise\AppData\Roaming\Microsoft\Templates\CEP_Files\CEPFiles_picture_IM_Win_Ser_Sys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ise\AppData\Roaming\Microsoft\Templates\CEP_Files\CEPFiles_picture_IM_Win_Ser_Sys_image.jpg"/>
                        <pic:cNvPicPr>
                          <a:picLocks noChangeAspect="1" noChangeArrowheads="1"/>
                        </pic:cNvPicPr>
                      </pic:nvPicPr>
                      <pic:blipFill>
                        <a:blip r:embed="rId1"/>
                        <a:srcRect/>
                        <a:stretch>
                          <a:fillRect/>
                        </a:stretch>
                      </pic:blipFill>
                      <pic:spPr bwMode="auto">
                        <a:xfrm>
                          <a:off x="0" y="0"/>
                          <a:ext cx="2705100" cy="1676400"/>
                        </a:xfrm>
                        <a:prstGeom prst="rect">
                          <a:avLst/>
                        </a:prstGeom>
                        <a:noFill/>
                        <a:ln w="9525">
                          <a:noFill/>
                          <a:miter lim="800000"/>
                          <a:headEnd/>
                          <a:tailEnd/>
                        </a:ln>
                      </pic:spPr>
                    </pic:pic>
                  </a:graphicData>
                </a:graphic>
              </wp:inline>
            </w:drawing>
          </w:r>
          <w:bookmarkEnd w:id="11"/>
        </w:p>
      </w:tc>
      <w:tc>
        <w:tcPr>
          <w:tcW w:w="284" w:type="dxa"/>
          <w:vMerge w:val="restart"/>
        </w:tcPr>
        <w:p w:rsidR="00726138" w:rsidRDefault="00726138"/>
      </w:tc>
      <w:tc>
        <w:tcPr>
          <w:tcW w:w="6379" w:type="dxa"/>
        </w:tcPr>
        <w:p w:rsidR="00726138" w:rsidRDefault="00726138">
          <w:pPr>
            <w:pStyle w:val="StandFirstIntroduction"/>
          </w:pPr>
        </w:p>
      </w:tc>
    </w:tr>
    <w:tr w:rsidR="00726138">
      <w:tblPrEx>
        <w:tblCellMar>
          <w:top w:w="0" w:type="dxa"/>
          <w:bottom w:w="0" w:type="dxa"/>
        </w:tblCellMar>
      </w:tblPrEx>
      <w:trPr>
        <w:cantSplit/>
        <w:trHeight w:val="768"/>
      </w:trPr>
      <w:tc>
        <w:tcPr>
          <w:tcW w:w="4253" w:type="dxa"/>
          <w:gridSpan w:val="2"/>
          <w:vMerge/>
        </w:tcPr>
        <w:p w:rsidR="00726138" w:rsidRDefault="00726138"/>
      </w:tc>
      <w:tc>
        <w:tcPr>
          <w:tcW w:w="284" w:type="dxa"/>
          <w:vMerge/>
        </w:tcPr>
        <w:p w:rsidR="00726138" w:rsidRDefault="00726138"/>
      </w:tc>
      <w:tc>
        <w:tcPr>
          <w:tcW w:w="6379" w:type="dxa"/>
          <w:vAlign w:val="bottom"/>
        </w:tcPr>
        <w:p w:rsidR="00AF07BE" w:rsidRDefault="00AF07BE">
          <w:pPr>
            <w:pStyle w:val="Casestudydescription"/>
          </w:pPr>
          <w:bookmarkStart w:id="12" w:name="ProductTitle"/>
          <w:r>
            <w:t>Microsoft SQL Server</w:t>
          </w:r>
        </w:p>
        <w:p w:rsidR="00726138" w:rsidRDefault="00AF07BE">
          <w:pPr>
            <w:pStyle w:val="Casestudydescription"/>
          </w:pPr>
          <w:r>
            <w:t>Customer Solution Case Study</w:t>
          </w:r>
          <w:bookmarkEnd w:id="12"/>
        </w:p>
      </w:tc>
    </w:tr>
    <w:tr w:rsidR="00726138">
      <w:tblPrEx>
        <w:tblCellMar>
          <w:top w:w="0" w:type="dxa"/>
          <w:bottom w:w="0" w:type="dxa"/>
        </w:tblCellMar>
      </w:tblPrEx>
      <w:trPr>
        <w:cantSplit/>
        <w:trHeight w:val="1248"/>
      </w:trPr>
      <w:tc>
        <w:tcPr>
          <w:tcW w:w="4253" w:type="dxa"/>
          <w:gridSpan w:val="2"/>
          <w:vMerge/>
        </w:tcPr>
        <w:p w:rsidR="00726138" w:rsidRDefault="00726138"/>
      </w:tc>
      <w:tc>
        <w:tcPr>
          <w:tcW w:w="284" w:type="dxa"/>
        </w:tcPr>
        <w:p w:rsidR="00726138" w:rsidRDefault="00726138">
          <w:r>
            <w:rPr>
              <w:noProof/>
              <w:sz w:val="20"/>
              <w:lang w:val="en-US"/>
            </w:rPr>
            <w:pict>
              <v:shapetype id="_x0000_t202" coordsize="21600,21600" o:spt="202" path="m,l,21600r21600,l21600,xe">
                <v:stroke joinstyle="miter"/>
                <v:path gradientshapeok="t" o:connecttype="rect"/>
              </v:shapetype>
              <v:shape id="Green501" o:spid="_x0000_s2049" type="#_x0000_t202" style="position:absolute;margin-left:-.55pt;margin-top:11.35pt;width:401pt;height:24.5pt;z-index:-251660800;mso-wrap-edited:f;mso-position-horizontal-relative:page;mso-position-vertical-relative:page" wrapcoords="-92 0 -92 21392 21600 21392 21600 0 -92 0" fillcolor="#999" stroked="f">
                <v:fill opacity=".5"/>
                <v:textbox style="mso-next-textbox:#Green501" inset="0,0,0,0">
                  <w:txbxContent>
                    <w:p w:rsidR="00726138" w:rsidRDefault="00726138"/>
                  </w:txbxContent>
                </v:textbox>
                <w10:anchorlock/>
              </v:shape>
            </w:pict>
          </w:r>
        </w:p>
      </w:tc>
      <w:tc>
        <w:tcPr>
          <w:tcW w:w="6379" w:type="dxa"/>
        </w:tcPr>
        <w:p w:rsidR="00726138" w:rsidRDefault="00726138">
          <w:pPr>
            <w:spacing w:after="80"/>
            <w:jc w:val="right"/>
            <w:rPr>
              <w:color w:val="FF9900"/>
            </w:rPr>
          </w:pPr>
        </w:p>
      </w:tc>
    </w:tr>
    <w:tr w:rsidR="00726138">
      <w:tblPrEx>
        <w:tblCellMar>
          <w:top w:w="0" w:type="dxa"/>
          <w:bottom w:w="0" w:type="dxa"/>
        </w:tblCellMar>
      </w:tblPrEx>
      <w:trPr>
        <w:cantSplit/>
        <w:trHeight w:hRule="exact" w:val="707"/>
      </w:trPr>
      <w:tc>
        <w:tcPr>
          <w:tcW w:w="860" w:type="dxa"/>
          <w:vMerge w:val="restart"/>
        </w:tcPr>
        <w:p w:rsidR="00726138" w:rsidRDefault="00726138"/>
      </w:tc>
      <w:tc>
        <w:tcPr>
          <w:tcW w:w="3393" w:type="dxa"/>
          <w:vMerge w:val="restart"/>
        </w:tcPr>
        <w:p w:rsidR="00726138" w:rsidRDefault="00726138">
          <w:pPr>
            <w:rPr>
              <w:sz w:val="8"/>
            </w:rPr>
          </w:pPr>
        </w:p>
        <w:p w:rsidR="00726138" w:rsidRDefault="00726138"/>
      </w:tc>
      <w:tc>
        <w:tcPr>
          <w:tcW w:w="284" w:type="dxa"/>
          <w:tcBorders>
            <w:left w:val="nil"/>
          </w:tcBorders>
        </w:tcPr>
        <w:p w:rsidR="00726138" w:rsidRDefault="00726138">
          <w:r>
            <w:rPr>
              <w:noProof/>
              <w:sz w:val="20"/>
              <w:lang w:val="en-US"/>
            </w:rPr>
            <w:pict>
              <v:shape id="GreenFade1" o:spid="_x0000_s2050" type="#_x0000_t202" style="position:absolute;margin-left:-.55pt;margin-top:-158.6pt;width:401.1pt;height:107.75pt;z-index:-251656704;mso-wrap-edited:f;mso-position-horizontal-relative:page;mso-position-vertical-relative:page" wrapcoords="-92 0 -92 21392 21600 21392 21600 0 -92 0" fillcolor="#999" stroked="f">
                <v:fill color2="fill lighten(0)" angle="-90" method="linear sigma" focus="100%" type="gradient"/>
                <v:textbox style="mso-next-textbox:#GreenFade1" inset="0,0,0,0">
                  <w:txbxContent>
                    <w:p w:rsidR="00726138" w:rsidRDefault="00726138"/>
                  </w:txbxContent>
                </v:textbox>
                <w10:anchorlock/>
              </v:shape>
            </w:pict>
          </w:r>
        </w:p>
      </w:tc>
      <w:tc>
        <w:tcPr>
          <w:tcW w:w="6379" w:type="dxa"/>
        </w:tcPr>
        <w:p w:rsidR="00726138" w:rsidRDefault="00AF07BE">
          <w:pPr>
            <w:pStyle w:val="DocumentTitle"/>
          </w:pPr>
          <w:bookmarkStart w:id="13" w:name="DocumentTitle"/>
          <w:r>
            <w:t>CAA Changes the Insurance Game with Help from the Microsoft platform</w:t>
          </w:r>
          <w:bookmarkEnd w:id="13"/>
        </w:p>
      </w:tc>
    </w:tr>
    <w:tr w:rsidR="00726138">
      <w:tblPrEx>
        <w:tblCellMar>
          <w:top w:w="0" w:type="dxa"/>
          <w:bottom w:w="0" w:type="dxa"/>
        </w:tblCellMar>
      </w:tblPrEx>
      <w:trPr>
        <w:cantSplit/>
        <w:trHeight w:val="1008"/>
      </w:trPr>
      <w:tc>
        <w:tcPr>
          <w:tcW w:w="860" w:type="dxa"/>
          <w:vMerge/>
        </w:tcPr>
        <w:p w:rsidR="00726138" w:rsidRDefault="00726138"/>
      </w:tc>
      <w:tc>
        <w:tcPr>
          <w:tcW w:w="3393" w:type="dxa"/>
          <w:vMerge/>
          <w:tcBorders>
            <w:top w:val="single" w:sz="4" w:space="0" w:color="auto"/>
          </w:tcBorders>
        </w:tcPr>
        <w:p w:rsidR="00726138" w:rsidRDefault="00726138"/>
      </w:tc>
      <w:tc>
        <w:tcPr>
          <w:tcW w:w="284" w:type="dxa"/>
          <w:tcBorders>
            <w:left w:val="nil"/>
          </w:tcBorders>
        </w:tcPr>
        <w:p w:rsidR="00726138" w:rsidRDefault="00726138">
          <w:pPr>
            <w:rPr>
              <w:noProof/>
              <w:sz w:val="20"/>
              <w:lang w:val="en-US"/>
            </w:rPr>
          </w:pPr>
        </w:p>
      </w:tc>
      <w:tc>
        <w:tcPr>
          <w:tcW w:w="6379" w:type="dxa"/>
          <w:vAlign w:val="bottom"/>
        </w:tcPr>
        <w:p w:rsidR="00726138" w:rsidRDefault="00726138">
          <w:pPr>
            <w:pStyle w:val="StandFirstIntroduction"/>
            <w:spacing w:line="240" w:lineRule="auto"/>
            <w:rPr>
              <w:sz w:val="20"/>
            </w:rPr>
          </w:pPr>
        </w:p>
        <w:p w:rsidR="00726138" w:rsidRDefault="00726138">
          <w:pPr>
            <w:pStyle w:val="StandFirstIntroduction"/>
            <w:spacing w:line="240" w:lineRule="auto"/>
            <w:rPr>
              <w:sz w:val="20"/>
            </w:rPr>
          </w:pPr>
        </w:p>
        <w:p w:rsidR="00726138" w:rsidRDefault="00726138">
          <w:pPr>
            <w:pStyle w:val="StandFirstIntroduction"/>
          </w:pPr>
        </w:p>
      </w:tc>
    </w:tr>
  </w:tbl>
  <w:p w:rsidR="00726138" w:rsidRDefault="0072613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726138">
    <w:pPr>
      <w:pStyle w:val="Header"/>
    </w:pPr>
    <w:r>
      <w:rPr>
        <w:noProof/>
        <w:sz w:val="20"/>
        <w:lang w:val="en-US" w:bidi="ar-SA"/>
      </w:rPr>
      <w:pict>
        <v:line id="ThinGreenLine" o:spid="_x0000_s2053" style="position:absolute;left:0;text-align:left;flip:x;z-index:-251657728;mso-position-horizontal-relative:page;mso-position-vertical-relative:page" from="212.35pt,161.6pt" to="212.35pt,725.6pt" strokecolor="#999"/>
      </w:pict>
    </w:r>
    <w:r>
      <w:rPr>
        <w:noProof/>
        <w:sz w:val="20"/>
        <w:lang w:val="en-US" w:bidi="ar-SA"/>
      </w:rPr>
      <w:pict>
        <v:shapetype id="_x0000_t202" coordsize="21600,21600" o:spt="202" path="m,l,21600r21600,l21600,xe">
          <v:stroke joinstyle="miter"/>
          <v:path gradientshapeok="t" o:connecttype="rect"/>
        </v:shapetype>
        <v:shape id="Green502" o:spid="_x0000_s2052" type="#_x0000_t202" style="position:absolute;left:0;text-align:left;margin-left:-.05pt;margin-top:41.8pt;width:612.1pt;height:24pt;z-index:-251658752;mso-wrap-edited:f;mso-position-horizontal-relative:page;mso-position-vertical-relative:page" wrapcoords="-92 0 -92 21392 21600 21392 21600 0 -92 0" fillcolor="#999" stroked="f">
          <v:fill opacity=".5"/>
          <v:textbox style="mso-next-textbox:#Green502" inset="0,0,0,0">
            <w:txbxContent>
              <w:p w:rsidR="00726138" w:rsidRDefault="00726138"/>
            </w:txbxContent>
          </v:textbox>
          <w10:anchorlock/>
        </v:shape>
      </w:pict>
    </w:r>
    <w:r>
      <w:rPr>
        <w:noProof/>
        <w:sz w:val="20"/>
        <w:lang w:val="en-US" w:bidi="ar-SA"/>
      </w:rPr>
      <w:pict>
        <v:shape id="GreenFade2" o:spid="_x0000_s2051" type="#_x0000_t202" style="position:absolute;left:0;text-align:left;margin-left:0;margin-top:-.05pt;width:612.1pt;height:42pt;z-index:-251659776;mso-wrap-edited:f;mso-position-horizontal-relative:page;mso-position-vertical-relative:page" wrapcoords="-92 0 -92 21392 21600 21392 21600 0 -92 0" fillcolor="#999" stroked="f">
          <v:fill color2="fill lighten(0)" angle="-90" method="linear sigma" focus="100%" type="gradient"/>
          <v:textbox style="mso-next-textbox:#GreenFade2" inset="0,0,0,0">
            <w:txbxContent>
              <w:p w:rsidR="00726138" w:rsidRDefault="00726138"/>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FE385556"/>
    <w:lvl w:ilvl="0" w:tplc="CF381ECC">
      <w:start w:val="1"/>
      <w:numFmt w:val="bullet"/>
      <w:lvlRestart w:val="0"/>
      <w:pStyle w:val="Bullet"/>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58C4F3DE"/>
    <w:lvl w:ilvl="0" w:tplc="993E770A">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3140D9"/>
    <w:multiLevelType w:val="hybridMultilevel"/>
    <w:tmpl w:val="F9BA00CE"/>
    <w:lvl w:ilvl="0" w:tplc="6D9677CA">
      <w:start w:val="1"/>
      <w:numFmt w:val="bullet"/>
      <w:lvlRestart w:val="0"/>
      <w:pStyle w:val="Bulletbol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FE4487"/>
    <w:multiLevelType w:val="singleLevel"/>
    <w:tmpl w:val="86EEE6A8"/>
    <w:lvl w:ilvl="0">
      <w:start w:val="1"/>
      <w:numFmt w:val="decimal"/>
      <w:pStyle w:val="TOC2"/>
      <w:lvlText w:val="%1."/>
      <w:lvlJc w:val="left"/>
      <w:pPr>
        <w:tabs>
          <w:tab w:val="num" w:pos="360"/>
        </w:tabs>
        <w:ind w:left="360" w:hanging="360"/>
      </w:pPr>
    </w:lvl>
  </w:abstractNum>
  <w:abstractNum w:abstractNumId="6">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7">
    <w:nsid w:val="4F147D09"/>
    <w:multiLevelType w:val="hybridMultilevel"/>
    <w:tmpl w:val="91F4DF76"/>
    <w:lvl w:ilvl="0" w:tplc="F27C296C">
      <w:start w:val="1"/>
      <w:numFmt w:val="bullet"/>
      <w:lvlRestart w:val="0"/>
      <w:pStyle w:val="Bulletcolore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9">
    <w:nsid w:val="745A6C05"/>
    <w:multiLevelType w:val="multilevel"/>
    <w:tmpl w:val="BF965A8E"/>
    <w:lvl w:ilvl="0">
      <w:start w:val="1"/>
      <w:numFmt w:val="decimal"/>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6"/>
  </w:num>
  <w:num w:numId="3">
    <w:abstractNumId w:val="8"/>
  </w:num>
  <w:num w:numId="4">
    <w:abstractNumId w:val="5"/>
  </w:num>
  <w:num w:numId="5">
    <w:abstractNumId w:val="1"/>
  </w:num>
  <w:num w:numId="7">
    <w:abstractNumId w:val="10"/>
  </w:num>
  <w:num w:numId="8">
    <w:abstractNumId w:val="3"/>
  </w:num>
  <w:num w:numId="9">
    <w:abstractNumId w:val="1"/>
  </w:num>
  <w:num w:numId="10">
    <w:abstractNumId w:val="4"/>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attachedTemplate r:id="rId1"/>
  <w:stylePaneFormatFilter w:val="3F01"/>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54" style="mso-position-horizontal-relative:page;mso-position-vertical-relative:page" fillcolor="white" stroke="f">
      <v:fill color="white"/>
      <v:stroke on="f"/>
      <v:textbox inset="0,0,0,0"/>
      <o:colormru v:ext="edit" colors="#6c3,#afe494,silver,#ddd,#999,#ccc,#bde9a7"/>
    </o:shapedefaults>
    <o:shapelayout v:ext="edit">
      <o:idmap v:ext="edit" data="2"/>
    </o:shapelayout>
  </w:hdrShapeDefaults>
  <w:footnotePr>
    <w:footnote w:id="-1"/>
    <w:footnote w:id="0"/>
  </w:footnotePr>
  <w:endnotePr>
    <w:endnote w:id="-1"/>
    <w:endnote w:id="0"/>
  </w:endnotePr>
  <w:compat/>
  <w:docVars>
    <w:docVar w:name="ACTIVATED" w:val="w:compa"/>
    <w:docVar w:name="CHKITEM" w:val="w:docVa"/>
    <w:docVar w:name="ColorHalfRGB" w:val="櫠檭ᛐ۩櫀檭᛺۩:妐檭ੇ▌檱&#10;▬檱䀘؇㸜ː"/>
    <w:docVar w:name="ColorName" w:val="ᬄ檯⦠з0"/>
    <w:docVar w:name="ColorRGB" w:val="櫠檭ᛐ۩櫀檭᛺۩:妐檭ੇ▌檱&#10;▬檱䀘؇㸜ː"/>
    <w:docVar w:name="ComboBox1_ListCount" w:val="w:docVa"/>
    <w:docVar w:name="ComboBox1_ListIndex" w:val="country-region"/>
    <w:docVar w:name="lbColour_0_0" w:val="w:continuationSeparat"/>
    <w:docVar w:name="lbColour_0_1" w:val=""/>
    <w:docVar w:name="lbColour_0_2" w:val="櫠檭ᛐ۩櫀檭᛺۩:妐檭ੇ▌檱&#10;▬檱䀘؇㸜ː"/>
    <w:docVar w:name="lbColour_0_SELECTED" w:val="w:docVa"/>
    <w:docVar w:name="lbColour_1_0" w:val="ᬄ檯⦠з0"/>
    <w:docVar w:name="lbColour_1_1" w:val="櫠檭ᛐ۩櫀檭᛺۩:妐檭ੇ▌檱&#10;▬檱䀘؇㸜ː"/>
    <w:docVar w:name="lbColour_1_2" w:val="櫠檭ᛐ۩櫀檭᛺۩:妐檭ੇ▌檱&#10;▬檱䀘؇㸜ː"/>
    <w:docVar w:name="lbColour_1_SELECTED" w:val="w:docVa"/>
    <w:docVar w:name="lbColour_2_0" w:val="#6c3,#afe494,silver,#ddd,#999,#ccca"/>
    <w:docVar w:name="lbColour_2_1" w:val="櫠檭ᛐ۩櫀檭᛺۩:妐檭ੇ▌檱&#10;▬檱䀘؇㸜ː賐 瞀৩ꏨࠗ६Ḁ"/>
    <w:docVar w:name="lbColour_2_2" w:val="櫠檭ᛐ۩櫀檭᛺۩:妐檭ੇ▌檱&#10;▬檱䀘؇㸜ː"/>
    <w:docVar w:name="lbColour_2_SELECTED" w:val="w:docVa"/>
    <w:docVar w:name="lbColour_3_0" w:val="ᬄ檯⦠з0"/>
    <w:docVar w:name="lbColour_3_1" w:val="櫠檭ᛐ۩櫀檭᛺۩:妐檭ੇ▌檱&#10;▬檱䀘؇㸜ː"/>
    <w:docVar w:name="lbColour_3_2" w:val="櫠檭ᛐ۩櫀檭᛺۩:妐檭ੇ▌檱&#10;▬檱䀘؇㸜ː"/>
    <w:docVar w:name="lbColour_3_SELECTED" w:val="country-region"/>
    <w:docVar w:name="lbColour_4_0" w:val="urn:schemas-microsoft-com:office:smarttags"/>
    <w:docVar w:name="lbColour_4_1" w:val="#6c3,#afe494,silver,#ddd,#999,#ccca"/>
    <w:docVar w:name="lbColour_4_2" w:val="櫠檭ᛐ۩櫀檭᛺۩:妐檭ੇ▌檱&#10;▬檱䀘؇㸜ː"/>
    <w:docVar w:name="lbColour_4_SELECTED" w:val="w:docVa"/>
    <w:docVar w:name="lbColour_5_0" w:val="櫠檭ᛐ۩櫀檭᛺۩:妐檭ੇ▌檱&#10;▬檱䀘؇㸜ː뽬˨"/>
    <w:docVar w:name="lbColour_5_1" w:val="櫠檭ᛐ۩櫀檭᛺۩:妐檭ੇ▌檱&#10;▬檱䀘؇㸜ː賐 瞀৩ꏨࠗ६Ḁ"/>
    <w:docVar w:name="lbColour_5_2" w:val="櫠檭ᛐ۩櫀檭᛺۩:妐檭ੇ▌檱&#10;▬檱䀘؇㸜ː뽬˨䀘؇쪬ɭ"/>
    <w:docVar w:name="lbColour_5_SELECTED" w:val="w:docVa"/>
    <w:docVar w:name="lbColour_6_0" w:val="櫠檭ᛐ۩櫀檭᛺۩:妐檭ੇ▌檱&#10;▬檱䀘؇㸜ː뽬˨䀘؇쪬ɭ"/>
    <w:docVar w:name="lbColour_6_1" w:val="櫠檭ᛐ۩櫀檭᛺۩:妐檭ੇ▌檱&#10;▬檱䀘؇㸜ː뽬˨䀘؇쪬ɭ६Ḁ瞀৩ꏨࠗ६Ḁ"/>
    <w:docVar w:name="lbColour_6_2" w:val="櫠檭ᛐ۩櫀檭᛺۩:妐檭ੇ▌檱&#10;▬檱䀘؇㸜ː뽬˨䀘؇쪬ɭ"/>
    <w:docVar w:name="lbColour_6_SELECTED" w:val="w:docVa"/>
    <w:docVar w:name="lbColour_7_0" w:val="栜揶य़綐ަӤင뺘擉Ɇ`Ѐ۩۩৩৩৩"/>
    <w:docVar w:name="lbColour_7_1" w:val="櫠檭ᛐ۩櫀檭᛺۩:妐檭ੇ▌檱&#10;▬檱䀘؇㸜ː뽬˨䀘؇쪬ɭ६Ḁ瞀৩ꏨࠗ६Ḁ"/>
    <w:docVar w:name="lbColour_7_2" w:val="櫠檭ᛐ۩櫀檭᛺۩:妐檭ੇ▌檱&#10;▬檱䀘؇㸜ː뽬˨䀘؇쪬ɭ"/>
    <w:docVar w:name="lbColour_7_SELECTED" w:val="w:docVa"/>
    <w:docVar w:name="lbColour_8_0" w:val="栜揶य़綐ަӤင뺘擉Ɇ`Ѐ۩۩৩৩৩쀗&amp;⇿ꐐ䄋ЃĆㅠ嶶ⶇ︘Ჽ罜㾩∇"/>
    <w:docVar w:name="lbColour_8_1" w:val="櫠檭ᛐ۩櫀檭᛺۩:妐檭ੇ▌檱&#10;▬檱䀘؇㸜ː뽬˨䀘؇쪬ɭ६Ḁ瞀৩ꏨࠗ६Ḁꏨࠗ६Ḁ"/>
    <w:docVar w:name="lbColour_8_2" w:val="櫠檭ᛐ۩櫀檭᛺۩:妐檭ੇ▌檱&#10;▬檱䀘؇㸜ː뽬˨䀘؇쪬ɭ"/>
    <w:docVar w:name="lbColour_8_SELECTED" w:val="w:docVa"/>
    <w:docVar w:name="lbColour_9_0" w:val="栜揶य़綐ަӤင뺘擉Ɇ`Ѐ۩۩৩৩৩쀗&amp;⇿ꐐ䄋ЃĆㅠ嶶ⶇ︘Ჽ罜㾩∇Ѐ۩۩৩৩৩︎迹ꏫ삛⺮"/>
    <w:docVar w:name="lbColour_9_1" w:val="櫠檭ᛐ۩櫀檭᛺۩:妐檭ੇ▌檱&#10;▬檱䀘؇㸜ː뽬˨䀘؇쪬ɭ६Ḁ瞀৩ꏨࠗ६Ḁꏨࠗ६Ḁ"/>
    <w:docVar w:name="lbColour_9_2" w:val="櫠檭ᛐ۩櫀檭᛺۩:妐檭ੇ▌檱&#10;▬檱䀘؇㸜ː뽬˨䀘؇쪬ɭ"/>
    <w:docVar w:name="lbColour_9_SELECTED" w:val="w:docVa"/>
    <w:docVar w:name="lbColour_ListCount" w:val="country-region"/>
    <w:docVar w:name="lbColour_ListIndex" w:val="w:docVa"/>
    <w:docVar w:name="lbList_ListCount" w:val="w:docVa"/>
    <w:docVar w:name="lbList_ListIndex" w:val="鄊꒮⻡蘔畣ཻ럐翠닷౛缅훉揉"/>
    <w:docVar w:name="lbOffice_ListCount" w:val="w:docVa"/>
    <w:docVar w:name="lbOffice_ListIndex" w:val="lbList_ListInd"/>
    <w:docVar w:name="lbProductList_0_0" w:val="櫠檭ᛐ۩櫀檭᛺۩:妐檭ੇ▌檱&#10;▬檱䀘؇㸜ː뽬˨䀘؇쪬ɭ"/>
    <w:docVar w:name="lbProductList_0_SELECTED" w:val="w:docVa"/>
    <w:docVar w:name="lbProductList_1_0" w:val="&#10;&quot;&#10;É Í橾놀˨ΒΪ؀ༀοȠɠВ￼Կ"/>
    <w:docVar w:name="lbProductList_1_SELECTED" w:val="w:docVa"/>
    <w:docVar w:name="lbProductList_10_0" w:val="櫠檭ᛐ۩櫀檭᛺۩:妐檭ੇ▌檱&#10;▬檱䀘؇㸜ː뽬˨䀘؇쪬ɭ६Ḁ瞀৩ꏨࠗ६Ḁꏨࠗ६Ḁ६Ḁ"/>
    <w:docVar w:name="lbProductList_10_SELECTED" w:val="w:docVa"/>
    <w:docVar w:name="lbProductList_11_0" w:val="lbProductList_1_SELEC"/>
    <w:docVar w:name="lbProductList_11_SELECTED" w:val="w:docVa"/>
    <w:docVar w:name="lbProductList_12_0" w:val=""/>
    <w:docVar w:name="lbProductList_12_SELECTED" w:val="w:docVa"/>
    <w:docVar w:name="lbProductList_13_0" w:val="&lt;"/>
    <w:docVar w:name="lbProductList_13_SELECTED" w:val="w:docVa"/>
    <w:docVar w:name="lbProductList_14_0" w:val="櫠檭ᛐ۩櫀檭᛺۩:妐檭ੇ▌檱&#10;▬檱䀘؇㸜ː뽬˨䀘؇쪬ɭ"/>
    <w:docVar w:name="lbProductList_14_SELECTED" w:val="w:docVa"/>
    <w:docVar w:name="lbProductList_15_0" w:val="&lt;,ᅅ≬≭≮▸▢▢冀ɺᆔェⳊ㤰聊든৪ͪ㋈რ㭗聪﷠ॎ͓ಧཱྀ㉿聪㟠К͓ಧཱྀ㉿聪㟠К͓ಧཱྀ㉿聪艆Āᒰɽ"/>
    <w:docVar w:name="lbProductList_15_SELECTED" w:val="w:docVa"/>
    <w:docVar w:name="lbProductList_16_0" w:val="application/vnd.openxmlformats-officedocument.wordprocessingml.webSettings+xmlज़ĤǡĤǡ"/>
    <w:docVar w:name="lbProductList_16_SELECTED" w:val="w:docVa"/>
    <w:docVar w:name="lbProductList_17_0" w:val="application/vnd.openxmlformats-officedocument.wordprocessingml.webSettings+xmlज़ĤǡĤǡ"/>
    <w:docVar w:name="lbProductList_17_SELECTED" w:val="w:docVa"/>
    <w:docVar w:name="lbProductList_18_0" w:val="application/vnd.openxmlformats-officedocument.wordprocessingml.webSettings+xmlज़ĤǡĤǡǡĤǡ"/>
    <w:docVar w:name="lbProductList_18_SELECTED" w:val="w:docVa"/>
    <w:docVar w:name="lbProductList_19_0" w:val="櫠檭ᛐ۩櫀檭᛺۩:妐檭ੇ▌檱&#10;▬檱䀘؇㸜ː뽬˨䀘؇쪬ɭ냠˨઒딀˒㐈"/>
    <w:docVar w:name="lbProductList_19_SELECTED" w:val="w:docVa"/>
    <w:docVar w:name="lbProductList_2_0" w:val="ᬄ檯⦠з0"/>
    <w:docVar w:name="lbProductList_2_SELECTED" w:val="w:docVa"/>
    <w:docVar w:name="lbProductList_20_0" w:val="&lt;,ᅅ≬≭≮▸▢▢冀ɺᆔェⳊ㤰聊든৪ͪ㋈რ㭗聪﷠ॎ͓ಧཱྀ㉿聪㟠К͓ಧཱྀ㉿聪㟠К͓ಧཱྀ㉿聪艆Āᒰɽ"/>
    <w:docVar w:name="lbProductList_20_SELECTED" w:val="w:docVa"/>
    <w:docVar w:name="lbProductList_21_0" w:val="&#10;&quot;&#10;É Í橾놀˨ΒΪ؀ༀοȠɠВ￼ԿRSTUklqr¢ÀÐÑïüýþÿĄŻƐƚƜƝρϝϽДЫЬЭЮийчшщъјљњћѝўѥ"/>
    <w:docVar w:name="lbProductList_21_SELECTED" w:val="w:docVa"/>
    <w:docVar w:name="lbProductList_22_0" w:val="&#10;&quot;&#10;É Í橾놀˨ΒΪ؀ༀοȠɠВ￼ԿRSTUklqr¢ÀÐÑïüýþÿĄŻƐƚƜƝρϝϽДЫЬЭЮийчшщъјљњћѝўѥ橾놀˨ΒΪ؀ༀοȠɠВ￼"/>
    <w:docVar w:name="lbProductList_22_SELECTED" w:val="w:docVa"/>
    <w:docVar w:name="lbProductList_23_0" w:val="lbList_ListInd"/>
    <w:docVar w:name="lbProductList_23_SELECTED" w:val="w:docVa"/>
    <w:docVar w:name="lbProductList_24_0" w:val="lbProductList_2_SELEC"/>
    <w:docVar w:name="lbProductList_24_SELECTED" w:val="w:docVa"/>
    <w:docVar w:name="lbProductList_25_0" w:val="http://schemas.openxmlformats.org/officeDocument/2006/relationships/endnotessWord\\⃿ꐐ塃ЫĆ뫐㳑뻑㿒쇒䓓웓䧔쯔仕퇕嗖峗좬櫏Ѐ&amp;  㿿㿿   "/>
    <w:docVar w:name="lbProductList_25_SELECTED" w:val="w:docVa"/>
    <w:docVar w:name="lbProductList_26_0" w:val="lbProductList_2_SELEC"/>
    <w:docVar w:name="lbProductList_26_SELECTED" w:val="w:docVa"/>
    <w:docVar w:name="lbProductList_27_0" w:val="ᬄ檯⦠з0"/>
    <w:docVar w:name="lbProductList_27_SELECTED" w:val="w:docVa"/>
    <w:docVar w:name="lbProductList_28_0" w:val="&#10;&quot;&#10;É Í橾놀˨ΒΪ؀ༀοȠɠВ￼ԿRSTUklqr¢ÀÐÑïüýþÿĄŻƐƚƜƝρϝϽДЫЬЭЮийчшщъјљњћѝўѥ橾놀˨ΒΪ؀ༀοȠɠВ￼Կ"/>
    <w:docVar w:name="lbProductList_28_SELECTED" w:val="w:docVa"/>
    <w:docVar w:name="lbProductList_29_0" w:val="&#10;&quot;&#10;É Í橾놀˨ΒΪ؀ༀοȠɠВ￼ԿRSTUklqr¢ÀÐÑïüýþÿĄŻƐƚƜƝρϝϽДЫЬЭЮийчшщъјљњћѝўѥ橾놀˨ΒΪ؀ༀοȠɠВ￼ԿДЫЬЭЮийчшщъјљњ"/>
    <w:docVar w:name="lbProductList_29_SELECTED" w:val="w:docVa"/>
    <w:docVar w:name="lbProductList_3_0" w:val="&#10;&quot;&#10;É Í橾놀˨ΒΪ؀ༀοȠɠВ￼ԿRSTUklqr¢ÀÐÑïüýþÿĄŻƐƚƜƝρϝϽДЫЬЭЮийчшщъјљњћѝўѥ橾놀˨ΒΪ؀ༀοȠɠВ￼ԿДЫЬЭЮийчшщъјљњ"/>
    <w:docVar w:name="lbProductList_3_SELECTED" w:val="w:docVa"/>
    <w:docVar w:name="lbProductList_30_0" w:val="&#10;&quot;&#10;É Í橾놀˨ΒΪ؀ༀοȠɠВ￼ԿRSTUklqr¢ÀÐÑïüýþÿĄŻƐƚƜƝρϝϽДЫЬЭЮийчшщъјљњћѝўѥ橾놀˨ΒΪ؀ༀοȠɠВ￼ԿДЫЬЭЮийчшщъјљњћѝўѥ"/>
    <w:docVar w:name="lbProductList_30_SELECTED" w:val="w:docVa"/>
    <w:docVar w:name="lbProductList_31_0" w:val="lbProductList_3_SELEC"/>
    <w:docVar w:name="lbProductList_31_SELECTED" w:val="w:docVa"/>
    <w:docVar w:name="lbProductList_32_0" w:val="ᬄ檯⦠з0"/>
    <w:docVar w:name="lbProductList_32_SELECTED" w:val="w:docVa"/>
    <w:docVar w:name="lbProductList_33_0" w:val="lbProductList_3_SELEC"/>
    <w:docVar w:name="lbProductList_33_SELECTED" w:val="w:docVa"/>
    <w:docVar w:name="lbProductList_34_0" w:val="application/vnd.openxmlformats-officedocument.wordprocessingml.webSettings+xmlज़ĤǡĤǡǡĤǡ"/>
    <w:docVar w:name="lbProductList_34_SELECTED" w:val="w:docVa"/>
    <w:docVar w:name="lbProductList_35_0" w:val="&#10;&quot;&#10;É Í橾놀˨ΒΪ؀ༀοȠɠВ￼ԿRSTUklqr¢ÀÐÑïüýþÿĄŻƐƚƜƝρϝϽДЫЬЭЮийчшщъјљњћѝўѥ橾놀˨ΒΪ؀ༀοȠɠВ￼ԿДЫЬЭЮийчшщъјљњ"/>
    <w:docVar w:name="lbProductList_35_SELECTED" w:val="w:docVa"/>
    <w:docVar w:name="lbProductList_36_0" w:val="&lt;,ᅅ≬≭≮▸▢▢冀ɺᆔェⳊ㤰聊든৪ͪ㋈რ㭗聪﷠ॎ͓ಧཱྀ㉿聪㟠К͓ಧཱྀ㉿聪㟠К͓ಧཱྀ㉿聪艆Āᒰɽ든৪ͪ㋈რ㭗聪﷠ॎ͓ಧཱྀ㉿聪㟠К͓ಧཱྀ㉿聪㟠К͓ಧཱྀ㉿聪艆Āᒰɽ"/>
    <w:docVar w:name="lbProductList_36_SELECTED" w:val="w:docVa"/>
    <w:docVar w:name="lbProductList_37_0" w:val="application/vnd.openxmlformats-officedocument.wordprocessingml.webSettings+xmlज़ĤǡĤǡ"/>
    <w:docVar w:name="lbProductList_37_SELECTED" w:val="w:docVa"/>
    <w:docVar w:name="lbProductList_38_0" w:val="application/vnd.openxmlformats-officedocument.wordprocessingml.webSettings+xmlज़ĤǡĤǡ"/>
    <w:docVar w:name="lbProductList_38_SELECTED" w:val="w:docVa"/>
    <w:docVar w:name="lbProductList_39_0" w:val="&#10;&quot;&#10;É Í橾놀˨ΒΪ؀ༀοȠɠВ￼ԿRSTUklqr¢ÀÐÑïüýþÿĄŻƐƚƜƝρϝϽДЫЬЭЮийчшщъјљњћѝўѥ橾놀˨ΒΪ؀ༀοȠɠВ￼ԿДЫЬЭЮийчшщъјљњћѝўѥ؀ༀοȠɠВ￼Կ"/>
    <w:docVar w:name="lbProductList_39_SELECTED" w:val="w:docVa"/>
    <w:docVar w:name="lbProductList_4_0" w:val="urn:schemas-microsoft-com:office:smarttags"/>
    <w:docVar w:name="lbProductList_4_SELECTED" w:val="w:docVa"/>
    <w:docVar w:name="lbProductList_40_0" w:val="櫠檭ᛐ۩櫀檭᛺۩:妐檭ੇ▌檱&#10;▬檱䀘؇㸜ː뽬˨䀘؇쪬ɭ६Ḁ瞀৩ꏨࠗ६Ḁꏨࠗ६Ḁ६Ḁ"/>
    <w:docVar w:name="lbProductList_40_SELECTED" w:val="w:docVa"/>
    <w:docVar w:name="lbProductList_41_0" w:val="栜揶य़綐ަӤင뺘擉Ɇ`Ѐ۩۩৩৩৩쀗&amp;⇿ꐐ䄋ЃĆㅠ嶶ⶇ︘Ჽ罜㾩∇Ѐ۩۩৩৩৩︎迹ꏫ삛⺮⇿ꐐ䄋ЃĆㅠ嶶ⶇ︘Ჽ罜㾩∇"/>
    <w:docVar w:name="lbProductList_41_SELECTED" w:val="w:docVa"/>
    <w:docVar w:name="lbProductList_42_0" w:val="&#10;&quot;&#10;É Í橾놀˨ΒΪ؀ༀοȠɠВ￼ԿRSTUklqr¢ÀÐÑïüýþÿĄŻƐƚƜƝρϝϽДЫЬЭЮийчшщъјљњћѝўѥ橾놀˨ΒΪ؀ༀοȠɠВ￼ԿДЫЬЭЮийчшщъјљњћѝўѥ؀ༀοȠɠВ￼Կњћѝўѥ"/>
    <w:docVar w:name="lbProductList_42_SELECTED" w:val="w:docVa"/>
    <w:docVar w:name="lbProductList_43_0" w:val="http://schemas.openxmlformats.org/officeDocument/2006/relationships/endnotessWord\\⃿ꐐ塃ЫĆ뫐㳑뻑㿒쇒䓓웓䧔쯔仕퇕嗖峗좬櫏Ѐ&amp;  㿿㿿   ⇿ꐐ䄋ЃĆܡ∓ࠀᐱ㉁ᔣ儉ᙂ②ᜳ煒ᢁ酢䌥좬"/>
    <w:docVar w:name="lbProductList_43_SELECTED" w:val="w:docVa"/>
    <w:docVar w:name="lbProductList_44_0" w:val="lbProductList_4_SELEC"/>
    <w:docVar w:name="lbProductList_44_SELECTED" w:val="w:docVa"/>
    <w:docVar w:name="lbProductList_45_0" w:val="lbProductList_4_SELEC"/>
    <w:docVar w:name="lbProductList_45_SELECTED" w:val="w:docVa"/>
    <w:docVar w:name="lbProductList_46_0" w:val="&lt;,ᅅ≬≭≮▸▢▢冀ɺᆔェⳊ㤰聊든৪ͪ㋈რ㭗聪﷠ॎ͓ಧཱྀ㉿聪㟠К͓ಧཱྀ㉿聪㟠К͓ಧཱྀ㉿聪艆Āᒰɽ든৪ͪ㋈რ㭗聪﷠ॎ͓ಧཱྀ㉿聪㟠К͓ಧཱྀ㉿聪㟠К͓ಧཱྀ㉿聪艆Āᒰɽ"/>
    <w:docVar w:name="lbProductList_46_SELECTED" w:val="w:docVa"/>
    <w:docVar w:name="lbProductList_47_0" w:val="http://schemas.openxmlformats.org/officeDocument/2006/relationships/endnotessWord\\⃿ꐐ塃ЫĆ뫐㳑뻑㿒쇒䓓웓䧔쯔仕퇕嗖峗좬櫏Ѐ&amp;  㿿㿿   ⇿ꐐ䄋ЃĆܡ∓ࠀᐱ㉁ᔣ儉ᙂ②ᜳ煒ᢁ酢䌥좬&amp;  㿿㿿      ⃿ꘐ䀃ЋĆ飼⧽"/>
    <w:docVar w:name="lbProductList_47_SELECTED" w:val="w:docVa"/>
    <w:docVar w:name="lbProductList_48_0" w:val="lbProductList_4_SELEC"/>
    <w:docVar w:name="lbProductList_48_SELECTED" w:val="w:docVa"/>
    <w:docVar w:name="lbProductList_49_0" w:val="栜揶य़綐ަӤင뺘擉Ɇ`Ѐ۩۩৩৩৩쀗&amp;⇿ꐐ䄋ЃĆㅠ嶶ⶇ︘Ჽ罜㾩∇Ѐ۩۩৩৩৩︎迹ꏫ삛⺮⇿ꐐ䄋ЃĆㅠ嶶ⶇ︘Ჽ罜㾩∇"/>
    <w:docVar w:name="lbProductList_49_SELECTED" w:val="lbList_ListInd"/>
    <w:docVar w:name="lbProductList_5_0" w:val="&lt;,ᅅ≬≭≮▸▢▢冀ɺᆔェⳊ㤰聊든৪ͪ㋈რ㭗聪﷠ॎ͓ಧཱྀ㉿聪㟠К͓ಧཱྀ㉿聪㟠К͓ಧཱྀ㉿聪艆Āᒰɽ든৪ͪ㋈რ㭗聪﷠ॎ͓ಧཱྀ㉿聪㟠К͓ಧཱྀ㉿聪㟠К͓ಧཱྀ㉿聪艆Āᒰɽ聪㟠К͓ಧཱྀ㉿聪㟠К͓ಧཱྀ㉿聪艆Āᒰɽ"/>
    <w:docVar w:name="lbProductList_5_SELECTED" w:val="w:docVa"/>
    <w:docVar w:name="lbProductList_50_0" w:val="檾䲸櫖㸐ː檾䃬櫖:\Users\imise\Documents\SQL Media Pitch_FS.docx2꜠Ւ檾䃬櫖؈ՒؐՒ؀Ւ׸ՒبՒﴌ2ꞠՒ檾䃬櫖ؠՒظՒﳤՒﴰՒ2"/>
    <w:docVar w:name="lbProductList_50_SELECTED" w:val="w:docVa"/>
    <w:docVar w:name="lbProductList_51_0" w:val="櫠檭ᛐ۩櫀檭᛺۩:妐檭ੇ▌檱&#10;▬檱䀘؇㸜ː뽬˨䀘؇쪬ɭ냠˨઒딀˒㐈䀘؇㸜ː뽬˨"/>
    <w:docVar w:name="lbProductList_51_SELECTED" w:val="w:docVa"/>
    <w:docVar w:name="lbProductList_52_0" w:val="application/vnd.openxmlformats-officedocument.wordprocessingml.webSettings+xmlज़ĤǡĤǡǡĤǡǡ"/>
    <w:docVar w:name="lbProductList_52_SELECTED" w:val="w:docVa"/>
    <w:docVar w:name="lbProductList_53_0" w:val="&#10;&quot;&#10;É Í橾놀˨ΒΪ؀ༀοȠɠВ￼ԿRSTUklqr¢ÀÐÑïüýþÿĄŻƐƚƜƝρϝϽДЫЬЭЮийчшщъјљњћѝўѥ橾놀˨ΒΪ؀ༀοȠɠВ￼ԿДЫЬЭЮийчшщъјљњ"/>
    <w:docVar w:name="lbProductList_53_SELECTED" w:val="w:docVa"/>
    <w:docVar w:name="lbProductList_54_0" w:val="#6c3,#afe494,silver,#ddd,#999,#ccca"/>
    <w:docVar w:name="lbProductList_54_SELECTED" w:val="w:docVa"/>
    <w:docVar w:name="lbProductList_55_0" w:val="application/vnd.openxmlformats-officedocument.wordprocessingml.webSettings+xmlज़ĤǡĤǡǡĤǡǡ"/>
    <w:docVar w:name="lbProductList_55_SELECTED" w:val="w:docVa"/>
    <w:docVar w:name="lbProductList_56_0" w:val="&#10;&quot;&#10;É Í橾놀˨ΒΪ؀ༀοȠɠВ￼ԿRSTUklqr¢ÀÐÑïüýþÿĄŻƐƚƜƝρϝϽДЫЬЭЮийчшщъјљњћѝўѥ橾놀˨ΒΪ؀ༀοȠɠВ￼ԿДЫЬЭЮийчшщъјљњћѝўѥ؀ༀοȠɠВ￼Կњћ"/>
    <w:docVar w:name="lbProductList_56_SELECTED" w:val="w:docVa"/>
    <w:docVar w:name="lbProductList_57_0" w:val="&lt;,ᅅ≬≭≮▸▢▢冀ɺᆔェⳊ㤰聊든৪ͪ㋈რ㭗聪﷠ॎ͓ಧཱྀ㉿聪㟠К͓ಧཱྀ㉿聪㟠К͓ಧཱྀ㉿聪艆Āᒰɽ든৪ͪ㋈რ㭗聪﷠ॎ͓ಧཱྀ㉿聪㟠К͓ಧཱྀ㉿聪㟠К͓ಧཱྀ㉿聪艆Āᒰɽ聪㟠К͓ಧཱྀ㉿聪㟠К͓ಧཱྀ㉿聪艆Āᒰɽ"/>
    <w:docVar w:name="lbProductList_57_SELECTED" w:val="w:docVa"/>
    <w:docVar w:name="lbProductList_58_0" w:val="&#10;&quot;&#10;É Í橾놀˨ΒΪ؀ༀοȠɠВ￼ԿRSTUklqr¢ÀÐÑïüýþÿĄŻƐƚƜƝρϝϽДЫЬЭЮийчшщъјљњћѝўѥ橾놀˨ΒΪ؀ༀοȠɠВ￼ԿДЫЬЭЮийчшщъјљњћѝўѥ؀ༀοȠɠВ￼Կњћ"/>
    <w:docVar w:name="lbProductList_58_SELECTED" w:val="w:docVa"/>
    <w:docVar w:name="lbProductList_59_0" w:val="&#10;&quot;&#10;É Í橾놀˨ΒΪ؀ༀοȠɠВ￼ԿRSTUklqr¢ÀÐÑïüýþÿĄŻƐƚƜƝρϝϽДЫЬЭЮийчшщъјљњћѝўѥ橾놀˨ΒΪ؀ༀοȠɠВ￼ԿДЫЬЭЮийчшщъјљњ"/>
    <w:docVar w:name="lbProductList_59_SELECTED" w:val="w:docVa"/>
    <w:docVar w:name="lbProductList_6_0" w:val="&lt;,ᅅ≬≭≮▸▢▢冀ɺᆔェⳊ㤰聊든৪ͪ㋈რ㭗聪﷠ॎ͓ಧཱྀ㉿聪㟠К͓ಧཱྀ㉿聪㟠К͓ಧཱྀ㉿聪艆Āᒰɽ든৪ͪ㋈რ㭗聪﷠ॎ͓ಧཱྀ㉿聪㟠К͓ಧཱྀ㉿聪㟠К͓ಧཱྀ㉿聪艆Āᒰɽ聪㟠К͓ಧཱྀ㉿聪㟠К͓ಧཱྀ㉿聪艆Āᒰɽ㉿聪㟠К͓ಧཱྀ㉿聪艆Āᒰɽ"/>
    <w:docVar w:name="lbProductList_6_SELECTED" w:val="w:docVa"/>
    <w:docVar w:name="lbProductList_60_0" w:val="&lt;,ᅅ≬≭≮▸▢▢冀ɺᆔェⳊ㤰聊든৪ͪ㋈რ㭗聪﷠ॎ͓ಧཱྀ㉿聪㟠К͓ಧཱྀ㉿聪㟠К͓ಧཱྀ㉿聪艆Āᒰɽ든৪ͪ㋈რ㭗聪﷠ॎ͓ಧཱྀ㉿聪㟠К͓ಧཱྀ㉿聪㟠К͓ಧཱྀ㉿聪艆Āᒰɽ聪㟠К͓ಧཱྀ㉿聪㟠К͓ಧཱྀ㉿聪艆Āᒰɽ㉿聪㟠К͓ಧཱྀ㉿聪艆Āᒰɽ"/>
    <w:docVar w:name="lbProductList_60_SELECTED" w:val="w:docVa"/>
    <w:docVar w:name="lbProductList_61_0" w:val="&lt;,ᅅ≬≭≮▸▢▢冀ɺᆔェⳊ㤰聊든৪ͪ㋈რ㭗聪﷠ॎ͓ಧཱྀ㉿聪㟠К͓ಧཱྀ㉿聪㟠К͓ಧཱྀ㉿聪艆Āᒰɽ든৪ͪ㋈რ㭗聪﷠ॎ͓ಧཱྀ㉿聪㟠К͓ಧཱྀ㉿聪㟠К͓ಧཱྀ㉿聪艆Āᒰɽ聪㟠К͓ಧཱྀ㉿聪㟠К͓ಧཱྀ㉿聪艆Āᒰɽ㉿聪㟠К͓ಧཱྀ㉿聪艆Āᒰɽ㟠К͓ಧཱྀ㉿聪"/>
    <w:docVar w:name="lbProductList_61_SELECTED" w:val="w:docVa"/>
    <w:docVar w:name="lbProductList_62_0" w:val="application/vnd.openxmlformats-officedocument.wordprocessingml.webSettings+xmlज़ĤǡĤǡǡĤǡǡǡ"/>
    <w:docVar w:name="lbProductList_62_SELECTED" w:val="w:docVa"/>
    <w:docVar w:name="lbProductList_63_0" w:val="栜揶य़綐ަӤင뺘擉Ɇ`Ѐ۩۩৩৩৩쀗&amp;⇿ꐐ䄋ЃĆㅠ嶶ⶇ︘Ჽ罜㾩∇Ѐ۩۩৩৩৩︎迹ꏫ삛⺮⇿ꐐ䄋ЃĆㅠ嶶ⶇ︘Ჽ罜㾩∇ⶇ"/>
    <w:docVar w:name="lbProductList_63_SELECTED" w:val="w:docVa"/>
    <w:docVar w:name="lbProductList_7_0" w:val="http://schemas.openxmlformats.org/officeDocument/2006/relationships/endnotessWord\\⃿ꐐ塃ЫĆ뫐㳑뻑㿒쇒䓓웓䧔쯔仕퇕嗖峗좬櫏Ѐ&amp;  㿿㿿   ⇿ꐐ䄋ЃĆܡ∓ࠀᐱ㉁ᔣ儉ᙂ②ᜳ煒ᢁ酢䌥좬&amp;  㿿㿿      ⃿ꘐ䀃ЋĆ飼⧽㉁ᔣ儉ᙂ②ᜳ煒ᢁ酢䌥좬"/>
    <w:docVar w:name="lbProductList_7_SELECTED" w:val="w:docVa"/>
    <w:docVar w:name="lbProductList_8_0" w:val="&#10;&quot;&#10;É Í橾놀˨ΒΪ؀ༀοȠɠВ￼ԿRSTUklqr¢ÀÐÑïüýþÿĄŻƐƚƜƝρϝϽДЫЬЭЮийчшщъјљњћѝўѥ橾놀˨ΒΪ؀ༀοȠɠВ￼ԿДЫЬЭЮийчшщъјљњћѝўѥ؀ༀοȠɠВ￼Կњћѝўѥ"/>
    <w:docVar w:name="lbProductList_8_SELECTED" w:val="w:docVa"/>
    <w:docVar w:name="lbProductList_9_0" w:val="栜揶य़綐ަӤင뺘擉Ɇ`Ѐ۩۩৩৩৩쀗&amp;⇿ꐐ䄋ЃĆㅠ嶶ⶇ︘Ჽ罜㾩∇Ѐ۩۩৩৩৩︎迹ꏫ삛⺮⇿ꐐ䄋ЃĆㅠ嶶ⶇ︘Ჽ罜㾩∇ⶇ"/>
    <w:docVar w:name="lbProductList_9_SELECTED" w:val="w:docVa"/>
    <w:docVar w:name="lbProductList_ListCount" w:val="lbList_ListInd"/>
    <w:docVar w:name="lbProductList_ListIndex" w:val="lbList_ListInd"/>
    <w:docVar w:name="RERUN" w:val="w:docVa"/>
    <w:docVar w:name="tbCustomerName" w:val="Ā"/>
    <w:docVar w:name="tbDatePublished" w:val="栜揶य़綐ަӤင뺘擉Ɇ`Ѐ۩۩৩৩৩쀗&amp;⇿ꐐ䄋ЃĆㅠ嶶ⶇ︘Ჽ罜㾩∇Ѐ۩۩৩৩৩︎迹ꏫ삛⺮⇿ꐐ䄋ЃĆㅠ嶶ⶇ︘Ჽ罜㾩∇ⶇ"/>
    <w:docVar w:name="tbDisclaimer1" w:val=""/>
    <w:docVar w:name="tbDocumentBenefits" w:val=""/>
    <w:docVar w:name="tbDocumentFirstPageBody" w:val="걌櫁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
    <w:docVar w:name="tbDocumentIntroduction" w:val="숈ڧ수ڧ숴ڧ&#10;쉈ڧ쉤ڧ 쉶ڧ쉾ڧ슈ڧ슠ڧ슸ڧ싆ڧ싖ڧ신ڧ&#10;싺ڧ쌐ڧ쌦ڧ쌴ڧ썂ڧ&#10;썜ڧ썦ڧ썾ڧ쎰ڧ쏎ڧ쏶ڧ쐞ڧ쐼ڧ쑒ڧ쒂ڧ쒌ڧ쒤ڧ쒲ڧ쓀ڧ&#10;쓔ڧ쓠ڧ쓬ڧ&#10;씆ڧ씦ڧ씾ڧ앜ڧ앸ڧ얎ڧ엂ڧ엚ڧ엸ڧ옖ڧ옴ڧ왐ڧ왺ڧ욦ڧ 울ڧ웠ڧ웶ڧ&#10;윊ڧ&#10;윞ڧ윮ڧ을ڧ이ڧ자ڧ잮ڧ쟪ڧ젤ڧ졚ڧ좎ڧ좶ڧ죚ڧ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ButtonCommandEventingItemStartCommandItemLivePrev"/>
    <w:docVar w:name="tbDocumentIntroductionCredit" w:val="Ɂ頻D䀀㠀&#10;쀀"/>
    <w:docVar w:name="tbDocumentSituation" w:val=""/>
    <w:docVar w:name="tbDocumentSolution" w:val=""/>
    <w:docVar w:name="tbDocumentTitle" w:val="濾ȁϥJ޾¯Bullet Grey &gt;☊଀ࡆ䩏(䩑(&gt;ƽ&gt;０ĀāāऀĀªｖ＀＀＀＀＀＀＀＀＀ªŨś耀((＀dЉЉЁ＀＀＀＀&#10;$%ÿ䤟}á腏½僀M뮛Y撀¢걋Æ雷Fÿÿá䤟}&#10;&#10;%耀＀dЀЀ＀dЀЀ"/>
    <w:docVar w:name="tbOverviewBenefits1" w:val="&#10;&quot;&#10;É Í橾놀˨ΒΪ؀ༀοȠɠВ￼ԿRSTUklqr¢ÀÐÑïüýþÿĄŻƐƚƜƝρϝϽДЫЬЭЮийчшщъјљњћѝўѥ橾놀˨ΒΪ؀ༀοȠɠВ￼ԿДЫЬЭЮийчшщъјљњћѝўѥ؀ༀοȠɠВ￼Կњћѝўѥўѥ"/>
    <w:docVar w:name="tbOverviewBenefits2" w:val="Ā檾䲸櫖㸐ː檾䃬櫖:\Users\imise\Documents\SQL Media Pitch_FS.docx2꜠Ւ檾䃬櫖؈ՒؐՒ؀Ւ׸ՒبՒﴌ2ꞠՒ檾䃬櫖ؠՒظՒﳤՒﴰՒ2ָՒטՒנՒאՒרՒﴀ2Ւ檾䃬櫖׈ՒװՒﳌՒﳘՒ2Ւ諠ﵽǊ"/>
    <w:docVar w:name="tbOverviewBenefits3" w:val="Ā檾䲸櫖㸐ː檾䃬櫖:\Users\imise\Documents\SQL Media Pitch_FS.docx2꜠Ւ檾䃬櫖؈ՒؐՒ؀Ւ׸ՒبՒﴌ2ꞠՒ檾䃬櫖ؠՒظՒﳤՒﴰՒ2ָՒטՒנՒאՒרՒﴀ2Ւ檾䃬櫖׈ՒװՒﳌՒﳘՒ2Ւ諠ﵽǊبՒﴌ2ꞠՒ檾䃬櫖ؠՒظՒﳤՒﴰՒ2ꠠՒ溈Ǌ"/>
    <w:docVar w:name="tbOverviewBenefits4" w:val="Ā檾䲸櫖㸐ː檾䃬櫖:\Users\imise\Documents\SQL Media Pitch_FS.docx2꜠Ւ檾䃬櫖؈ՒؐՒ؀Ւ׸ՒبՒﴌ2ꞠՒ檾䃬櫖ؠՒظՒﳤՒﴰՒ2ָՒטՒנՒאՒרՒﴀ2Ւ檾䃬櫖׈ՒװՒﳌՒﳘՒ2Ւ諠ﵽǊبՒﴌ2ꞠՒ檾䃬櫖ؠՒظՒﳤՒﴰՒ2ꠠՒ溈Ǌ׈ՒװՒﳌՒﳘՒ2Ւ諠ﵽǊ"/>
    <w:docVar w:name="tbOverviewBusinessSituation" w:val="숈ڧ수ڧ숴ڧ&#10;쉈ڧ쉤ڧ 쉶ڧ쉾ڧ슈ڧ슠ڧ슸ڧ싆ڧ싖ڧ신ڧ&#10;싺ڧ쌐ڧ쌦ڧ쌴ڧ썂ڧ&#10;썜ڧ썦ڧ썾ڧ쎰ڧ쏎ڧ쏶ڧ쐞ڧ쐼ڧ쑒ڧ쒂ڧ쒌ڧ쒤ڧ쒲ڧ쓀ڧ&#10;쓔ڧ쓠ڧ쓬ڧ&#10;씆ڧ씦ڧ씾ڧ앜ڧ앸ڧ얎ڧ엂ڧ엚ڧ엸ڧ옖ڧ옴ڧ왐ڧ왺ڧ욦ڧ 울ڧ웠ڧ웶ڧ&#10;윊ڧ&#10;윞ڧ윮ڧ을ڧ이ڧ자ڧ잮ڧ쟪ڧ젤ڧ졚ڧ좎ڧ좶ڧ죚ڧ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ButtonCommandEventingItemStartCommandItemLivePrevterExtraFrameLineFooterSplitter1TypeStrokeFooterSplitter2ToolTipLabelContentLabelFooterTitleLabelAdd"/>
    <w:docVar w:name="tbOverviewCountry" w:val="urn:schemas-microsoft-com:office:smarttags"/>
    <w:docVar w:name="tbOverviewCustomerProfile" w:val=""/>
    <w:docVar w:name="tbOverviewIndustry" w:val="&lt;,ᅅ≬≭≮▸▢▢冀ɺᆔェⳊ㤰聊든৪ͪ㋈რ㭗聪﷠ॎ͓ಧཱྀ㉿聪㟠К͓ಧཱྀ㉿聪㟠К͓ಧཱྀ㉿聪艆Āᒰɽ든৪ͪ㋈რ㭗聪﷠ॎ͓ಧཱྀ㉿聪㟠К͓ಧཱྀ㉿聪㟠К͓ಧཱྀ㉿聪艆Āᒰɽ聪㟠К͓ಧཱྀ㉿聪㟠К͓ಧཱྀ㉿聪艆Āᒰɽ㉿聪㟠К͓ಧཱྀ㉿聪艆Āᒰɽ㟠К͓ಧཱྀ㉿聪"/>
    <w:docVar w:name="tbOverviewSolution" w:val="숈ڧ수ڧ숴ڧ&#10;쉈ڧ쉤ڧ 쉶ڧ쉾ڧ슈ڧ슠ڧ슸ڧ싆ڧ싖ڧ신ڧ&#10;싺ڧ쌐ڧ쌦ڧ쌴ڧ썂ڧ&#10;썜ڧ썦ڧ썾ڧ쎰ڧ쏎ڧ쏶ڧ쐞ڧ쐼ڧ쑒ڧ쒂ڧ쒌ڧ쒤ڧ쒲ڧ쓀ڧ&#10;쓔ڧ쓠ڧ쓬ڧ&#10;씆ڧ씦ڧ씾ڧ앜ڧ앸ڧ얎ڧ엂ڧ엚ڧ엸ڧ옖ڧ옴ڧ왐ڧ왺ڧ욦ڧ 울ڧ웠ڧ웶ڧ&#10;윊ڧ&#10;윞ڧ윮ڧ을ڧ이ڧ자ڧ잮ڧ쟪ڧ젤ڧ졚ڧ좎ڧ좶ڧ죚ڧMenuViewExtraStyleInfoIsCheckboxDismissOnClickIsVisibleListItemsContentItemsItemTemplateForTypeCategoryLabelExecuteActionDescriptionImageSourceTooltipCommandBooleanChoiceValueFlyoutAnchorTemporaryPropertyForStateFlexMLContentIDFlyoutOpeningCommandFlyoutClosingCommandIsFlyoutDroppedFlyoutItemsExecuteThisOrOtherActionIsMRUIsFixedLabelGalleryCanGrowResizeTypeAnchorLayoutSelectedValueHighlightedValueSelectedItemHighlightedItemSelectedStringFilterIndexAnchorRepresentativeStringAnchorPromptIsAnchorEnabledIsAnchorPressedIsFilterVisibleIsBitFilteringIsAutoCompleteEnabledIsDropFullWidthEnabledIsDroppedIsOwnerDrawnDropDownItemsHeightItemsWidthCategoriesCommandsFilterItemsAutoCompleteStartCommandClosingCommandDroppingCommandItemContextMenuDroppingCommandItemContextMenuClosingCommandItemLivePreviewStartCommandItemLivePreviewStopCommandItemSelectionCommandSplitButtonCommandEventingItemStartCommandItemLivePrevterExtraFrameLineFooter"/>
    <w:docVar w:name="tbProductBoilerplateText" w:val="걌櫁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
    <w:docVar w:name="tbProductBoilerplateTitle" w:val="Ā"/>
    <w:docVar w:name="tbProductHardware1" w:val="Ā檾䲸櫖㸐ː檾䃬櫖:\Users\imise\Documents\SQL Media Pitch_FS.docx2꜠Ւ檾䃬櫖؈ՒؐՒ؀Ւ׸ՒبՒﴌ2ꞠՒ檾䃬櫖ؠՒظՒﳤՒﴰՒ2ָՒטՒנՒאՒרՒﴀ2Ւ檾䃬櫖׈ՒװՒﳌՒﳘՒ2Ւ諠ﵽǊبՒﴌ2ꞠՒ檾䃬櫖ؠՒظՒﳤՒﴰՒ2ꠠՒ溈Ǌ׈ՒװՒﳌՒﳘՒ2Ւ諠ﵽǊظՒﳤՒﴰՒ2ꠠՒ"/>
    <w:docVar w:name="tbProductHardware2" w:val="http://schemas.openxmlformats.org/officeDocument/2006/relationships/endnotessWord\\⃿ꐐ塃ЫĆ뫐㳑뻑㿒쇒䓓웓䧔쯔仕퇕嗖峗좬櫏Ѐ&amp;  㿿㿿   ⇿ꐐ䄋ЃĆܡ∓ࠀᐱ㉁ᔣ儉ᙂ②ᜳ煒ᢁ酢䌥좬&amp;  㿿㿿      ⃿ꘐ䀃ЋĆ飼⧽㉁ᔣ儉ᙂ②ᜳ煒ᢁ酢䌥좬   ⃿ꘐ䀃ЋĆ飼⧽"/>
    <w:docVar w:name="tbProductHardware3" w:val="Ā檾䲸櫖㸐ː檾䃬櫖:\Users\imise\Documents\SQL Media Pitch_FS.docx2꜠Ւ檾䃬櫖؈ՒؐՒ؀Ւ׸ՒبՒﴌ2ꞠՒ檾䃬櫖ؠՒظՒﳤՒﴰՒ2ָՒטՒנՒאՒרՒﴀ2Ւ檾䃬櫖׈ՒװՒﳌՒﳘՒ2Ւ諠ﵽǊبՒﴌ2ꞠՒ檾䃬櫖ؠՒظՒﳤՒﴰՒ2ꠠՒ溈Ǌ׈ՒװՒﳌՒﳘՒ2Ւ諠ﵽǊظՒﳤՒﴰՒ2ꠠՒװՒﳌՒﳘՒ2Ւ"/>
    <w:docVar w:name="tbProductHardware4" w:val="Ā檾䲸櫖㸐ː檾䃬櫖:\Users\imise\Documents\SQL Media Pitch_FS.docx2꜠Ւ檾䃬櫖؈ՒؐՒ؀Ւ׸ՒبՒﴌ2ꞠՒ檾䃬櫖ؠՒظՒﳤՒﴰՒ2ָՒטՒנՒאՒרՒﴀ2Ւ檾䃬櫖׈ՒװՒﳌՒﳘՒ2Ւ諠ﵽǊبՒﴌ2ꞠՒ檾䃬櫖ؠՒظՒﳤՒﴰՒ2ꠠՒ溈Ǌ׈ՒװՒﳌՒﳘՒ2Ւ諠ﵽǊظՒﳤՒﴰՒ2ꠠՒװՒﳌՒﳘՒ2ՒﳤՒﴰՒ2ꠠՒ溈Ǌ"/>
    <w:docVar w:name="tbProductHardware5" w:val="&#10;&quot;&#10;É Í橾놀˨ΒΪ؀ༀοȠɠВ￼ԿRSTUklqr¢ÀÐÑïüýþÿĄŻƐƚƜƝρϝϽДЫЬЭЮийчшщъјљњћѝўѥ橾놀˨ΒΪ؀ༀοȠɠВ￼ԿДЫЬЭЮийчшщъјљњ"/>
    <w:docVar w:name="tbProductHardware6" w:val="Ā檾䲸櫖㸐ː檾䃬櫖:\Users\imise\Documents\SQL Media Pitch_FS.docx2꜠Ւ檾䃬櫖؈ՒؐՒ؀Ւ׸ՒبՒﴌ2ꞠՒ檾䃬櫖ؠՒظՒﳤՒﴰՒ2ָՒטՒנՒאՒרՒﴀ2Ւ檾䃬櫖׈ՒװՒﳌՒﳘՒ2Ւ諠ﵽǊبՒﴌ2ꞠՒ檾䃬櫖ؠՒظՒﳤՒﴰՒ2ꠠՒ溈Ǌ׈ՒװՒﳌՒﳘՒ2Ւ諠ﵽǊظՒﳤՒﴰՒ2ꠠՒװՒﳌՒﳘՒ2ՒﳤՒﴰՒ2ꠠՒ溈ǊՒ2"/>
    <w:docVar w:name="tbProductHardware7" w:val="Ā檾䲸櫖㸐ː檾䃬櫖:\Users\imise\Documents\SQL Media Pitch_FS.docx2꜠Ւ檾䃬櫖؈ՒؐՒ؀Ւ׸ՒبՒﴌ2ꞠՒ檾䃬櫖ؠՒظՒﳤՒﴰՒ2ָՒטՒנՒאՒרՒﴀ2Ւ檾䃬櫖׈ՒװՒﳌՒﳘՒ2Ւ諠ﵽǊبՒﴌ2ꞠՒ檾䃬櫖ؠՒظՒﳤՒﴰՒ2ꠠՒ溈Ǌ׈ՒװՒﳌՒﳘՒ2Ւ諠ﵽǊظՒﳤՒﴰՒ2ꠠՒװՒﳌՒﳘՒ2ՒﳤՒﴰՒ2ꠠՒ溈ǊՒ22ꠠՒ溈Ǌ"/>
    <w:docVar w:name="tbProductTitle" w:val="檾䌌櫖䋌櫖Ұ檾䃬櫖ile:///C:\Users\imise\Documents\AA.docx2떴ަ檾䃬櫖:\Users\imise\Documents\Backup of CAA.wbk2똴ަ檾䃬櫖2뚴ަ檾䃬櫖2뜴ަ&#10;1;H庯"/>
  </w:docVars>
  <w:rsids>
    <w:rsidRoot w:val="00160A13"/>
    <w:rsid w:val="00044B2C"/>
    <w:rsid w:val="001339A1"/>
    <w:rsid w:val="00160A13"/>
    <w:rsid w:val="00283CE9"/>
    <w:rsid w:val="002E40AA"/>
    <w:rsid w:val="003119F1"/>
    <w:rsid w:val="00406277"/>
    <w:rsid w:val="006E5542"/>
    <w:rsid w:val="00726138"/>
    <w:rsid w:val="009A3B28"/>
    <w:rsid w:val="009C7FB0"/>
    <w:rsid w:val="009F6063"/>
    <w:rsid w:val="00A17FE4"/>
    <w:rsid w:val="00A46D64"/>
    <w:rsid w:val="00A804C4"/>
    <w:rsid w:val="00AF07BE"/>
    <w:rsid w:val="00B6429D"/>
    <w:rsid w:val="00B73B29"/>
    <w:rsid w:val="00B92AD9"/>
    <w:rsid w:val="00C40E4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4" style="mso-position-horizontal-relative:page;mso-position-vertical-relative:page" fillcolor="white" stroke="f">
      <v:fill color="white"/>
      <v:stroke on="f"/>
      <v:textbox inset="0,0,0,0"/>
      <o:colormru v:ext="edit" colors="#6c3,#afe494,silver,#ddd,#999,#ccc,#bde9a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Book" w:hAnsi="Franklin Gothic Book"/>
      <w:sz w:val="17"/>
      <w:szCs w:val="24"/>
      <w:lang w:val="en-GB" w:eastAsia="en-US"/>
    </w:rPr>
  </w:style>
  <w:style w:type="paragraph" w:styleId="Heading1">
    <w:name w:val="heading 1"/>
    <w:basedOn w:val="Normal"/>
    <w:next w:val="Normal"/>
    <w:qFormat/>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pPr>
      <w:numPr>
        <w:ilvl w:val="1"/>
        <w:numId w:val="6"/>
      </w:numPr>
      <w:spacing w:after="240"/>
      <w:jc w:val="left"/>
      <w:outlineLvl w:val="1"/>
    </w:pPr>
    <w:rPr>
      <w:kern w:val="0"/>
      <w:sz w:val="26"/>
    </w:rPr>
  </w:style>
  <w:style w:type="paragraph" w:styleId="Heading3">
    <w:name w:val="heading 3"/>
    <w:basedOn w:val="Normal"/>
    <w:next w:val="Normal"/>
    <w:qFormat/>
    <w:pPr>
      <w:keepNext/>
      <w:numPr>
        <w:ilvl w:val="2"/>
        <w:numId w:val="7"/>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pPr>
      <w:keepNext/>
      <w:spacing w:before="240" w:after="60"/>
      <w:outlineLvl w:val="3"/>
    </w:pPr>
    <w:rPr>
      <w:rFonts w:ascii="Arial" w:hAnsi="Arial"/>
      <w:b/>
      <w:sz w:val="24"/>
      <w:szCs w:val="20"/>
      <w:lang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de">
    <w:name w:val="Code"/>
    <w:basedOn w:val="Normal"/>
    <w:pPr>
      <w:ind w:left="1134"/>
    </w:pPr>
    <w:rPr>
      <w:rFonts w:ascii="Lucida Sans Typewriter" w:hAnsi="Lucida Sans Typewriter"/>
      <w:sz w:val="2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jc w:val="both"/>
    </w:pPr>
    <w:rPr>
      <w:sz w:val="16"/>
      <w:szCs w:val="20"/>
      <w:lang w:bidi="he-IL"/>
    </w:rPr>
  </w:style>
  <w:style w:type="paragraph" w:styleId="EnvelopeReturn">
    <w:name w:val="envelope return"/>
    <w:basedOn w:val="Normal"/>
    <w:rPr>
      <w:rFonts w:ascii="FundRunk-Normal" w:hAnsi="FundRunk-Normal"/>
      <w:i/>
      <w:sz w:val="48"/>
      <w:szCs w:val="48"/>
    </w:rPr>
  </w:style>
  <w:style w:type="paragraph" w:styleId="CommentText">
    <w:name w:val="annotation text"/>
    <w:basedOn w:val="Normal"/>
    <w:semiHidden/>
    <w:rPr>
      <w:sz w:val="24"/>
    </w:rPr>
  </w:style>
  <w:style w:type="paragraph" w:customStyle="1" w:styleId="Answer">
    <w:name w:val="Answer"/>
    <w:basedOn w:val="Normal"/>
    <w:next w:val="Question"/>
    <w:pPr>
      <w:numPr>
        <w:numId w:val="3"/>
      </w:numPr>
    </w:pPr>
    <w:rPr>
      <w:i/>
    </w:rPr>
  </w:style>
  <w:style w:type="paragraph" w:customStyle="1" w:styleId="Question">
    <w:name w:val="Question"/>
    <w:basedOn w:val="Normal"/>
    <w:next w:val="Answer"/>
    <w:pPr>
      <w:numPr>
        <w:numId w:val="2"/>
      </w:numPr>
    </w:pPr>
  </w:style>
  <w:style w:type="paragraph" w:customStyle="1" w:styleId="Bodycopy">
    <w:name w:val="Body copy"/>
    <w:basedOn w:val="Normal"/>
    <w:pPr>
      <w:spacing w:line="240" w:lineRule="exact"/>
    </w:pPr>
    <w:rPr>
      <w:lang w:val="en-US"/>
    </w:rPr>
  </w:style>
  <w:style w:type="paragraph" w:customStyle="1" w:styleId="SectionHeading">
    <w:name w:val="Section Heading"/>
    <w:basedOn w:val="ColoredText"/>
    <w:next w:val="Bodycopy"/>
    <w:rPr>
      <w:rFonts w:ascii="Franklin Gothic Medium" w:hAnsi="Franklin Gothic Medium"/>
      <w:sz w:val="24"/>
    </w:rPr>
  </w:style>
  <w:style w:type="paragraph" w:customStyle="1" w:styleId="Subject">
    <w:name w:val="Subject"/>
    <w:basedOn w:val="Normal"/>
    <w:pPr>
      <w:jc w:val="center"/>
    </w:pPr>
    <w:rPr>
      <w:rFonts w:ascii="Century Schoolbook" w:hAnsi="Century Schoolbook"/>
      <w:b/>
      <w:sz w:val="32"/>
      <w:u w:val="single"/>
    </w:rPr>
  </w:style>
  <w:style w:type="paragraph" w:styleId="PlainText">
    <w:name w:val="Plain Text"/>
    <w:basedOn w:val="Normal"/>
    <w:rPr>
      <w:sz w:val="22"/>
    </w:rPr>
  </w:style>
  <w:style w:type="paragraph" w:customStyle="1" w:styleId="MergedAnswer">
    <w:name w:val="MergedAnswer"/>
    <w:basedOn w:val="Normal"/>
  </w:style>
  <w:style w:type="paragraph" w:styleId="TOC2">
    <w:name w:val="toc 2"/>
    <w:basedOn w:val="Normal"/>
    <w:next w:val="Normal"/>
    <w:autoRedefine/>
    <w:semiHidden/>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pPr>
      <w:spacing w:line="360" w:lineRule="exact"/>
    </w:pPr>
    <w:rPr>
      <w:sz w:val="24"/>
    </w:rPr>
  </w:style>
  <w:style w:type="paragraph" w:customStyle="1" w:styleId="PartnerName">
    <w:name w:val="Partner Name"/>
    <w:basedOn w:val="ColoredText"/>
    <w:pPr>
      <w:spacing w:after="10" w:line="240" w:lineRule="auto"/>
    </w:pPr>
    <w:rPr>
      <w:rFonts w:ascii="Franklin Gothic Medium" w:hAnsi="Franklin Gothic Medium"/>
      <w:bCs/>
      <w:sz w:val="32"/>
    </w:rPr>
  </w:style>
  <w:style w:type="paragraph" w:customStyle="1" w:styleId="WHITEPAPER">
    <w:name w:val="WHITE PAPER"/>
    <w:basedOn w:val="ColoredText"/>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pPr>
      <w:spacing w:before="40" w:after="20"/>
    </w:pPr>
    <w:rPr>
      <w:rFonts w:ascii="Franklin Gothic Medium" w:hAnsi="Franklin Gothic Medium"/>
      <w:b/>
      <w:bCs/>
    </w:rPr>
  </w:style>
  <w:style w:type="paragraph" w:customStyle="1" w:styleId="Bullet">
    <w:name w:val="Bullet"/>
    <w:basedOn w:val="Bulletcolored"/>
    <w:rsid w:val="00AF07BE"/>
    <w:pPr>
      <w:numPr>
        <w:numId w:val="11"/>
      </w:numPr>
    </w:pPr>
    <w:rPr>
      <w:color w:val="auto"/>
    </w:rPr>
  </w:style>
  <w:style w:type="paragraph" w:customStyle="1" w:styleId="Bodycopyheading">
    <w:name w:val="Body copy heading"/>
    <w:basedOn w:val="Bodycopy"/>
    <w:next w:val="Bodycopy"/>
    <w:rPr>
      <w:rFonts w:ascii="Franklin Gothic Heavy" w:hAnsi="Franklin Gothic Heavy"/>
      <w:szCs w:val="17"/>
    </w:rPr>
  </w:style>
  <w:style w:type="paragraph" w:customStyle="1" w:styleId="Disclaimer">
    <w:name w:val="Disclaimer"/>
    <w:basedOn w:val="Bodycopy"/>
    <w:pPr>
      <w:spacing w:line="120" w:lineRule="exact"/>
    </w:pPr>
    <w:rPr>
      <w:sz w:val="11"/>
    </w:rPr>
  </w:style>
  <w:style w:type="paragraph" w:customStyle="1" w:styleId="Pullquote">
    <w:name w:val="Pull quote"/>
    <w:basedOn w:val="ColoredText"/>
    <w:pPr>
      <w:spacing w:line="360" w:lineRule="exact"/>
    </w:pPr>
    <w:rPr>
      <w:sz w:val="30"/>
    </w:rPr>
  </w:style>
  <w:style w:type="paragraph" w:customStyle="1" w:styleId="Diagramcaption">
    <w:name w:val="Diagram caption"/>
    <w:basedOn w:val="ColoredText"/>
    <w:rPr>
      <w:rFonts w:ascii="Franklin Gothic Medium" w:hAnsi="Franklin Gothic Medium"/>
      <w:sz w:val="19"/>
    </w:rPr>
  </w:style>
  <w:style w:type="paragraph" w:styleId="TOC1">
    <w:name w:val="toc 1"/>
    <w:basedOn w:val="Normal"/>
    <w:next w:val="Normal"/>
    <w:semiHidden/>
    <w:pPr>
      <w:tabs>
        <w:tab w:val="right" w:pos="3289"/>
      </w:tabs>
      <w:spacing w:line="360" w:lineRule="exact"/>
    </w:pPr>
    <w:rPr>
      <w:noProof/>
      <w:color w:val="FFFFFF"/>
      <w:sz w:val="24"/>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basedOn w:val="DefaultParagraphFont"/>
    <w:uiPriority w:val="99"/>
    <w:rPr>
      <w:color w:val="0000FF"/>
      <w:u w:val="single"/>
    </w:rPr>
  </w:style>
  <w:style w:type="paragraph" w:customStyle="1" w:styleId="AutoCorrect">
    <w:name w:val="AutoCorrect"/>
    <w:rPr>
      <w:lang w:val="en-GB" w:eastAsia="en-US" w:bidi="he-IL"/>
    </w:rPr>
  </w:style>
  <w:style w:type="paragraph" w:styleId="BodyText">
    <w:name w:val="Body Text"/>
    <w:basedOn w:val="Normal"/>
    <w:pPr>
      <w:spacing w:after="120"/>
    </w:pPr>
    <w:rPr>
      <w:rFonts w:ascii="Arial" w:hAnsi="Arial"/>
      <w:snapToGrid w:val="0"/>
      <w:sz w:val="20"/>
      <w:szCs w:val="20"/>
      <w:lang w:val="en-US" w:bidi="he-IL"/>
    </w:rPr>
  </w:style>
  <w:style w:type="paragraph" w:customStyle="1" w:styleId="Bulletcolored">
    <w:name w:val="Bullet colored"/>
    <w:basedOn w:val="ColoredText"/>
    <w:rsid w:val="00AF07BE"/>
    <w:pPr>
      <w:numPr>
        <w:numId w:val="12"/>
      </w:numPr>
    </w:pPr>
    <w:rPr>
      <w:szCs w:val="17"/>
    </w:rPr>
  </w:style>
  <w:style w:type="paragraph" w:customStyle="1" w:styleId="ColoredText">
    <w:name w:val="Colored Text"/>
    <w:basedOn w:val="Bodycopy"/>
    <w:rPr>
      <w:color w:val="999999"/>
    </w:rPr>
  </w:style>
  <w:style w:type="paragraph" w:customStyle="1" w:styleId="DocumentTitle">
    <w:name w:val="Document Title"/>
    <w:basedOn w:val="ColoredText"/>
    <w:pPr>
      <w:spacing w:line="360" w:lineRule="exact"/>
    </w:pPr>
    <w:rPr>
      <w:rFonts w:ascii="Franklin Gothic Medium" w:hAnsi="Franklin Gothic Medium"/>
      <w:color w:val="auto"/>
      <w:sz w:val="32"/>
    </w:rPr>
  </w:style>
  <w:style w:type="paragraph" w:customStyle="1" w:styleId="Tableheading">
    <w:name w:val="Table heading"/>
    <w:basedOn w:val="ColoredText"/>
    <w:rPr>
      <w:rFonts w:ascii="Franklin Gothic Medium" w:hAnsi="Franklin Gothic Medium"/>
      <w:bCs/>
    </w:rPr>
  </w:style>
  <w:style w:type="paragraph" w:customStyle="1" w:styleId="Bulletbold">
    <w:name w:val="Bullet bold"/>
    <w:basedOn w:val="Bullet"/>
    <w:rsid w:val="00AF07BE"/>
    <w:pPr>
      <w:numPr>
        <w:numId w:val="10"/>
      </w:numPr>
    </w:pPr>
    <w:rPr>
      <w:rFonts w:ascii="Franklin Gothic Heavy" w:hAnsi="Franklin Gothic Heavy"/>
    </w:rPr>
  </w:style>
  <w:style w:type="paragraph" w:customStyle="1" w:styleId="Contents">
    <w:name w:val="Contents"/>
    <w:basedOn w:val="Bodycopy"/>
    <w:pPr>
      <w:spacing w:line="480" w:lineRule="exact"/>
    </w:pPr>
    <w:rPr>
      <w:rFonts w:ascii="Franklin Gothic Medium" w:hAnsi="Franklin Gothic Medium"/>
      <w:color w:val="FFFFFF"/>
      <w:sz w:val="30"/>
    </w:rPr>
  </w:style>
  <w:style w:type="character" w:styleId="PageNumber">
    <w:name w:val="page number"/>
    <w:basedOn w:val="DefaultParagraphFont"/>
    <w:rPr>
      <w:rFonts w:ascii="Franklin Gothic Book" w:hAnsi="Franklin Gothic Book"/>
      <w:spacing w:val="20"/>
      <w:sz w:val="16"/>
    </w:rPr>
  </w:style>
  <w:style w:type="paragraph" w:customStyle="1" w:styleId="Tabletext">
    <w:name w:val="Table text"/>
    <w:basedOn w:val="Bodycopy"/>
    <w:pPr>
      <w:spacing w:after="40"/>
    </w:pPr>
  </w:style>
  <w:style w:type="paragraph" w:customStyle="1" w:styleId="OrangeText">
    <w:name w:val="Orange Text"/>
    <w:basedOn w:val="Normal"/>
    <w:pPr>
      <w:spacing w:line="240" w:lineRule="exact"/>
    </w:pPr>
    <w:rPr>
      <w:color w:val="FF3300"/>
    </w:rPr>
  </w:style>
  <w:style w:type="paragraph" w:customStyle="1" w:styleId="Casestudydescription">
    <w:name w:val="Case study description"/>
    <w:basedOn w:val="Normal"/>
    <w:rPr>
      <w:rFonts w:ascii="Franklin Gothic Medium" w:hAnsi="Franklin Gothic Medium"/>
      <w:color w:val="FFFFFF"/>
      <w:sz w:val="24"/>
    </w:rPr>
  </w:style>
  <w:style w:type="paragraph" w:customStyle="1" w:styleId="PullQuotecredit">
    <w:name w:val="Pull Quote credit"/>
    <w:basedOn w:val="Pullquote"/>
    <w:pPr>
      <w:spacing w:before="120" w:line="240" w:lineRule="exact"/>
    </w:pPr>
    <w:rPr>
      <w:sz w:val="16"/>
    </w:rPr>
  </w:style>
  <w:style w:type="paragraph" w:customStyle="1" w:styleId="Diagramtitle">
    <w:name w:val="Diagram title"/>
    <w:basedOn w:val="Bodycopy"/>
    <w:rPr>
      <w:rFonts w:ascii="Franklin Gothic Medium" w:hAnsi="Franklin Gothic Medium"/>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
    <w:rsid w:val="00AF07BE"/>
    <w:pPr>
      <w:numPr>
        <w:numId w:val="8"/>
      </w:numPr>
    </w:pPr>
  </w:style>
  <w:style w:type="paragraph" w:customStyle="1" w:styleId="TableTitle">
    <w:name w:val="Table Title"/>
    <w:basedOn w:val="Tabletextheading"/>
    <w:pPr>
      <w:ind w:left="60"/>
    </w:pPr>
    <w:rPr>
      <w:color w:val="FFFFFF"/>
      <w:szCs w:val="17"/>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pPr>
      <w:numPr>
        <w:numId w:val="9"/>
      </w:numPr>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22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icrosoft.com/sqlserver/2008/en/us/default.aspx" TargetMode="External"/><Relationship Id="rId4" Type="http://schemas.openxmlformats.org/officeDocument/2006/relationships/webSettings" Target="webSettings.xml"/><Relationship Id="rId9" Type="http://schemas.openxmlformats.org/officeDocument/2006/relationships/hyperlink" Target="http://caa.ca/"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ise\AppData\Roaming\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CEP_Template</Template>
  <TotalTime>17</TotalTime>
  <Pages>1</Pages>
  <Words>2216</Words>
  <Characters>11859</Characters>
  <Application>Microsoft Office Word</Application>
  <DocSecurity>0</DocSecurity>
  <Lines>423</Lines>
  <Paragraphs>71</Paragraphs>
  <ScaleCrop>false</ScaleCrop>
  <HeadingPairs>
    <vt:vector size="2" baseType="variant">
      <vt:variant>
        <vt:lpstr>Title</vt:lpstr>
      </vt:variant>
      <vt:variant>
        <vt:i4>1</vt:i4>
      </vt:variant>
    </vt:vector>
  </HeadingPairs>
  <TitlesOfParts>
    <vt:vector size="1" baseType="lpstr">
      <vt:lpstr>CEP</vt:lpstr>
    </vt:vector>
  </TitlesOfParts>
  <Company>WriteImage</Company>
  <LinksUpToDate>false</LinksUpToDate>
  <CharactersWithSpaces>14004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CAA Changes the Insurance Game with Help from the Microsoft platform</dc:title>
  <dc:subject>Customer: Canadian Automobile Association   Partner:</dc:subject>
  <dc:creator>Isabella Mise</dc:creator>
  <cp:keywords>Country: Canada  Industry: Financial Services</cp:keywords>
  <cp:lastModifiedBy>Isabella Mise</cp:lastModifiedBy>
  <cp:revision>2</cp:revision>
  <cp:lastPrinted>2003-07-11T04:36:00Z</cp:lastPrinted>
  <dcterms:created xsi:type="dcterms:W3CDTF">2010-04-14T13:00:00Z</dcterms:created>
  <dcterms:modified xsi:type="dcterms:W3CDTF">2010-04-14T13:18:00Z</dcterms:modified>
  <cp:category>Product: Microsoft SQL Server_x000d_
Customer Solution Case Study</cp:category>
</cp:coreProperties>
</file>