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FCD" w:rsidRDefault="00591AF0" w:rsidP="00C545AA">
      <w:pPr>
        <w:pStyle w:val="Heading1"/>
        <w:rPr>
          <w:rFonts w:ascii="Arial" w:hAnsi="Arial" w:cs="Arial"/>
        </w:rPr>
      </w:pPr>
      <w:bookmarkStart w:id="0" w:name="_Toc231793265"/>
      <w:bookmarkStart w:id="1" w:name="_Toc231806405"/>
      <w:r>
        <w:rPr>
          <w:rFonts w:ascii="Arial" w:hAnsi="Arial" w:cs="Arial"/>
          <w:noProof/>
        </w:rPr>
        <w:drawing>
          <wp:anchor distT="0" distB="0" distL="114300" distR="114300" simplePos="0" relativeHeight="251658240" behindDoc="0" locked="0" layoutInCell="1" allowOverlap="1">
            <wp:simplePos x="0" y="0"/>
            <wp:positionH relativeFrom="column">
              <wp:posOffset>-400050</wp:posOffset>
            </wp:positionH>
            <wp:positionV relativeFrom="paragraph">
              <wp:posOffset>-619125</wp:posOffset>
            </wp:positionV>
            <wp:extent cx="2457450" cy="762000"/>
            <wp:effectExtent l="0" t="0" r="0" b="0"/>
            <wp:wrapNone/>
            <wp:docPr id="5" name="Picture 2" descr="D:\Users\zowens\Desktop\Microsoft Documents\Brand\Media Bank\Azure\SQL Azure\SQL-Azur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zowens\Desktop\Microsoft Documents\Brand\Media Bank\Azure\SQL Azure\SQL-Azure_rgb.png"/>
                    <pic:cNvPicPr>
                      <a:picLocks noChangeAspect="1" noChangeArrowheads="1"/>
                    </pic:cNvPicPr>
                  </pic:nvPicPr>
                  <pic:blipFill>
                    <a:blip r:embed="rId9"/>
                    <a:srcRect/>
                    <a:stretch>
                      <a:fillRect/>
                    </a:stretch>
                  </pic:blipFill>
                  <pic:spPr bwMode="auto">
                    <a:xfrm>
                      <a:off x="0" y="0"/>
                      <a:ext cx="2457450" cy="7620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0288" behindDoc="1" locked="0" layoutInCell="1" allowOverlap="1">
            <wp:simplePos x="0" y="0"/>
            <wp:positionH relativeFrom="column">
              <wp:posOffset>-990600</wp:posOffset>
            </wp:positionH>
            <wp:positionV relativeFrom="paragraph">
              <wp:posOffset>-600075</wp:posOffset>
            </wp:positionV>
            <wp:extent cx="7844790" cy="3324225"/>
            <wp:effectExtent l="19050" t="0" r="3810" b="0"/>
            <wp:wrapNone/>
            <wp:docPr id="4" name="Picture 3" descr="datasheet_header_wav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_header_wave copy.png"/>
                    <pic:cNvPicPr/>
                  </pic:nvPicPr>
                  <pic:blipFill>
                    <a:blip r:embed="rId10"/>
                    <a:stretch>
                      <a:fillRect/>
                    </a:stretch>
                  </pic:blipFill>
                  <pic:spPr>
                    <a:xfrm>
                      <a:off x="0" y="0"/>
                      <a:ext cx="7844790" cy="3324225"/>
                    </a:xfrm>
                    <a:prstGeom prst="rect">
                      <a:avLst/>
                    </a:prstGeom>
                  </pic:spPr>
                </pic:pic>
              </a:graphicData>
            </a:graphic>
          </wp:anchor>
        </w:drawing>
      </w:r>
      <w:r>
        <w:rPr>
          <w:rFonts w:ascii="Arial" w:hAnsi="Arial" w:cs="Arial"/>
          <w:noProof/>
        </w:rPr>
        <w:drawing>
          <wp:anchor distT="0" distB="0" distL="114300" distR="114300" simplePos="0" relativeHeight="251659264" behindDoc="1" locked="0" layoutInCell="1" allowOverlap="1">
            <wp:simplePos x="0" y="0"/>
            <wp:positionH relativeFrom="column">
              <wp:posOffset>-990600</wp:posOffset>
            </wp:positionH>
            <wp:positionV relativeFrom="paragraph">
              <wp:posOffset>-914400</wp:posOffset>
            </wp:positionV>
            <wp:extent cx="7886700" cy="10058400"/>
            <wp:effectExtent l="19050" t="0" r="0" b="0"/>
            <wp:wrapNone/>
            <wp:docPr id="2" name="Picture 1" descr="backpage_backgroun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_background copy.jpg"/>
                    <pic:cNvPicPr/>
                  </pic:nvPicPr>
                  <pic:blipFill>
                    <a:blip r:embed="rId11"/>
                    <a:stretch>
                      <a:fillRect/>
                    </a:stretch>
                  </pic:blipFill>
                  <pic:spPr>
                    <a:xfrm>
                      <a:off x="0" y="0"/>
                      <a:ext cx="7886700" cy="10058400"/>
                    </a:xfrm>
                    <a:prstGeom prst="rect">
                      <a:avLst/>
                    </a:prstGeom>
                  </pic:spPr>
                </pic:pic>
              </a:graphicData>
            </a:graphic>
          </wp:anchor>
        </w:drawing>
      </w:r>
      <w:bookmarkEnd w:id="0"/>
      <w:bookmarkEnd w:id="1"/>
    </w:p>
    <w:p w:rsidR="00954FCD" w:rsidRPr="00C40699" w:rsidRDefault="00954FCD" w:rsidP="00C40699"/>
    <w:p w:rsidR="00591AF0" w:rsidRDefault="00591AF0" w:rsidP="008C4A8C">
      <w:pPr>
        <w:rPr>
          <w:rFonts w:ascii="Segoe Semibold" w:hAnsi="Segoe Semibold" w:cs="Arial"/>
          <w:sz w:val="60"/>
          <w:szCs w:val="60"/>
        </w:rPr>
      </w:pPr>
    </w:p>
    <w:p w:rsidR="00591AF0" w:rsidRDefault="00591AF0" w:rsidP="008C4A8C">
      <w:pPr>
        <w:rPr>
          <w:rFonts w:ascii="Segoe Semibold" w:hAnsi="Segoe Semibold" w:cs="Arial"/>
          <w:sz w:val="60"/>
          <w:szCs w:val="60"/>
        </w:rPr>
      </w:pPr>
    </w:p>
    <w:p w:rsidR="00954FCD" w:rsidRPr="00591AF0" w:rsidRDefault="00355A01" w:rsidP="008C4A8C">
      <w:pPr>
        <w:rPr>
          <w:rFonts w:ascii="Segoe Semibold" w:hAnsi="Segoe Semibold" w:cs="Arial"/>
          <w:color w:val="414142"/>
          <w:sz w:val="60"/>
          <w:szCs w:val="60"/>
        </w:rPr>
      </w:pPr>
      <w:r>
        <w:rPr>
          <w:rFonts w:ascii="Segoe Semibold" w:hAnsi="Segoe Semibold" w:cs="Arial"/>
          <w:color w:val="414142"/>
          <w:sz w:val="60"/>
          <w:szCs w:val="60"/>
        </w:rPr>
        <w:t xml:space="preserve">Similarities and Differences </w:t>
      </w:r>
      <w:r w:rsidR="00954FCD" w:rsidRPr="00591AF0">
        <w:rPr>
          <w:rFonts w:ascii="Segoe Semibold" w:hAnsi="Segoe Semibold" w:cs="Arial"/>
          <w:color w:val="414142"/>
          <w:sz w:val="60"/>
          <w:szCs w:val="60"/>
        </w:rPr>
        <w:t xml:space="preserve">of </w:t>
      </w:r>
      <w:r w:rsidR="00FE7962" w:rsidRPr="00591AF0">
        <w:rPr>
          <w:rFonts w:ascii="Segoe Semibold" w:hAnsi="Segoe Semibold" w:cs="Arial"/>
          <w:color w:val="414142"/>
          <w:sz w:val="60"/>
          <w:szCs w:val="60"/>
        </w:rPr>
        <w:t>SQL Azure</w:t>
      </w:r>
      <w:r>
        <w:rPr>
          <w:rFonts w:ascii="Segoe Semibold" w:hAnsi="Segoe Semibold" w:cs="Arial"/>
          <w:color w:val="414142"/>
          <w:sz w:val="60"/>
          <w:szCs w:val="60"/>
        </w:rPr>
        <w:t xml:space="preserve"> and SQL Server</w:t>
      </w:r>
    </w:p>
    <w:p w:rsidR="00954FCD" w:rsidRPr="00674032" w:rsidRDefault="00954FCD" w:rsidP="00C545AA">
      <w:pPr>
        <w:rPr>
          <w:rFonts w:ascii="Arial" w:hAnsi="Arial" w:cs="Arial"/>
        </w:rPr>
      </w:pPr>
    </w:p>
    <w:p w:rsidR="00954FCD" w:rsidRPr="00591AF0" w:rsidRDefault="00954FCD" w:rsidP="00C65C94">
      <w:pPr>
        <w:rPr>
          <w:rFonts w:cs="Arial"/>
        </w:rPr>
      </w:pPr>
      <w:r w:rsidRPr="00591AF0">
        <w:rPr>
          <w:rFonts w:cs="Arial"/>
          <w:b/>
        </w:rPr>
        <w:t>Published</w:t>
      </w:r>
      <w:r w:rsidR="00591AF0">
        <w:rPr>
          <w:rFonts w:cs="Arial"/>
          <w:b/>
        </w:rPr>
        <w:br/>
      </w:r>
      <w:r w:rsidR="00114460" w:rsidRPr="00591AF0">
        <w:rPr>
          <w:rFonts w:cs="Arial"/>
        </w:rPr>
        <w:t>Sept</w:t>
      </w:r>
      <w:r w:rsidRPr="00591AF0">
        <w:rPr>
          <w:rFonts w:cs="Arial"/>
        </w:rPr>
        <w:t xml:space="preserve"> 2009</w:t>
      </w:r>
    </w:p>
    <w:p w:rsidR="00954FCD" w:rsidRPr="00591AF0" w:rsidRDefault="00954FCD" w:rsidP="00C545AA">
      <w:pPr>
        <w:rPr>
          <w:rFonts w:cs="Arial"/>
        </w:rPr>
      </w:pPr>
      <w:r w:rsidRPr="00591AF0">
        <w:rPr>
          <w:rFonts w:cs="Arial"/>
          <w:b/>
        </w:rPr>
        <w:t>Applies to</w:t>
      </w:r>
      <w:r w:rsidR="00591AF0">
        <w:rPr>
          <w:rFonts w:cs="Arial"/>
          <w:b/>
        </w:rPr>
        <w:br/>
      </w:r>
      <w:r w:rsidR="00D04FE5" w:rsidRPr="00591AF0">
        <w:rPr>
          <w:rFonts w:cs="Arial"/>
        </w:rPr>
        <w:t>SQL Azure</w:t>
      </w:r>
    </w:p>
    <w:p w:rsidR="00954FCD" w:rsidRPr="00591AF0" w:rsidRDefault="00954FCD" w:rsidP="00672F5D">
      <w:pPr>
        <w:rPr>
          <w:rFonts w:cs="Arial"/>
        </w:rPr>
      </w:pPr>
      <w:r w:rsidRPr="00591AF0">
        <w:rPr>
          <w:rFonts w:cs="Arial"/>
          <w:b/>
        </w:rPr>
        <w:t>Summary</w:t>
      </w:r>
      <w:r w:rsidR="00591AF0">
        <w:rPr>
          <w:rFonts w:cs="Arial"/>
          <w:b/>
        </w:rPr>
        <w:br/>
      </w:r>
      <w:r w:rsidR="00FE7962" w:rsidRPr="00591AF0">
        <w:rPr>
          <w:rFonts w:cs="Arial"/>
        </w:rPr>
        <w:t>SQL Azure Database</w:t>
      </w:r>
      <w:r w:rsidRPr="00591AF0">
        <w:rPr>
          <w:rFonts w:cs="Arial"/>
        </w:rPr>
        <w:t xml:space="preserve"> is a cloud database service from Microsoft. </w:t>
      </w:r>
      <w:r w:rsidR="00FE7962" w:rsidRPr="00591AF0">
        <w:rPr>
          <w:rFonts w:cs="Arial"/>
        </w:rPr>
        <w:t xml:space="preserve">SQL Azure </w:t>
      </w:r>
      <w:r w:rsidRPr="00591AF0">
        <w:rPr>
          <w:rFonts w:cs="Arial"/>
        </w:rPr>
        <w:t xml:space="preserve">provides </w:t>
      </w:r>
      <w:r w:rsidR="007E18B5" w:rsidRPr="00591AF0">
        <w:rPr>
          <w:rFonts w:cs="Arial"/>
        </w:rPr>
        <w:t>we</w:t>
      </w:r>
      <w:r w:rsidRPr="00591AF0">
        <w:rPr>
          <w:rFonts w:cs="Arial"/>
        </w:rPr>
        <w:t>b</w:t>
      </w:r>
      <w:r w:rsidR="002E01E6" w:rsidRPr="00591AF0">
        <w:rPr>
          <w:rFonts w:cs="Arial"/>
        </w:rPr>
        <w:t>-facing database</w:t>
      </w:r>
      <w:r w:rsidRPr="00591AF0">
        <w:rPr>
          <w:rFonts w:cs="Arial"/>
        </w:rPr>
        <w:t xml:space="preserve"> </w:t>
      </w:r>
      <w:r w:rsidR="002E01E6" w:rsidRPr="00591AF0">
        <w:rPr>
          <w:rFonts w:cs="Arial"/>
        </w:rPr>
        <w:t>functionality</w:t>
      </w:r>
      <w:r w:rsidRPr="00591AF0">
        <w:rPr>
          <w:rFonts w:cs="Arial"/>
        </w:rPr>
        <w:t xml:space="preserve"> </w:t>
      </w:r>
      <w:r w:rsidR="00FA21FC" w:rsidRPr="00591AF0">
        <w:rPr>
          <w:rFonts w:cs="Arial"/>
        </w:rPr>
        <w:t>as a utility service</w:t>
      </w:r>
      <w:r w:rsidRPr="00591AF0">
        <w:rPr>
          <w:rFonts w:cs="Arial"/>
        </w:rPr>
        <w:t>. Cloud-</w:t>
      </w:r>
      <w:r w:rsidR="00FA21FC" w:rsidRPr="00591AF0">
        <w:rPr>
          <w:rFonts w:cs="Arial"/>
        </w:rPr>
        <w:t xml:space="preserve">based </w:t>
      </w:r>
      <w:r w:rsidRPr="00591AF0">
        <w:rPr>
          <w:rFonts w:cs="Arial"/>
        </w:rPr>
        <w:t xml:space="preserve">database solutions such as </w:t>
      </w:r>
      <w:r w:rsidR="00FE7962" w:rsidRPr="00591AF0">
        <w:rPr>
          <w:rFonts w:cs="Arial"/>
        </w:rPr>
        <w:t xml:space="preserve">SQL Azure </w:t>
      </w:r>
      <w:r w:rsidRPr="00591AF0">
        <w:rPr>
          <w:rFonts w:cs="Arial"/>
        </w:rPr>
        <w:t xml:space="preserve">can provide many benefits, including rapid provisioning, cost-effective scalability, high availability, and reduced management overhead. This paper provides an architectural overview of </w:t>
      </w:r>
      <w:r w:rsidR="00FE7962" w:rsidRPr="00591AF0">
        <w:rPr>
          <w:rFonts w:cs="Arial"/>
        </w:rPr>
        <w:t>SQL Azure Database</w:t>
      </w:r>
      <w:r w:rsidRPr="00591AF0">
        <w:rPr>
          <w:rFonts w:cs="Arial"/>
        </w:rPr>
        <w:t xml:space="preserve">, and describes how you can use </w:t>
      </w:r>
      <w:r w:rsidR="00FE7962" w:rsidRPr="00591AF0">
        <w:rPr>
          <w:rFonts w:cs="Arial"/>
        </w:rPr>
        <w:t xml:space="preserve">SQL Azure </w:t>
      </w:r>
      <w:r w:rsidRPr="00591AF0">
        <w:rPr>
          <w:rFonts w:cs="Arial"/>
        </w:rPr>
        <w:t>to augment your existing on-premises data infrastructure or as your complete database solution.</w:t>
      </w:r>
    </w:p>
    <w:p w:rsidR="00954FCD" w:rsidRDefault="00954FCD">
      <w:pPr>
        <w:rPr>
          <w:rFonts w:ascii="Arial" w:hAnsi="Arial" w:cs="Arial"/>
          <w:sz w:val="36"/>
          <w:szCs w:val="36"/>
        </w:rPr>
      </w:pPr>
      <w:r>
        <w:rPr>
          <w:rFonts w:ascii="Arial" w:hAnsi="Arial" w:cs="Arial"/>
          <w:sz w:val="36"/>
          <w:szCs w:val="36"/>
        </w:rPr>
        <w:br w:type="page"/>
      </w:r>
    </w:p>
    <w:p w:rsidR="00954FCD" w:rsidRPr="00591AF0" w:rsidRDefault="00954FCD" w:rsidP="008C4A8C">
      <w:pPr>
        <w:rPr>
          <w:rFonts w:ascii="Segoe Light" w:hAnsi="Segoe Light" w:cs="Arial"/>
          <w:color w:val="1BA5D8" w:themeColor="text2"/>
          <w:sz w:val="36"/>
          <w:szCs w:val="36"/>
        </w:rPr>
      </w:pPr>
      <w:r w:rsidRPr="00591AF0">
        <w:rPr>
          <w:rFonts w:ascii="Segoe Light" w:hAnsi="Segoe Light" w:cs="Arial"/>
          <w:color w:val="1BA5D8" w:themeColor="text2"/>
          <w:sz w:val="36"/>
          <w:szCs w:val="36"/>
        </w:rPr>
        <w:lastRenderedPageBreak/>
        <w:t>Copyright</w:t>
      </w:r>
    </w:p>
    <w:p w:rsidR="00954FCD" w:rsidRPr="00591AF0" w:rsidRDefault="00954FCD" w:rsidP="00E82D8A">
      <w:pPr>
        <w:rPr>
          <w:rFonts w:cs="Arial"/>
        </w:rPr>
      </w:pPr>
      <w:r w:rsidRPr="00591AF0">
        <w:rPr>
          <w:rFonts w:cs="Arial"/>
        </w:rPr>
        <w:t>This is a preliminary document and may be changed substantially prior to final commercial release of the software described herein.</w:t>
      </w:r>
    </w:p>
    <w:p w:rsidR="00954FCD" w:rsidRPr="00591AF0" w:rsidRDefault="00954FCD" w:rsidP="00E82D8A">
      <w:pPr>
        <w:rPr>
          <w:rFonts w:cs="Arial"/>
        </w:rPr>
      </w:pPr>
      <w:r w:rsidRPr="00591AF0">
        <w:rPr>
          <w:rFonts w:cs="Arial"/>
        </w:rPr>
        <w:t xml:space="preserve">The information contained in this document represents the current view of Microsoft Corporation on the issues discussed as of the date of publication. Because Microsoft must respond to changing market conditions, it should not be interpreted to be a commitment on </w:t>
      </w:r>
      <w:r w:rsidR="00591AF0">
        <w:rPr>
          <w:rFonts w:cs="Arial"/>
        </w:rPr>
        <w:br/>
      </w:r>
      <w:r w:rsidRPr="00591AF0">
        <w:rPr>
          <w:rFonts w:cs="Arial"/>
        </w:rPr>
        <w:t>the part of Microsoft, and Microsoft cannot guarantee the accuracy of any information presented after the date of publication.</w:t>
      </w:r>
    </w:p>
    <w:p w:rsidR="00954FCD" w:rsidRPr="00591AF0" w:rsidRDefault="00954FCD" w:rsidP="00E82D8A">
      <w:pPr>
        <w:rPr>
          <w:rFonts w:cs="Arial"/>
        </w:rPr>
      </w:pPr>
      <w:r w:rsidRPr="00591AF0">
        <w:rPr>
          <w:rFonts w:cs="Arial"/>
        </w:rPr>
        <w:t>This white paper is for informational purposes only. MICROSOFT MAKES NO WARRANTIES, EXPRESS, IMPLIED, OR STATUTORY, AS TO THE INFORMATION IN THIS DOCUMENT.</w:t>
      </w:r>
    </w:p>
    <w:p w:rsidR="00954FCD" w:rsidRPr="00591AF0" w:rsidRDefault="00954FCD" w:rsidP="00E82D8A">
      <w:pPr>
        <w:rPr>
          <w:rFonts w:cs="Arial"/>
        </w:rPr>
      </w:pPr>
      <w:r w:rsidRPr="00591AF0">
        <w:rPr>
          <w:rFonts w:cs="Arial"/>
        </w:rPr>
        <w:t xml:space="preserve">Complying with all applicable copyright laws is the responsibility of the user. Without limiting </w:t>
      </w:r>
      <w:r w:rsidR="00591AF0">
        <w:rPr>
          <w:rFonts w:cs="Arial"/>
        </w:rPr>
        <w:br/>
      </w:r>
      <w:r w:rsidRPr="00591AF0">
        <w:rPr>
          <w:rFonts w:cs="Arial"/>
        </w:rPr>
        <w:t xml:space="preserve">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954FCD" w:rsidRPr="00591AF0" w:rsidRDefault="00954FCD" w:rsidP="00E82D8A">
      <w:pPr>
        <w:rPr>
          <w:rFonts w:cs="Arial"/>
        </w:rPr>
      </w:pPr>
      <w:r w:rsidRPr="00591AF0">
        <w:rPr>
          <w:rFonts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954FCD" w:rsidRPr="00591AF0" w:rsidRDefault="00954FCD" w:rsidP="00E82D8A">
      <w:pPr>
        <w:rPr>
          <w:rFonts w:cs="Arial"/>
        </w:rPr>
      </w:pPr>
    </w:p>
    <w:p w:rsidR="00954FCD" w:rsidRPr="00591AF0" w:rsidRDefault="00954FCD" w:rsidP="00E82D8A">
      <w:pPr>
        <w:rPr>
          <w:rFonts w:cs="Arial"/>
        </w:rPr>
      </w:pPr>
      <w:r w:rsidRPr="00591AF0">
        <w:rPr>
          <w:rFonts w:cs="Arial"/>
        </w:rPr>
        <w:t>© 2009 Microsoft Corporation. All rights reserved.</w:t>
      </w:r>
    </w:p>
    <w:p w:rsidR="00954FCD" w:rsidRPr="00591AF0" w:rsidRDefault="00954FCD" w:rsidP="00E82D8A">
      <w:pPr>
        <w:rPr>
          <w:rFonts w:cs="Arial"/>
        </w:rPr>
      </w:pPr>
    </w:p>
    <w:p w:rsidR="00954FCD" w:rsidRPr="00591AF0" w:rsidRDefault="00954FCD" w:rsidP="00E82D8A">
      <w:pPr>
        <w:rPr>
          <w:rFonts w:cs="Arial"/>
        </w:rPr>
      </w:pPr>
      <w:r w:rsidRPr="00591AF0">
        <w:rPr>
          <w:rFonts w:cs="Arial"/>
        </w:rPr>
        <w:t xml:space="preserve">Microsoft, ADO.NET Data Services, Cloud Services, Live Services, .NET Services, SharePoint Services, </w:t>
      </w:r>
      <w:r w:rsidR="00FE7962" w:rsidRPr="00591AF0">
        <w:rPr>
          <w:rFonts w:cs="Arial"/>
        </w:rPr>
        <w:t>SQL Azure</w:t>
      </w:r>
      <w:r w:rsidRPr="00591AF0">
        <w:rPr>
          <w:rFonts w:cs="Arial"/>
        </w:rPr>
        <w:t>,</w:t>
      </w:r>
      <w:r w:rsidR="006545CD" w:rsidRPr="00591AF0">
        <w:rPr>
          <w:rFonts w:cs="Arial"/>
        </w:rPr>
        <w:t xml:space="preserve"> SQL Azure Database,</w:t>
      </w:r>
      <w:r w:rsidRPr="00591AF0">
        <w:rPr>
          <w:rFonts w:cs="Arial"/>
        </w:rPr>
        <w:t xml:space="preserve"> SQL Server, SQL Server Express, Sync Framework, </w:t>
      </w:r>
      <w:r w:rsidR="00591AF0">
        <w:rPr>
          <w:rFonts w:cs="Arial"/>
        </w:rPr>
        <w:br/>
      </w:r>
      <w:r w:rsidRPr="00591AF0">
        <w:rPr>
          <w:rFonts w:cs="Arial"/>
        </w:rPr>
        <w:t xml:space="preserve">Visual Studio, Windows Live, and Windows Server are trademarks of the Microsoft </w:t>
      </w:r>
      <w:r w:rsidR="00591AF0">
        <w:rPr>
          <w:rFonts w:cs="Arial"/>
        </w:rPr>
        <w:br/>
      </w:r>
      <w:r w:rsidRPr="00591AF0">
        <w:rPr>
          <w:rFonts w:cs="Arial"/>
        </w:rPr>
        <w:t>group of companies.</w:t>
      </w:r>
    </w:p>
    <w:p w:rsidR="00954FCD" w:rsidRPr="00591AF0" w:rsidRDefault="00954FCD" w:rsidP="00E82D8A">
      <w:pPr>
        <w:rPr>
          <w:rFonts w:cs="Arial"/>
        </w:rPr>
      </w:pPr>
    </w:p>
    <w:p w:rsidR="00954FCD" w:rsidRPr="00591AF0" w:rsidRDefault="00954FCD" w:rsidP="00E82D8A">
      <w:pPr>
        <w:rPr>
          <w:rFonts w:cs="Arial"/>
        </w:rPr>
      </w:pPr>
      <w:r w:rsidRPr="00591AF0">
        <w:rPr>
          <w:rFonts w:cs="Arial"/>
        </w:rPr>
        <w:t>All other trademarks are property of their respective owners.</w:t>
      </w:r>
    </w:p>
    <w:p w:rsidR="00954FCD" w:rsidRDefault="00954FCD">
      <w:pPr>
        <w:rPr>
          <w:rFonts w:ascii="Arial" w:hAnsi="Arial" w:cs="Arial"/>
          <w:sz w:val="36"/>
          <w:szCs w:val="36"/>
        </w:rPr>
      </w:pPr>
      <w:r>
        <w:rPr>
          <w:rFonts w:ascii="Arial" w:hAnsi="Arial" w:cs="Arial"/>
          <w:sz w:val="36"/>
          <w:szCs w:val="36"/>
        </w:rPr>
        <w:br w:type="page"/>
      </w:r>
    </w:p>
    <w:p w:rsidR="00954FCD" w:rsidRPr="00591AF0" w:rsidRDefault="00954FCD" w:rsidP="00223821">
      <w:pPr>
        <w:rPr>
          <w:rFonts w:ascii="Segoe Light" w:hAnsi="Segoe Light" w:cs="Arial"/>
          <w:color w:val="1BA5D8" w:themeColor="text2"/>
          <w:sz w:val="36"/>
          <w:szCs w:val="36"/>
        </w:rPr>
      </w:pPr>
      <w:r w:rsidRPr="00591AF0">
        <w:rPr>
          <w:rFonts w:ascii="Segoe Light" w:hAnsi="Segoe Light" w:cs="Arial"/>
          <w:color w:val="1BA5D8" w:themeColor="text2"/>
          <w:sz w:val="36"/>
          <w:szCs w:val="36"/>
        </w:rPr>
        <w:lastRenderedPageBreak/>
        <w:t>Contents</w:t>
      </w:r>
    </w:p>
    <w:p w:rsidR="00F62A0B" w:rsidRDefault="00185B27">
      <w:pPr>
        <w:pStyle w:val="TOC1"/>
        <w:tabs>
          <w:tab w:val="right" w:leader="dot" w:pos="9350"/>
        </w:tabs>
        <w:rPr>
          <w:rFonts w:eastAsiaTheme="minorEastAsia" w:cstheme="minorBidi"/>
          <w:noProof/>
          <w:color w:val="auto"/>
        </w:rPr>
      </w:pPr>
      <w:r w:rsidRPr="00591AF0">
        <w:rPr>
          <w:rFonts w:cs="Arial"/>
        </w:rPr>
        <w:fldChar w:fldCharType="begin"/>
      </w:r>
      <w:r w:rsidR="00954FCD" w:rsidRPr="00591AF0">
        <w:rPr>
          <w:rFonts w:cs="Arial"/>
        </w:rPr>
        <w:instrText xml:space="preserve"> TOC \o "1-3" \h \z \u </w:instrText>
      </w:r>
      <w:r w:rsidRPr="00591AF0">
        <w:rPr>
          <w:rFonts w:cs="Arial"/>
        </w:rPr>
        <w:fldChar w:fldCharType="separate"/>
      </w:r>
      <w:hyperlink w:anchor="_Toc243924151" w:history="1">
        <w:r w:rsidR="00F62A0B" w:rsidRPr="00EE312C">
          <w:rPr>
            <w:rStyle w:val="Hyperlink"/>
            <w:noProof/>
          </w:rPr>
          <w:t>Similarities and Differences</w:t>
        </w:r>
        <w:r w:rsidR="00F62A0B">
          <w:rPr>
            <w:noProof/>
            <w:webHidden/>
          </w:rPr>
          <w:tab/>
        </w:r>
        <w:r w:rsidR="00F62A0B">
          <w:rPr>
            <w:noProof/>
            <w:webHidden/>
          </w:rPr>
          <w:fldChar w:fldCharType="begin"/>
        </w:r>
        <w:r w:rsidR="00F62A0B">
          <w:rPr>
            <w:noProof/>
            <w:webHidden/>
          </w:rPr>
          <w:instrText xml:space="preserve"> PAGEREF _Toc243924151 \h </w:instrText>
        </w:r>
        <w:r w:rsidR="00F62A0B">
          <w:rPr>
            <w:noProof/>
            <w:webHidden/>
          </w:rPr>
        </w:r>
        <w:r w:rsidR="00F62A0B">
          <w:rPr>
            <w:noProof/>
            <w:webHidden/>
          </w:rPr>
          <w:fldChar w:fldCharType="separate"/>
        </w:r>
        <w:r w:rsidR="00F62A0B">
          <w:rPr>
            <w:noProof/>
            <w:webHidden/>
          </w:rPr>
          <w:t>4</w:t>
        </w:r>
        <w:r w:rsidR="00F62A0B">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52" w:history="1">
        <w:r w:rsidRPr="00EE312C">
          <w:rPr>
            <w:rStyle w:val="Hyperlink"/>
            <w:noProof/>
          </w:rPr>
          <w:t>Logical Administration vs. Physical Administration</w:t>
        </w:r>
        <w:r>
          <w:rPr>
            <w:noProof/>
            <w:webHidden/>
          </w:rPr>
          <w:tab/>
        </w:r>
        <w:r>
          <w:rPr>
            <w:noProof/>
            <w:webHidden/>
          </w:rPr>
          <w:fldChar w:fldCharType="begin"/>
        </w:r>
        <w:r>
          <w:rPr>
            <w:noProof/>
            <w:webHidden/>
          </w:rPr>
          <w:instrText xml:space="preserve"> PAGEREF _Toc243924152 \h </w:instrText>
        </w:r>
        <w:r>
          <w:rPr>
            <w:noProof/>
            <w:webHidden/>
          </w:rPr>
        </w:r>
        <w:r>
          <w:rPr>
            <w:noProof/>
            <w:webHidden/>
          </w:rPr>
          <w:fldChar w:fldCharType="separate"/>
        </w:r>
        <w:r>
          <w:rPr>
            <w:noProof/>
            <w:webHidden/>
          </w:rPr>
          <w:t>4</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53" w:history="1">
        <w:r w:rsidRPr="00EE312C">
          <w:rPr>
            <w:rStyle w:val="Hyperlink"/>
            <w:noProof/>
          </w:rPr>
          <w:t>Provisioning</w:t>
        </w:r>
        <w:r>
          <w:rPr>
            <w:noProof/>
            <w:webHidden/>
          </w:rPr>
          <w:tab/>
        </w:r>
        <w:r>
          <w:rPr>
            <w:noProof/>
            <w:webHidden/>
          </w:rPr>
          <w:fldChar w:fldCharType="begin"/>
        </w:r>
        <w:r>
          <w:rPr>
            <w:noProof/>
            <w:webHidden/>
          </w:rPr>
          <w:instrText xml:space="preserve"> PAGEREF _Toc243924153 \h </w:instrText>
        </w:r>
        <w:r>
          <w:rPr>
            <w:noProof/>
            <w:webHidden/>
          </w:rPr>
        </w:r>
        <w:r>
          <w:rPr>
            <w:noProof/>
            <w:webHidden/>
          </w:rPr>
          <w:fldChar w:fldCharType="separate"/>
        </w:r>
        <w:r>
          <w:rPr>
            <w:noProof/>
            <w:webHidden/>
          </w:rPr>
          <w:t>4</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54" w:history="1">
        <w:r w:rsidRPr="00EE312C">
          <w:rPr>
            <w:rStyle w:val="Hyperlink"/>
            <w:noProof/>
          </w:rPr>
          <w:t>Transact-SQL Support</w:t>
        </w:r>
        <w:r>
          <w:rPr>
            <w:noProof/>
            <w:webHidden/>
          </w:rPr>
          <w:tab/>
        </w:r>
        <w:r>
          <w:rPr>
            <w:noProof/>
            <w:webHidden/>
          </w:rPr>
          <w:fldChar w:fldCharType="begin"/>
        </w:r>
        <w:r>
          <w:rPr>
            <w:noProof/>
            <w:webHidden/>
          </w:rPr>
          <w:instrText xml:space="preserve"> PAGEREF _Toc243924154 \h </w:instrText>
        </w:r>
        <w:r>
          <w:rPr>
            <w:noProof/>
            <w:webHidden/>
          </w:rPr>
        </w:r>
        <w:r>
          <w:rPr>
            <w:noProof/>
            <w:webHidden/>
          </w:rPr>
          <w:fldChar w:fldCharType="separate"/>
        </w:r>
        <w:r>
          <w:rPr>
            <w:noProof/>
            <w:webHidden/>
          </w:rPr>
          <w:t>5</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55" w:history="1">
        <w:r w:rsidRPr="00EE312C">
          <w:rPr>
            <w:rStyle w:val="Hyperlink"/>
            <w:noProof/>
          </w:rPr>
          <w:t>Features and Types</w:t>
        </w:r>
        <w:r>
          <w:rPr>
            <w:noProof/>
            <w:webHidden/>
          </w:rPr>
          <w:tab/>
        </w:r>
        <w:r>
          <w:rPr>
            <w:noProof/>
            <w:webHidden/>
          </w:rPr>
          <w:fldChar w:fldCharType="begin"/>
        </w:r>
        <w:r>
          <w:rPr>
            <w:noProof/>
            <w:webHidden/>
          </w:rPr>
          <w:instrText xml:space="preserve"> PAGEREF _Toc243924155 \h </w:instrText>
        </w:r>
        <w:r>
          <w:rPr>
            <w:noProof/>
            <w:webHidden/>
          </w:rPr>
        </w:r>
        <w:r>
          <w:rPr>
            <w:noProof/>
            <w:webHidden/>
          </w:rPr>
          <w:fldChar w:fldCharType="separate"/>
        </w:r>
        <w:r>
          <w:rPr>
            <w:noProof/>
            <w:webHidden/>
          </w:rPr>
          <w:t>5</w:t>
        </w:r>
        <w:r>
          <w:rPr>
            <w:noProof/>
            <w:webHidden/>
          </w:rPr>
          <w:fldChar w:fldCharType="end"/>
        </w:r>
      </w:hyperlink>
    </w:p>
    <w:p w:rsidR="00F62A0B" w:rsidRDefault="00F62A0B">
      <w:pPr>
        <w:pStyle w:val="TOC1"/>
        <w:tabs>
          <w:tab w:val="right" w:leader="dot" w:pos="9350"/>
        </w:tabs>
        <w:rPr>
          <w:rFonts w:eastAsiaTheme="minorEastAsia" w:cstheme="minorBidi"/>
          <w:noProof/>
          <w:color w:val="auto"/>
        </w:rPr>
      </w:pPr>
      <w:hyperlink w:anchor="_Toc243924156" w:history="1">
        <w:r w:rsidRPr="00EE312C">
          <w:rPr>
            <w:rStyle w:val="Hyperlink"/>
            <w:noProof/>
          </w:rPr>
          <w:t>Key Benefits of the Service</w:t>
        </w:r>
        <w:r>
          <w:rPr>
            <w:noProof/>
            <w:webHidden/>
          </w:rPr>
          <w:tab/>
        </w:r>
        <w:r>
          <w:rPr>
            <w:noProof/>
            <w:webHidden/>
          </w:rPr>
          <w:fldChar w:fldCharType="begin"/>
        </w:r>
        <w:r>
          <w:rPr>
            <w:noProof/>
            <w:webHidden/>
          </w:rPr>
          <w:instrText xml:space="preserve"> PAGEREF _Toc243924156 \h </w:instrText>
        </w:r>
        <w:r>
          <w:rPr>
            <w:noProof/>
            <w:webHidden/>
          </w:rPr>
        </w:r>
        <w:r>
          <w:rPr>
            <w:noProof/>
            <w:webHidden/>
          </w:rPr>
          <w:fldChar w:fldCharType="separate"/>
        </w:r>
        <w:r>
          <w:rPr>
            <w:noProof/>
            <w:webHidden/>
          </w:rPr>
          <w:t>5</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57" w:history="1">
        <w:r w:rsidRPr="00EE312C">
          <w:rPr>
            <w:rStyle w:val="Hyperlink"/>
            <w:noProof/>
          </w:rPr>
          <w:t>Self-Managing</w:t>
        </w:r>
        <w:r>
          <w:rPr>
            <w:noProof/>
            <w:webHidden/>
          </w:rPr>
          <w:tab/>
        </w:r>
        <w:r>
          <w:rPr>
            <w:noProof/>
            <w:webHidden/>
          </w:rPr>
          <w:fldChar w:fldCharType="begin"/>
        </w:r>
        <w:r>
          <w:rPr>
            <w:noProof/>
            <w:webHidden/>
          </w:rPr>
          <w:instrText xml:space="preserve"> PAGEREF _Toc243924157 \h </w:instrText>
        </w:r>
        <w:r>
          <w:rPr>
            <w:noProof/>
            <w:webHidden/>
          </w:rPr>
        </w:r>
        <w:r>
          <w:rPr>
            <w:noProof/>
            <w:webHidden/>
          </w:rPr>
          <w:fldChar w:fldCharType="separate"/>
        </w:r>
        <w:r>
          <w:rPr>
            <w:noProof/>
            <w:webHidden/>
          </w:rPr>
          <w:t>5</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58" w:history="1">
        <w:r w:rsidRPr="00EE312C">
          <w:rPr>
            <w:rStyle w:val="Hyperlink"/>
            <w:noProof/>
          </w:rPr>
          <w:t>High Availability</w:t>
        </w:r>
        <w:r>
          <w:rPr>
            <w:noProof/>
            <w:webHidden/>
          </w:rPr>
          <w:tab/>
        </w:r>
        <w:r>
          <w:rPr>
            <w:noProof/>
            <w:webHidden/>
          </w:rPr>
          <w:fldChar w:fldCharType="begin"/>
        </w:r>
        <w:r>
          <w:rPr>
            <w:noProof/>
            <w:webHidden/>
          </w:rPr>
          <w:instrText xml:space="preserve"> PAGEREF _Toc243924158 \h </w:instrText>
        </w:r>
        <w:r>
          <w:rPr>
            <w:noProof/>
            <w:webHidden/>
          </w:rPr>
        </w:r>
        <w:r>
          <w:rPr>
            <w:noProof/>
            <w:webHidden/>
          </w:rPr>
          <w:fldChar w:fldCharType="separate"/>
        </w:r>
        <w:r>
          <w:rPr>
            <w:noProof/>
            <w:webHidden/>
          </w:rPr>
          <w:t>5</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59" w:history="1">
        <w:r w:rsidRPr="00EE312C">
          <w:rPr>
            <w:rStyle w:val="Hyperlink"/>
            <w:noProof/>
          </w:rPr>
          <w:t>Scalability</w:t>
        </w:r>
        <w:r>
          <w:rPr>
            <w:noProof/>
            <w:webHidden/>
          </w:rPr>
          <w:tab/>
        </w:r>
        <w:r>
          <w:rPr>
            <w:noProof/>
            <w:webHidden/>
          </w:rPr>
          <w:fldChar w:fldCharType="begin"/>
        </w:r>
        <w:r>
          <w:rPr>
            <w:noProof/>
            <w:webHidden/>
          </w:rPr>
          <w:instrText xml:space="preserve"> PAGEREF _Toc243924159 \h </w:instrText>
        </w:r>
        <w:r>
          <w:rPr>
            <w:noProof/>
            <w:webHidden/>
          </w:rPr>
        </w:r>
        <w:r>
          <w:rPr>
            <w:noProof/>
            <w:webHidden/>
          </w:rPr>
          <w:fldChar w:fldCharType="separate"/>
        </w:r>
        <w:r>
          <w:rPr>
            <w:noProof/>
            <w:webHidden/>
          </w:rPr>
          <w:t>5</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60" w:history="1">
        <w:r w:rsidRPr="00EE312C">
          <w:rPr>
            <w:rStyle w:val="Hyperlink"/>
            <w:noProof/>
          </w:rPr>
          <w:t>Familiar Development Model</w:t>
        </w:r>
        <w:r>
          <w:rPr>
            <w:noProof/>
            <w:webHidden/>
          </w:rPr>
          <w:tab/>
        </w:r>
        <w:r>
          <w:rPr>
            <w:noProof/>
            <w:webHidden/>
          </w:rPr>
          <w:fldChar w:fldCharType="begin"/>
        </w:r>
        <w:r>
          <w:rPr>
            <w:noProof/>
            <w:webHidden/>
          </w:rPr>
          <w:instrText xml:space="preserve"> PAGEREF _Toc243924160 \h </w:instrText>
        </w:r>
        <w:r>
          <w:rPr>
            <w:noProof/>
            <w:webHidden/>
          </w:rPr>
        </w:r>
        <w:r>
          <w:rPr>
            <w:noProof/>
            <w:webHidden/>
          </w:rPr>
          <w:fldChar w:fldCharType="separate"/>
        </w:r>
        <w:r>
          <w:rPr>
            <w:noProof/>
            <w:webHidden/>
          </w:rPr>
          <w:t>5</w:t>
        </w:r>
        <w:r>
          <w:rPr>
            <w:noProof/>
            <w:webHidden/>
          </w:rPr>
          <w:fldChar w:fldCharType="end"/>
        </w:r>
      </w:hyperlink>
    </w:p>
    <w:p w:rsidR="00F62A0B" w:rsidRDefault="00F62A0B">
      <w:pPr>
        <w:pStyle w:val="TOC2"/>
        <w:tabs>
          <w:tab w:val="right" w:leader="dot" w:pos="9350"/>
        </w:tabs>
        <w:rPr>
          <w:rFonts w:eastAsiaTheme="minorEastAsia" w:cstheme="minorBidi"/>
          <w:noProof/>
          <w:color w:val="auto"/>
        </w:rPr>
      </w:pPr>
      <w:hyperlink w:anchor="_Toc243924161" w:history="1">
        <w:r w:rsidRPr="00EE312C">
          <w:rPr>
            <w:rStyle w:val="Hyperlink"/>
            <w:noProof/>
          </w:rPr>
          <w:t>Relational Data Model</w:t>
        </w:r>
        <w:r>
          <w:rPr>
            <w:noProof/>
            <w:webHidden/>
          </w:rPr>
          <w:tab/>
        </w:r>
        <w:r>
          <w:rPr>
            <w:noProof/>
            <w:webHidden/>
          </w:rPr>
          <w:fldChar w:fldCharType="begin"/>
        </w:r>
        <w:r>
          <w:rPr>
            <w:noProof/>
            <w:webHidden/>
          </w:rPr>
          <w:instrText xml:space="preserve"> PAGEREF _Toc243924161 \h </w:instrText>
        </w:r>
        <w:r>
          <w:rPr>
            <w:noProof/>
            <w:webHidden/>
          </w:rPr>
        </w:r>
        <w:r>
          <w:rPr>
            <w:noProof/>
            <w:webHidden/>
          </w:rPr>
          <w:fldChar w:fldCharType="separate"/>
        </w:r>
        <w:r>
          <w:rPr>
            <w:noProof/>
            <w:webHidden/>
          </w:rPr>
          <w:t>6</w:t>
        </w:r>
        <w:r>
          <w:rPr>
            <w:noProof/>
            <w:webHidden/>
          </w:rPr>
          <w:fldChar w:fldCharType="end"/>
        </w:r>
      </w:hyperlink>
    </w:p>
    <w:p w:rsidR="00F62A0B" w:rsidRDefault="00F62A0B">
      <w:pPr>
        <w:pStyle w:val="TOC1"/>
        <w:tabs>
          <w:tab w:val="right" w:leader="dot" w:pos="9350"/>
        </w:tabs>
        <w:rPr>
          <w:rFonts w:eastAsiaTheme="minorEastAsia" w:cstheme="minorBidi"/>
          <w:noProof/>
          <w:color w:val="auto"/>
        </w:rPr>
      </w:pPr>
      <w:hyperlink w:anchor="_Toc243924162" w:history="1">
        <w:r w:rsidRPr="00EE312C">
          <w:rPr>
            <w:rStyle w:val="Hyperlink"/>
            <w:noProof/>
          </w:rPr>
          <w:t>Transact-SQL Support (SQL Azure Database)</w:t>
        </w:r>
        <w:r>
          <w:rPr>
            <w:noProof/>
            <w:webHidden/>
          </w:rPr>
          <w:tab/>
        </w:r>
        <w:r>
          <w:rPr>
            <w:noProof/>
            <w:webHidden/>
          </w:rPr>
          <w:fldChar w:fldCharType="begin"/>
        </w:r>
        <w:r>
          <w:rPr>
            <w:noProof/>
            <w:webHidden/>
          </w:rPr>
          <w:instrText xml:space="preserve"> PAGEREF _Toc243924162 \h </w:instrText>
        </w:r>
        <w:r>
          <w:rPr>
            <w:noProof/>
            <w:webHidden/>
          </w:rPr>
        </w:r>
        <w:r>
          <w:rPr>
            <w:noProof/>
            <w:webHidden/>
          </w:rPr>
          <w:fldChar w:fldCharType="separate"/>
        </w:r>
        <w:r>
          <w:rPr>
            <w:noProof/>
            <w:webHidden/>
          </w:rPr>
          <w:t>7</w:t>
        </w:r>
        <w:r>
          <w:rPr>
            <w:noProof/>
            <w:webHidden/>
          </w:rPr>
          <w:fldChar w:fldCharType="end"/>
        </w:r>
      </w:hyperlink>
    </w:p>
    <w:p w:rsidR="00355A01" w:rsidRDefault="00185B27" w:rsidP="005658F2">
      <w:pPr>
        <w:rPr>
          <w:rFonts w:cs="Arial"/>
        </w:rPr>
      </w:pPr>
      <w:r w:rsidRPr="00591AF0">
        <w:rPr>
          <w:rFonts w:cs="Arial"/>
        </w:rPr>
        <w:fldChar w:fldCharType="end"/>
      </w:r>
    </w:p>
    <w:p w:rsidR="00355A01" w:rsidRDefault="00355A01">
      <w:pPr>
        <w:spacing w:after="0" w:line="240" w:lineRule="auto"/>
        <w:rPr>
          <w:rFonts w:cs="Arial"/>
        </w:rPr>
      </w:pPr>
      <w:r>
        <w:rPr>
          <w:rFonts w:cs="Arial"/>
        </w:rPr>
        <w:br w:type="page"/>
      </w:r>
    </w:p>
    <w:p w:rsidR="00355A01" w:rsidRPr="00E2256B" w:rsidRDefault="00355A01" w:rsidP="00355A01">
      <w:pPr>
        <w:pStyle w:val="Heading1"/>
      </w:pPr>
      <w:bookmarkStart w:id="2" w:name="_Toc243924151"/>
      <w:r w:rsidRPr="00E2256B">
        <w:lastRenderedPageBreak/>
        <w:t>Similarities and Differences</w:t>
      </w:r>
      <w:bookmarkEnd w:id="2"/>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Similar to an instance of SQL Server on your premises, SQL Azure exposes a tabular data stream (TDS) interface for Transact-SQL-based database access. This allows your database applications to use SQL Azure in the same way that they use SQL Server. Because SQL Azure is a service, administration in SQL Azure is slightly different. </w:t>
      </w:r>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Unlike administration for an on-premise instance of SQL Server, SQL Azure abstracts the logical administration from the physical administration; you continue to administer databases, logins, users, and roles, but Microsoft administers the physical hardware such as hard drives, servers, and storage. This approach helps SQL Azure provide a large-scale multi-tenant database service that offers enterprise-class availability, scalability, security, and self-healing. </w:t>
      </w:r>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Because Microsoft handles all of the physical administration, there are some differences between SQL Azure and an on-premise instance of SQL Server in terms of administration, provisioning, Transact-SQL support, programming model, and features. For more information, see </w:t>
      </w:r>
      <w:hyperlink r:id="rId12" w:history="1">
        <w:r w:rsidRPr="00355A01">
          <w:rPr>
            <w:rFonts w:ascii="Segoe UI" w:hAnsi="Segoe UI" w:cs="Segoe UI"/>
            <w:color w:val="0033CC"/>
            <w:sz w:val="20"/>
            <w:szCs w:val="20"/>
          </w:rPr>
          <w:t>Guidelines and Limitations (SQL Azure Database)</w:t>
        </w:r>
      </w:hyperlink>
      <w:r w:rsidRPr="00355A01">
        <w:rPr>
          <w:rFonts w:ascii="Segoe UI" w:hAnsi="Segoe UI" w:cs="Segoe UI"/>
          <w:color w:val="000000"/>
          <w:sz w:val="20"/>
          <w:szCs w:val="20"/>
        </w:rPr>
        <w:t>.</w:t>
      </w:r>
    </w:p>
    <w:p w:rsidR="00355A01" w:rsidRPr="00062977" w:rsidRDefault="00355A01" w:rsidP="00355A01">
      <w:pPr>
        <w:pStyle w:val="Heading2"/>
      </w:pPr>
      <w:bookmarkStart w:id="3" w:name="_Toc243924152"/>
      <w:r w:rsidRPr="00062977">
        <w:t>Logical Administration vs. Physical Administration</w:t>
      </w:r>
      <w:bookmarkEnd w:id="3"/>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Although SQL Azure plays an active role in managing the physical resources of the database, the DBA plays a very important role in administering SQL Azure-based database applications. Using SQL Azure, DBAs manage schema creation, statistics management, index tuning, query optimization, and security administration (logins, users, roles, etc.). For more information about security administration in SQL Azure, see </w:t>
      </w:r>
      <w:hyperlink r:id="rId13" w:history="1">
        <w:r w:rsidRPr="00355A01">
          <w:rPr>
            <w:rFonts w:ascii="Segoe UI" w:hAnsi="Segoe UI" w:cs="Segoe UI"/>
            <w:color w:val="0033CC"/>
            <w:sz w:val="20"/>
            <w:szCs w:val="20"/>
          </w:rPr>
          <w:t>Managing Logins and Users in SQL Azure</w:t>
        </w:r>
      </w:hyperlink>
      <w:r w:rsidRPr="00355A01">
        <w:rPr>
          <w:rFonts w:ascii="Segoe UI" w:hAnsi="Segoe UI" w:cs="Segoe UI"/>
          <w:color w:val="000000"/>
          <w:sz w:val="20"/>
          <w:szCs w:val="20"/>
        </w:rPr>
        <w:t>.</w:t>
      </w:r>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Database administration in SQL Azure differs most from SQL Server in terms of physical administration. SQL Azure automatically replicates all data to provide high availably. SQL Azure also manages load balancing and, in case of a server failure, transparent fail-over.</w:t>
      </w:r>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To provide this level of physical administration, you cannot control the physical resources of SQL Azure. For example, you cannot specify the physical hard drive or file group where a database or index will reside. Because the computer file system is not accessible and all data is automatically replicated, SQL Server backup and restore commands are not applicable to SQL Azure. </w:t>
      </w:r>
    </w:p>
    <w:p w:rsidR="00355A01" w:rsidRPr="00355A01" w:rsidRDefault="00355A01" w:rsidP="00355A01">
      <w:pPr>
        <w:pStyle w:val="Heading2"/>
      </w:pPr>
      <w:bookmarkStart w:id="4" w:name="_Toc243924153"/>
      <w:r w:rsidRPr="00355A01">
        <w:t>Provisioning</w:t>
      </w:r>
      <w:bookmarkEnd w:id="4"/>
    </w:p>
    <w:p w:rsidR="00355A01" w:rsidRPr="00355A01" w:rsidRDefault="00355A01" w:rsidP="00355A01">
      <w:pPr>
        <w:pStyle w:val="NormalWeb"/>
        <w:textAlignment w:val="top"/>
        <w:rPr>
          <w:rFonts w:ascii="Segoe UI" w:hAnsi="Segoe UI" w:cs="Segoe UI"/>
          <w:color w:val="000000"/>
          <w:sz w:val="20"/>
          <w:szCs w:val="20"/>
        </w:rPr>
      </w:pPr>
      <w:r w:rsidRPr="00355A01">
        <w:rPr>
          <w:rFonts w:ascii="Segoe UI" w:hAnsi="Segoe UI" w:cs="Segoe UI"/>
          <w:color w:val="000000"/>
          <w:sz w:val="20"/>
          <w:szCs w:val="20"/>
        </w:rPr>
        <w:t xml:space="preserve">When preparing an on-premises SQL Server deployment, it may be the role of the DBA or IT department to prepare and configure the required hardware and software. When using SQL Azure, these tasks are performed by the SQL Azure provisioning process. </w:t>
      </w:r>
    </w:p>
    <w:p w:rsidR="00355A01" w:rsidRPr="00355A01" w:rsidRDefault="00355A01" w:rsidP="00355A01">
      <w:pPr>
        <w:pStyle w:val="NormalWeb"/>
        <w:textAlignment w:val="top"/>
        <w:rPr>
          <w:rFonts w:ascii="Segoe UI" w:hAnsi="Segoe UI" w:cs="Segoe UI"/>
          <w:color w:val="000000"/>
          <w:sz w:val="20"/>
          <w:szCs w:val="20"/>
        </w:rPr>
      </w:pPr>
      <w:r w:rsidRPr="00355A01">
        <w:rPr>
          <w:rFonts w:ascii="Segoe UI" w:hAnsi="Segoe UI" w:cs="Segoe UI"/>
          <w:color w:val="000000"/>
          <w:sz w:val="20"/>
          <w:szCs w:val="20"/>
        </w:rPr>
        <w:t xml:space="preserve">You can begin provisioning your SQL Azure databases after you create a Windows Azure Platform account. This account allows you to access all the services, such as Windows Azure, .NET Services, and SQL Azure, and is used to set up and manage your subscriptions. </w:t>
      </w:r>
    </w:p>
    <w:p w:rsidR="00355A01" w:rsidRPr="00355A01" w:rsidRDefault="00355A01" w:rsidP="00355A01">
      <w:pPr>
        <w:pStyle w:val="NormalWeb"/>
        <w:textAlignment w:val="top"/>
        <w:rPr>
          <w:rFonts w:ascii="Segoe UI" w:hAnsi="Segoe UI" w:cs="Segoe UI"/>
          <w:color w:val="000000"/>
          <w:sz w:val="20"/>
          <w:szCs w:val="20"/>
        </w:rPr>
      </w:pPr>
      <w:r w:rsidRPr="00355A01">
        <w:rPr>
          <w:rFonts w:ascii="Segoe UI" w:hAnsi="Segoe UI" w:cs="Segoe UI"/>
          <w:color w:val="000000"/>
          <w:sz w:val="20"/>
          <w:szCs w:val="20"/>
        </w:rPr>
        <w:t xml:space="preserve">Each SQL Azure subscription is bound to one SQL Azure server at the Microsoft data center. Your SQL Azure server is an abstraction that defines a grouping of databases. To enable load-balancing and high availability, databases associated with your SQL Azure server may reside on separate physical computers at the Microsoft data center. </w:t>
      </w:r>
    </w:p>
    <w:p w:rsidR="00355A01" w:rsidRPr="00355A01" w:rsidRDefault="00355A01" w:rsidP="00355A01">
      <w:pPr>
        <w:pStyle w:val="NormalWeb"/>
        <w:textAlignment w:val="top"/>
        <w:rPr>
          <w:rFonts w:ascii="Segoe UI" w:hAnsi="Segoe UI" w:cs="Segoe UI"/>
          <w:color w:val="000000"/>
          <w:sz w:val="20"/>
          <w:szCs w:val="20"/>
        </w:rPr>
      </w:pPr>
      <w:r w:rsidRPr="00355A01">
        <w:rPr>
          <w:rFonts w:ascii="Segoe UI" w:hAnsi="Segoe UI" w:cs="Segoe UI"/>
          <w:color w:val="000000"/>
          <w:sz w:val="20"/>
          <w:szCs w:val="20"/>
        </w:rPr>
        <w:t xml:space="preserve">For more information about provisioning, see </w:t>
      </w:r>
      <w:hyperlink r:id="rId14" w:history="1">
        <w:r w:rsidRPr="00355A01">
          <w:rPr>
            <w:rStyle w:val="Hyperlink"/>
            <w:rFonts w:ascii="Segoe UI" w:hAnsi="Segoe UI" w:cs="Segoe UI"/>
            <w:sz w:val="20"/>
            <w:szCs w:val="20"/>
          </w:rPr>
          <w:t>SQL Azure Provisioning Model</w:t>
        </w:r>
      </w:hyperlink>
      <w:r w:rsidRPr="00355A01">
        <w:rPr>
          <w:rFonts w:ascii="Segoe UI" w:hAnsi="Segoe UI" w:cs="Segoe UI"/>
          <w:color w:val="000000"/>
          <w:sz w:val="20"/>
          <w:szCs w:val="20"/>
        </w:rPr>
        <w:t>.</w:t>
      </w:r>
    </w:p>
    <w:p w:rsidR="00355A01" w:rsidRPr="00355A01" w:rsidRDefault="00355A01" w:rsidP="00355A01">
      <w:pPr>
        <w:pStyle w:val="Heading2"/>
      </w:pPr>
      <w:bookmarkStart w:id="5" w:name="_Toc243924154"/>
      <w:r w:rsidRPr="00355A01">
        <w:lastRenderedPageBreak/>
        <w:t>Transact-SQL Support</w:t>
      </w:r>
      <w:bookmarkEnd w:id="5"/>
    </w:p>
    <w:p w:rsidR="00355A01" w:rsidRPr="00355A01" w:rsidRDefault="00355A01" w:rsidP="00355A01">
      <w:pPr>
        <w:pStyle w:val="NormalWeb"/>
        <w:textAlignment w:val="top"/>
        <w:rPr>
          <w:rFonts w:ascii="Segoe UI" w:hAnsi="Segoe UI" w:cs="Segoe UI"/>
          <w:color w:val="000000"/>
          <w:sz w:val="20"/>
          <w:szCs w:val="20"/>
        </w:rPr>
      </w:pPr>
      <w:r w:rsidRPr="00355A01">
        <w:rPr>
          <w:rFonts w:ascii="Segoe UI" w:hAnsi="Segoe UI" w:cs="Segoe UI"/>
          <w:color w:val="000000"/>
          <w:sz w:val="20"/>
          <w:szCs w:val="20"/>
        </w:rPr>
        <w:t xml:space="preserve">Many SQL Server Transact-SQL statements have parameters that allow you to specify file groups or physical file paths. These types of parameters are not supported in SQL Azure because they have dependencies on the physical configuration. In such cases, the command is considered partially supported. For more information about Transact-SQL support, see </w:t>
      </w:r>
      <w:hyperlink r:id="rId15" w:history="1">
        <w:r w:rsidRPr="00355A01">
          <w:rPr>
            <w:rStyle w:val="Hyperlink"/>
            <w:rFonts w:ascii="Segoe UI" w:hAnsi="Segoe UI" w:cs="Segoe UI"/>
            <w:sz w:val="20"/>
            <w:szCs w:val="20"/>
          </w:rPr>
          <w:t>Transact-SQL Support (SQL Azure Database)</w:t>
        </w:r>
      </w:hyperlink>
      <w:r w:rsidRPr="00355A01">
        <w:rPr>
          <w:rFonts w:ascii="Segoe UI" w:hAnsi="Segoe UI" w:cs="Segoe UI"/>
          <w:color w:val="000000"/>
          <w:sz w:val="20"/>
          <w:szCs w:val="20"/>
        </w:rPr>
        <w:t>.</w:t>
      </w:r>
    </w:p>
    <w:p w:rsidR="00355A01" w:rsidRPr="00355A01" w:rsidRDefault="00355A01" w:rsidP="00355A01">
      <w:pPr>
        <w:pStyle w:val="Heading2"/>
      </w:pPr>
      <w:bookmarkStart w:id="6" w:name="_Toc243924155"/>
      <w:r w:rsidRPr="00355A01">
        <w:t>Features and Types</w:t>
      </w:r>
      <w:bookmarkEnd w:id="6"/>
    </w:p>
    <w:p w:rsidR="00355A01" w:rsidRPr="00355A01" w:rsidRDefault="00355A01" w:rsidP="00355A01">
      <w:pPr>
        <w:pStyle w:val="NormalWeb"/>
        <w:textAlignment w:val="top"/>
        <w:rPr>
          <w:rFonts w:ascii="Segoe UI" w:hAnsi="Segoe UI" w:cs="Segoe UI"/>
          <w:color w:val="000000"/>
          <w:sz w:val="20"/>
          <w:szCs w:val="20"/>
        </w:rPr>
      </w:pPr>
      <w:r w:rsidRPr="00355A01">
        <w:rPr>
          <w:rFonts w:ascii="Segoe UI" w:hAnsi="Segoe UI" w:cs="Segoe UI"/>
          <w:color w:val="000000"/>
          <w:sz w:val="20"/>
          <w:szCs w:val="20"/>
        </w:rPr>
        <w:t>SQL Azure does not support all of the features and data types found in SQL Server. Analysis Services, Replication, Reporting Services, and Service Broker are not currently provided as services on the SQL Azure.</w:t>
      </w:r>
    </w:p>
    <w:p w:rsidR="00355A01" w:rsidRPr="00355A01" w:rsidRDefault="00355A01" w:rsidP="00355A01">
      <w:pPr>
        <w:pStyle w:val="NormalWeb"/>
        <w:textAlignment w:val="top"/>
        <w:rPr>
          <w:rFonts w:ascii="Segoe UI" w:hAnsi="Segoe UI" w:cs="Segoe UI"/>
          <w:color w:val="000000"/>
          <w:sz w:val="20"/>
          <w:szCs w:val="20"/>
        </w:rPr>
      </w:pPr>
      <w:r w:rsidRPr="00355A01">
        <w:rPr>
          <w:rFonts w:ascii="Segoe UI" w:hAnsi="Segoe UI" w:cs="Segoe UI"/>
          <w:color w:val="000000"/>
          <w:sz w:val="20"/>
          <w:szCs w:val="20"/>
        </w:rPr>
        <w:t>Because SQL Azure performs the physical administration, any statements and options that attempt to directly manipulate physical resources will be blocked, such as Resource Governor, file group references, and some physical server DDL statements. It is also not possible to set server options and SQL trace flags or use the SQL Server Profiler or the Database Tuning Advisor utilities.</w:t>
      </w:r>
    </w:p>
    <w:p w:rsidR="00355A01" w:rsidRPr="00355A01" w:rsidRDefault="00355A01" w:rsidP="00355A01">
      <w:pPr>
        <w:pStyle w:val="Heading1"/>
      </w:pPr>
      <w:bookmarkStart w:id="7" w:name="_Toc243924156"/>
      <w:r w:rsidRPr="00355A01">
        <w:t xml:space="preserve">Key </w:t>
      </w:r>
      <w:r w:rsidRPr="00355A01">
        <w:rPr>
          <w:szCs w:val="16"/>
        </w:rPr>
        <w:t>Benefits</w:t>
      </w:r>
      <w:r w:rsidRPr="00355A01">
        <w:t xml:space="preserve"> of the Service</w:t>
      </w:r>
      <w:bookmarkEnd w:id="7"/>
      <w:r w:rsidRPr="00355A01">
        <w:t xml:space="preserve"> </w:t>
      </w:r>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The benefits of using SQL Azure are manifold. These include manageability, high availability, scalability, a familiar development model, and a relational data model. </w:t>
      </w:r>
    </w:p>
    <w:p w:rsidR="00355A01" w:rsidRPr="00355A01" w:rsidRDefault="00355A01" w:rsidP="00355A01">
      <w:pPr>
        <w:pStyle w:val="Heading2"/>
      </w:pPr>
      <w:bookmarkStart w:id="8" w:name="_Toc243924157"/>
      <w:r w:rsidRPr="00355A01">
        <w:t>Self-Managing</w:t>
      </w:r>
      <w:bookmarkEnd w:id="8"/>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SQL Azure offers the scale and functionality of an enterprise data center without the administrative overheads that are associated with on-premise instances of SQL Server. This self-managing capability enables organizations to provision data services for applications throughout the enterprise without adding to the support burden of the central IT department or distracting technology-savvy employees from their core tasks in order to maintain a departmental database application.</w:t>
      </w:r>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With SQL Azure, you can provision your data storage in minutes. This reduces the initial costs of data services by enabling you to provision only what you need. When your needs change, you can easily extend your cloud-based data storage to meet those needs.</w:t>
      </w:r>
    </w:p>
    <w:p w:rsidR="00355A01" w:rsidRPr="00355A01" w:rsidRDefault="00355A01" w:rsidP="00355A01">
      <w:pPr>
        <w:pStyle w:val="Heading2"/>
      </w:pPr>
      <w:bookmarkStart w:id="9" w:name="_Toc243924158"/>
      <w:r w:rsidRPr="00355A01">
        <w:t>High Availability</w:t>
      </w:r>
      <w:bookmarkEnd w:id="9"/>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SQL Azure is built on proven Windows Server and SQL Server technologies, and is flexible enough to cope with any variations in usage and load. The service replicates multiple redundant copies of your data to multiple physical servers to maintain data availability and business continuity. In the case of a hardware failure, SQL Azure provides automatic failover to optimize availability for your application.</w:t>
      </w:r>
    </w:p>
    <w:p w:rsidR="00355A01" w:rsidRPr="00355A01" w:rsidRDefault="00355A01" w:rsidP="00355A01">
      <w:pPr>
        <w:pStyle w:val="Heading2"/>
      </w:pPr>
      <w:bookmarkStart w:id="10" w:name="_Toc243924159"/>
      <w:r w:rsidRPr="00355A01">
        <w:t>Scalability</w:t>
      </w:r>
      <w:bookmarkEnd w:id="10"/>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A key advantage of SQL Azure is the ease with which you can scale your solution. After partitioning your data, the service scales as your data grows. A pay-as-you-grow pricing model makes sure that you only pay for the storage that you use, so that you can also scale down the service when you do not need it.</w:t>
      </w:r>
    </w:p>
    <w:p w:rsidR="00355A01" w:rsidRPr="00355A01" w:rsidRDefault="00355A01" w:rsidP="00355A01">
      <w:pPr>
        <w:pStyle w:val="Heading2"/>
      </w:pPr>
      <w:bookmarkStart w:id="11" w:name="_Toc243924160"/>
      <w:r w:rsidRPr="00355A01">
        <w:t>Familiar Development Model</w:t>
      </w:r>
      <w:bookmarkEnd w:id="11"/>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When developers create on-premise applications that use SQL Server, they use client libraries that use the tabular data stream (TDS) protocol to communicate between client and server. SQL Azure provides the </w:t>
      </w:r>
      <w:r w:rsidRPr="00355A01">
        <w:rPr>
          <w:rFonts w:ascii="Segoe UI" w:hAnsi="Segoe UI" w:cs="Segoe UI"/>
          <w:color w:val="000000"/>
          <w:sz w:val="20"/>
          <w:szCs w:val="20"/>
        </w:rPr>
        <w:lastRenderedPageBreak/>
        <w:t xml:space="preserve">same TDS interface as SQL Server so that you can use the same tools and libraries to build client applications for data that is stored in SQL Azure. For more about TDS, see </w:t>
      </w:r>
      <w:hyperlink r:id="rId16" w:history="1">
        <w:r w:rsidRPr="00355A01">
          <w:rPr>
            <w:rFonts w:ascii="Segoe UI" w:hAnsi="Segoe UI" w:cs="Segoe UI"/>
            <w:color w:val="0033CC"/>
            <w:sz w:val="20"/>
            <w:szCs w:val="20"/>
          </w:rPr>
          <w:t>Network Protocols and TDS Endpoints</w:t>
        </w:r>
      </w:hyperlink>
      <w:r w:rsidRPr="00355A01">
        <w:rPr>
          <w:rFonts w:ascii="Segoe UI" w:hAnsi="Segoe UI" w:cs="Segoe UI"/>
          <w:color w:val="000000"/>
          <w:sz w:val="20"/>
          <w:szCs w:val="20"/>
        </w:rPr>
        <w:t xml:space="preserve">. </w:t>
      </w:r>
    </w:p>
    <w:p w:rsidR="00355A01" w:rsidRPr="00355A01" w:rsidRDefault="00355A01" w:rsidP="00355A01">
      <w:pPr>
        <w:pStyle w:val="Heading2"/>
      </w:pPr>
      <w:bookmarkStart w:id="12" w:name="_Toc243924161"/>
      <w:r w:rsidRPr="00355A01">
        <w:t>Relational Data Model</w:t>
      </w:r>
      <w:bookmarkEnd w:id="12"/>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SQL Azure will seem very familiar to developers and administrators because data is stored in SQL Azure just like it is stored in SQL Server, by using Transact-SQL. Conceptually similar to an on-premise instance of SQL Server, a SQL Azure server is logical group of databases that acts as an authorization boundary. </w:t>
      </w:r>
    </w:p>
    <w:p w:rsidR="00355A01" w:rsidRP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 xml:space="preserve">Within each SQL Azure server, you can create multiple databases that have tables, views, stored procedures, indices, and other familiar database objects. This data model makes good use of your existing relational database design and Transact-SQL programming skills, and simplifies the process of migrating existing on-premise database applications to SQL Azure. For more about Transact-SQL and its relationship to SQL Azure, see </w:t>
      </w:r>
      <w:hyperlink r:id="rId17" w:history="1">
        <w:r w:rsidRPr="00355A01">
          <w:rPr>
            <w:rFonts w:ascii="Segoe UI" w:hAnsi="Segoe UI" w:cs="Segoe UI"/>
            <w:color w:val="0033CC"/>
            <w:sz w:val="20"/>
            <w:szCs w:val="20"/>
          </w:rPr>
          <w:t>Transact-SQL Support (SQL Azure Database)</w:t>
        </w:r>
      </w:hyperlink>
      <w:r w:rsidRPr="00355A01">
        <w:rPr>
          <w:rFonts w:ascii="Segoe UI" w:hAnsi="Segoe UI" w:cs="Segoe UI"/>
          <w:color w:val="000000"/>
          <w:sz w:val="20"/>
          <w:szCs w:val="20"/>
        </w:rPr>
        <w:t>.</w:t>
      </w:r>
    </w:p>
    <w:p w:rsidR="00355A01" w:rsidRDefault="00355A01" w:rsidP="00355A01">
      <w:pPr>
        <w:spacing w:after="150" w:line="240" w:lineRule="auto"/>
        <w:textAlignment w:val="top"/>
        <w:rPr>
          <w:rFonts w:ascii="Segoe UI" w:hAnsi="Segoe UI" w:cs="Segoe UI"/>
          <w:color w:val="000000"/>
          <w:sz w:val="20"/>
          <w:szCs w:val="20"/>
        </w:rPr>
      </w:pPr>
      <w:r w:rsidRPr="00355A01">
        <w:rPr>
          <w:rFonts w:ascii="Segoe UI" w:hAnsi="Segoe UI" w:cs="Segoe UI"/>
          <w:color w:val="000000"/>
          <w:sz w:val="20"/>
          <w:szCs w:val="20"/>
        </w:rPr>
        <w:t>SQL Azure servers and databases are virtual objects that do not correspond to physical servers and databases. By insulating you from the physical implementation, SQL Azure enables you to spend time on your database design.</w:t>
      </w:r>
    </w:p>
    <w:p w:rsidR="007B50F6" w:rsidRDefault="007B50F6">
      <w:pPr>
        <w:spacing w:after="0" w:line="240" w:lineRule="auto"/>
        <w:rPr>
          <w:rFonts w:ascii="Segoe UI" w:hAnsi="Segoe UI" w:cs="Segoe UI"/>
          <w:color w:val="000000"/>
          <w:sz w:val="20"/>
          <w:szCs w:val="20"/>
        </w:rPr>
      </w:pPr>
      <w:r>
        <w:rPr>
          <w:rFonts w:ascii="Segoe UI" w:hAnsi="Segoe UI" w:cs="Segoe UI"/>
          <w:color w:val="000000"/>
          <w:sz w:val="20"/>
          <w:szCs w:val="20"/>
        </w:rPr>
        <w:br w:type="page"/>
      </w:r>
    </w:p>
    <w:tbl>
      <w:tblPr>
        <w:tblW w:w="5000" w:type="pct"/>
        <w:tblCellSpacing w:w="15" w:type="dxa"/>
        <w:tblCellMar>
          <w:top w:w="15" w:type="dxa"/>
          <w:left w:w="15" w:type="dxa"/>
          <w:bottom w:w="15" w:type="dxa"/>
          <w:right w:w="15" w:type="dxa"/>
        </w:tblCellMar>
        <w:tblLook w:val="04A0"/>
      </w:tblPr>
      <w:tblGrid>
        <w:gridCol w:w="9360"/>
        <w:gridCol w:w="90"/>
      </w:tblGrid>
      <w:tr w:rsidR="007B50F6" w:rsidTr="0055106A">
        <w:trPr>
          <w:tblCellSpacing w:w="15" w:type="dxa"/>
        </w:trPr>
        <w:tc>
          <w:tcPr>
            <w:tcW w:w="0" w:type="auto"/>
            <w:vAlign w:val="center"/>
            <w:hideMark/>
          </w:tcPr>
          <w:p w:rsidR="007B50F6" w:rsidRDefault="007B50F6" w:rsidP="0055106A">
            <w:pPr>
              <w:pStyle w:val="Heading1"/>
              <w:rPr>
                <w:sz w:val="24"/>
                <w:szCs w:val="24"/>
              </w:rPr>
            </w:pPr>
            <w:bookmarkStart w:id="13" w:name="_Toc243924162"/>
            <w:r>
              <w:lastRenderedPageBreak/>
              <w:t>Transact-SQL Support (SQL Azure Database)</w:t>
            </w:r>
            <w:bookmarkEnd w:id="13"/>
            <w:r>
              <w:t xml:space="preserve"> </w:t>
            </w:r>
          </w:p>
        </w:tc>
        <w:tc>
          <w:tcPr>
            <w:tcW w:w="0" w:type="auto"/>
            <w:vAlign w:val="center"/>
            <w:hideMark/>
          </w:tcPr>
          <w:p w:rsidR="007B50F6" w:rsidRDefault="007B50F6" w:rsidP="0055106A">
            <w:pPr>
              <w:rPr>
                <w:sz w:val="24"/>
                <w:szCs w:val="24"/>
              </w:rPr>
            </w:pPr>
          </w:p>
        </w:tc>
      </w:tr>
      <w:tr w:rsidR="007B50F6" w:rsidTr="0055106A">
        <w:trPr>
          <w:tblCellSpacing w:w="15" w:type="dxa"/>
        </w:trPr>
        <w:tc>
          <w:tcPr>
            <w:tcW w:w="0" w:type="auto"/>
            <w:vAlign w:val="center"/>
            <w:hideMark/>
          </w:tcPr>
          <w:p w:rsidR="007B50F6" w:rsidRDefault="007B50F6" w:rsidP="0055106A">
            <w:pPr>
              <w:rPr>
                <w:sz w:val="24"/>
                <w:szCs w:val="24"/>
              </w:rPr>
            </w:pPr>
          </w:p>
        </w:tc>
        <w:tc>
          <w:tcPr>
            <w:tcW w:w="0" w:type="auto"/>
            <w:vAlign w:val="center"/>
            <w:hideMark/>
          </w:tcPr>
          <w:p w:rsidR="007B50F6" w:rsidRDefault="007B50F6" w:rsidP="0055106A">
            <w:pPr>
              <w:rPr>
                <w:sz w:val="20"/>
                <w:szCs w:val="20"/>
              </w:rPr>
            </w:pPr>
          </w:p>
        </w:tc>
      </w:tr>
    </w:tbl>
    <w:p w:rsidR="007B50F6" w:rsidRDefault="007B50F6" w:rsidP="007B50F6">
      <w:pPr>
        <w:shd w:val="clear" w:color="auto" w:fill="FFFFFF"/>
        <w:rPr>
          <w:rFonts w:ascii="Segoe UI" w:hAnsi="Segoe UI" w:cs="Segoe UI"/>
          <w:vanish/>
          <w:color w:val="000000"/>
          <w:sz w:val="20"/>
          <w:szCs w:val="20"/>
        </w:rPr>
      </w:pPr>
      <w:r>
        <w:rPr>
          <w:rFonts w:ascii="Segoe UI" w:hAnsi="Segoe UI" w:cs="Segoe UI"/>
          <w:vanish/>
          <w:color w:val="000000"/>
          <w:sz w:val="20"/>
          <w:szCs w:val="20"/>
        </w:rPr>
        <w:t xml:space="preserve">SQL Azure </w:t>
      </w:r>
    </w:p>
    <w:p w:rsidR="007B50F6" w:rsidRDefault="007B50F6" w:rsidP="007B50F6">
      <w:pPr>
        <w:shd w:val="clear" w:color="auto" w:fill="FFFFFF"/>
        <w:rPr>
          <w:rFonts w:ascii="Segoe UI" w:hAnsi="Segoe UI" w:cs="Segoe UI"/>
          <w:b/>
          <w:bCs/>
          <w:vanish/>
          <w:color w:val="000000"/>
          <w:sz w:val="38"/>
          <w:szCs w:val="38"/>
        </w:rPr>
      </w:pPr>
      <w:r>
        <w:rPr>
          <w:rFonts w:ascii="Segoe UI" w:hAnsi="Segoe UI" w:cs="Segoe UI"/>
          <w:b/>
          <w:bCs/>
          <w:vanish/>
          <w:color w:val="000000"/>
          <w:sz w:val="38"/>
          <w:szCs w:val="38"/>
        </w:rPr>
        <w:t xml:space="preserve">Transact-SQL Support (SQL Azure Database) </w:t>
      </w:r>
    </w:p>
    <w:p w:rsidR="007B50F6" w:rsidRDefault="007B50F6" w:rsidP="007B50F6">
      <w:pPr>
        <w:pStyle w:val="NormalWeb"/>
        <w:shd w:val="clear" w:color="auto" w:fill="FFFFFF"/>
        <w:rPr>
          <w:rFonts w:ascii="Segoe UI" w:hAnsi="Segoe UI" w:cs="Segoe UI"/>
          <w:color w:val="000000"/>
          <w:sz w:val="20"/>
          <w:szCs w:val="20"/>
        </w:rPr>
      </w:pPr>
      <w:r>
        <w:rPr>
          <w:rFonts w:ascii="Segoe UI" w:hAnsi="Segoe UI" w:cs="Segoe UI"/>
          <w:color w:val="000000"/>
          <w:sz w:val="20"/>
          <w:szCs w:val="20"/>
        </w:rPr>
        <w:t xml:space="preserve">Transact-SQL is a language that contains commands used to administer instances of SQL Server including creating and managing all objects in an instance of SQL Server, and inserting, retrieving, modifying, and deleting all data in tables. Applications can communicate with an instance of SQL Server by sending Transact-SQL statements to the server. </w:t>
      </w:r>
    </w:p>
    <w:p w:rsidR="007B50F6" w:rsidRDefault="007B50F6" w:rsidP="007B50F6">
      <w:pPr>
        <w:pStyle w:val="NormalWeb"/>
        <w:shd w:val="clear" w:color="auto" w:fill="FFFFFF"/>
        <w:rPr>
          <w:rFonts w:ascii="Segoe UI" w:hAnsi="Segoe UI" w:cs="Segoe UI"/>
          <w:color w:val="000000"/>
          <w:sz w:val="20"/>
          <w:szCs w:val="20"/>
        </w:rPr>
      </w:pPr>
      <w:r>
        <w:rPr>
          <w:rFonts w:ascii="Segoe UI" w:hAnsi="Segoe UI" w:cs="Segoe UI"/>
          <w:color w:val="000000"/>
          <w:sz w:val="20"/>
          <w:szCs w:val="20"/>
        </w:rPr>
        <w:t xml:space="preserve">Microsoft SQL Azure Database supports a subset of Transact-SQL for SQL Server 2008. </w:t>
      </w:r>
    </w:p>
    <w:p w:rsidR="007B50F6" w:rsidRDefault="007B50F6" w:rsidP="007B50F6">
      <w:pPr>
        <w:pStyle w:val="NormalWeb"/>
        <w:shd w:val="clear" w:color="auto" w:fill="FFFFFF"/>
        <w:rPr>
          <w:rFonts w:ascii="Segoe UI" w:hAnsi="Segoe UI" w:cs="Segoe UI"/>
          <w:color w:val="000000"/>
          <w:sz w:val="20"/>
          <w:szCs w:val="20"/>
        </w:rPr>
      </w:pPr>
      <w:r>
        <w:rPr>
          <w:rFonts w:ascii="Segoe UI" w:hAnsi="Segoe UI" w:cs="Segoe UI"/>
          <w:color w:val="000000"/>
          <w:sz w:val="20"/>
          <w:szCs w:val="20"/>
        </w:rPr>
        <w:t xml:space="preserve">The support for Transact-SQL reference in SQL Azure can be described in three main categories: </w:t>
      </w:r>
    </w:p>
    <w:p w:rsidR="007B50F6" w:rsidRDefault="007B50F6" w:rsidP="007B50F6">
      <w:pPr>
        <w:pStyle w:val="NormalWeb"/>
        <w:shd w:val="clear" w:color="auto" w:fill="FFFFFF"/>
        <w:rPr>
          <w:rFonts w:ascii="Segoe UI" w:hAnsi="Segoe UI" w:cs="Segoe UI"/>
          <w:color w:val="000000"/>
          <w:sz w:val="20"/>
          <w:szCs w:val="20"/>
        </w:rPr>
      </w:pPr>
      <w:r>
        <w:rPr>
          <w:rFonts w:ascii="Segoe UI" w:hAnsi="Segoe UI" w:cs="Segoe UI"/>
          <w:color w:val="000000"/>
          <w:sz w:val="20"/>
          <w:szCs w:val="20"/>
        </w:rPr>
        <w:t>The following table summarizes the Transact-SQL support provided by SQL Azure Database at PDC 2009:</w:t>
      </w:r>
    </w:p>
    <w:tbl>
      <w:tblPr>
        <w:tblW w:w="9563" w:type="dxa"/>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tblPr>
      <w:tblGrid>
        <w:gridCol w:w="5486"/>
        <w:gridCol w:w="4077"/>
      </w:tblGrid>
      <w:tr w:rsidR="007B50F6" w:rsidTr="0055106A">
        <w:tc>
          <w:tcPr>
            <w:tcW w:w="0" w:type="auto"/>
            <w:shd w:val="clear" w:color="auto" w:fill="E5E5E5"/>
            <w:tcMar>
              <w:top w:w="0" w:type="dxa"/>
              <w:left w:w="195" w:type="dxa"/>
              <w:bottom w:w="0" w:type="dxa"/>
              <w:right w:w="0" w:type="dxa"/>
            </w:tcMar>
            <w:vAlign w:val="center"/>
            <w:hideMark/>
          </w:tcPr>
          <w:p w:rsidR="007B50F6" w:rsidRDefault="007B50F6" w:rsidP="007B50F6">
            <w:pPr>
              <w:spacing w:before="75" w:after="75"/>
              <w:rPr>
                <w:b/>
                <w:bCs/>
              </w:rPr>
            </w:pPr>
            <w:r>
              <w:rPr>
                <w:b/>
                <w:bCs/>
              </w:rPr>
              <w:t xml:space="preserve">Transact-SQL Features Supported </w:t>
            </w:r>
          </w:p>
        </w:tc>
        <w:tc>
          <w:tcPr>
            <w:tcW w:w="0" w:type="auto"/>
            <w:shd w:val="clear" w:color="auto" w:fill="E5E5E5"/>
            <w:tcMar>
              <w:top w:w="0" w:type="dxa"/>
              <w:left w:w="195" w:type="dxa"/>
              <w:bottom w:w="0" w:type="dxa"/>
              <w:right w:w="0" w:type="dxa"/>
            </w:tcMar>
            <w:vAlign w:val="center"/>
            <w:hideMark/>
          </w:tcPr>
          <w:p w:rsidR="007B50F6" w:rsidRDefault="007B50F6" w:rsidP="0055106A">
            <w:pPr>
              <w:spacing w:before="75" w:after="75"/>
              <w:rPr>
                <w:b/>
                <w:bCs/>
              </w:rPr>
            </w:pPr>
            <w:r>
              <w:rPr>
                <w:b/>
                <w:bCs/>
              </w:rPr>
              <w:t>Transact-SQL Features Unsupported</w:t>
            </w:r>
          </w:p>
        </w:tc>
      </w:tr>
      <w:tr w:rsidR="007B50F6" w:rsidTr="0055106A">
        <w:tc>
          <w:tcPr>
            <w:tcW w:w="0" w:type="auto"/>
            <w:tcBorders>
              <w:top w:val="single" w:sz="6" w:space="0" w:color="BBBBBB"/>
              <w:left w:val="single" w:sz="6" w:space="0" w:color="BBBBBB"/>
              <w:bottom w:val="single" w:sz="6" w:space="0" w:color="BBBBBB"/>
              <w:right w:val="single" w:sz="6" w:space="0" w:color="BBBBBB"/>
            </w:tcBorders>
            <w:tcMar>
              <w:top w:w="195" w:type="dxa"/>
              <w:left w:w="195" w:type="dxa"/>
              <w:bottom w:w="195" w:type="dxa"/>
              <w:right w:w="195" w:type="dxa"/>
            </w:tcMar>
            <w:vAlign w:val="center"/>
            <w:hideMark/>
          </w:tcPr>
          <w:p w:rsidR="007B50F6" w:rsidRDefault="007B50F6" w:rsidP="007B50F6">
            <w:pPr>
              <w:numPr>
                <w:ilvl w:val="0"/>
                <w:numId w:val="30"/>
              </w:numPr>
              <w:spacing w:before="100" w:beforeAutospacing="1" w:after="45" w:line="240" w:lineRule="auto"/>
              <w:rPr>
                <w:color w:val="000000"/>
              </w:rPr>
            </w:pPr>
            <w:r>
              <w:rPr>
                <w:color w:val="000000"/>
              </w:rPr>
              <w:t>Constants</w:t>
            </w:r>
          </w:p>
          <w:p w:rsidR="007B50F6" w:rsidRDefault="007B50F6" w:rsidP="007B50F6">
            <w:pPr>
              <w:numPr>
                <w:ilvl w:val="0"/>
                <w:numId w:val="30"/>
              </w:numPr>
              <w:spacing w:before="100" w:beforeAutospacing="1" w:after="45" w:line="240" w:lineRule="auto"/>
              <w:rPr>
                <w:color w:val="000000"/>
              </w:rPr>
            </w:pPr>
            <w:r>
              <w:rPr>
                <w:color w:val="000000"/>
              </w:rPr>
              <w:t>Constraints</w:t>
            </w:r>
          </w:p>
          <w:p w:rsidR="007B50F6" w:rsidRDefault="007B50F6" w:rsidP="007B50F6">
            <w:pPr>
              <w:numPr>
                <w:ilvl w:val="0"/>
                <w:numId w:val="30"/>
              </w:numPr>
              <w:spacing w:before="100" w:beforeAutospacing="1" w:after="45" w:line="240" w:lineRule="auto"/>
              <w:rPr>
                <w:color w:val="000000"/>
              </w:rPr>
            </w:pPr>
            <w:r>
              <w:rPr>
                <w:color w:val="000000"/>
              </w:rPr>
              <w:t>Cursors</w:t>
            </w:r>
          </w:p>
          <w:p w:rsidR="007B50F6" w:rsidRDefault="007B50F6" w:rsidP="007B50F6">
            <w:pPr>
              <w:numPr>
                <w:ilvl w:val="0"/>
                <w:numId w:val="30"/>
              </w:numPr>
              <w:spacing w:before="100" w:beforeAutospacing="1" w:after="45" w:line="240" w:lineRule="auto"/>
              <w:rPr>
                <w:color w:val="000000"/>
              </w:rPr>
            </w:pPr>
            <w:r>
              <w:rPr>
                <w:color w:val="000000"/>
              </w:rPr>
              <w:t>Index management and rebuilding indexes</w:t>
            </w:r>
          </w:p>
          <w:p w:rsidR="007B50F6" w:rsidRDefault="007B50F6" w:rsidP="007B50F6">
            <w:pPr>
              <w:numPr>
                <w:ilvl w:val="0"/>
                <w:numId w:val="30"/>
              </w:numPr>
              <w:spacing w:before="100" w:beforeAutospacing="1" w:after="45" w:line="240" w:lineRule="auto"/>
              <w:rPr>
                <w:color w:val="000000"/>
              </w:rPr>
            </w:pPr>
            <w:r>
              <w:rPr>
                <w:color w:val="000000"/>
              </w:rPr>
              <w:t>Local temporary tables</w:t>
            </w:r>
          </w:p>
          <w:p w:rsidR="007B50F6" w:rsidRDefault="007B50F6" w:rsidP="007B50F6">
            <w:pPr>
              <w:numPr>
                <w:ilvl w:val="0"/>
                <w:numId w:val="30"/>
              </w:numPr>
              <w:spacing w:before="100" w:beforeAutospacing="1" w:after="45" w:line="240" w:lineRule="auto"/>
              <w:rPr>
                <w:color w:val="000000"/>
              </w:rPr>
            </w:pPr>
            <w:r>
              <w:rPr>
                <w:color w:val="000000"/>
              </w:rPr>
              <w:t>Reserved keywords</w:t>
            </w:r>
          </w:p>
          <w:p w:rsidR="007B50F6" w:rsidRDefault="007B50F6" w:rsidP="007B50F6">
            <w:pPr>
              <w:numPr>
                <w:ilvl w:val="0"/>
                <w:numId w:val="30"/>
              </w:numPr>
              <w:spacing w:before="100" w:beforeAutospacing="1" w:after="45" w:line="240" w:lineRule="auto"/>
              <w:rPr>
                <w:color w:val="000000"/>
              </w:rPr>
            </w:pPr>
            <w:r>
              <w:rPr>
                <w:color w:val="000000"/>
              </w:rPr>
              <w:t>Stored procedures</w:t>
            </w:r>
          </w:p>
          <w:p w:rsidR="007B50F6" w:rsidRDefault="007B50F6" w:rsidP="007B50F6">
            <w:pPr>
              <w:numPr>
                <w:ilvl w:val="0"/>
                <w:numId w:val="30"/>
              </w:numPr>
              <w:spacing w:before="100" w:beforeAutospacing="1" w:after="45" w:line="240" w:lineRule="auto"/>
              <w:rPr>
                <w:color w:val="000000"/>
              </w:rPr>
            </w:pPr>
            <w:r>
              <w:rPr>
                <w:color w:val="000000"/>
              </w:rPr>
              <w:t>Statistics management</w:t>
            </w:r>
          </w:p>
          <w:p w:rsidR="007B50F6" w:rsidRDefault="007B50F6" w:rsidP="007B50F6">
            <w:pPr>
              <w:numPr>
                <w:ilvl w:val="0"/>
                <w:numId w:val="30"/>
              </w:numPr>
              <w:spacing w:before="100" w:beforeAutospacing="1" w:after="45" w:line="240" w:lineRule="auto"/>
              <w:rPr>
                <w:color w:val="000000"/>
              </w:rPr>
            </w:pPr>
            <w:r>
              <w:rPr>
                <w:color w:val="000000"/>
              </w:rPr>
              <w:t>Transactions</w:t>
            </w:r>
          </w:p>
          <w:p w:rsidR="007B50F6" w:rsidRDefault="007B50F6" w:rsidP="007B50F6">
            <w:pPr>
              <w:numPr>
                <w:ilvl w:val="0"/>
                <w:numId w:val="30"/>
              </w:numPr>
              <w:spacing w:before="100" w:beforeAutospacing="1" w:after="45" w:line="240" w:lineRule="auto"/>
              <w:rPr>
                <w:color w:val="000000"/>
              </w:rPr>
            </w:pPr>
            <w:r>
              <w:rPr>
                <w:color w:val="000000"/>
              </w:rPr>
              <w:t>Triggers</w:t>
            </w:r>
          </w:p>
          <w:p w:rsidR="007B50F6" w:rsidRDefault="007B50F6" w:rsidP="007B50F6">
            <w:pPr>
              <w:numPr>
                <w:ilvl w:val="0"/>
                <w:numId w:val="30"/>
              </w:numPr>
              <w:spacing w:before="100" w:beforeAutospacing="1" w:after="45" w:line="240" w:lineRule="auto"/>
              <w:rPr>
                <w:color w:val="000000"/>
              </w:rPr>
            </w:pPr>
            <w:r>
              <w:rPr>
                <w:color w:val="000000"/>
              </w:rPr>
              <w:t>Tables, joins, and table variables</w:t>
            </w:r>
          </w:p>
          <w:p w:rsidR="007B50F6" w:rsidRDefault="007B50F6" w:rsidP="007B50F6">
            <w:pPr>
              <w:numPr>
                <w:ilvl w:val="0"/>
                <w:numId w:val="30"/>
              </w:numPr>
              <w:spacing w:before="100" w:beforeAutospacing="1" w:after="45" w:line="240" w:lineRule="auto"/>
              <w:rPr>
                <w:color w:val="000000"/>
              </w:rPr>
            </w:pPr>
            <w:r>
              <w:rPr>
                <w:color w:val="000000"/>
              </w:rPr>
              <w:t xml:space="preserve">Transact-SQL language elements such as </w:t>
            </w:r>
          </w:p>
          <w:p w:rsidR="007B50F6" w:rsidRDefault="007B50F6" w:rsidP="007B50F6">
            <w:pPr>
              <w:numPr>
                <w:ilvl w:val="1"/>
                <w:numId w:val="30"/>
              </w:numPr>
              <w:spacing w:before="100" w:beforeAutospacing="1" w:after="45" w:line="240" w:lineRule="auto"/>
              <w:rPr>
                <w:color w:val="000000"/>
              </w:rPr>
            </w:pPr>
            <w:r>
              <w:rPr>
                <w:color w:val="000000"/>
              </w:rPr>
              <w:t>Create/drop databases</w:t>
            </w:r>
          </w:p>
          <w:p w:rsidR="007B50F6" w:rsidRDefault="007B50F6" w:rsidP="007B50F6">
            <w:pPr>
              <w:numPr>
                <w:ilvl w:val="1"/>
                <w:numId w:val="30"/>
              </w:numPr>
              <w:spacing w:before="100" w:beforeAutospacing="1" w:after="45" w:line="240" w:lineRule="auto"/>
              <w:rPr>
                <w:color w:val="000000"/>
              </w:rPr>
            </w:pPr>
            <w:r>
              <w:rPr>
                <w:color w:val="000000"/>
              </w:rPr>
              <w:t>Create/alter/drop tables</w:t>
            </w:r>
          </w:p>
          <w:p w:rsidR="007B50F6" w:rsidRDefault="007B50F6" w:rsidP="007B50F6">
            <w:pPr>
              <w:numPr>
                <w:ilvl w:val="1"/>
                <w:numId w:val="30"/>
              </w:numPr>
              <w:spacing w:before="100" w:beforeAutospacing="1" w:after="45" w:line="240" w:lineRule="auto"/>
              <w:rPr>
                <w:color w:val="000000"/>
              </w:rPr>
            </w:pPr>
            <w:r>
              <w:rPr>
                <w:color w:val="000000"/>
              </w:rPr>
              <w:t>Create/alter/drop users and logins</w:t>
            </w:r>
          </w:p>
          <w:p w:rsidR="007B50F6" w:rsidRDefault="007B50F6" w:rsidP="007B50F6">
            <w:pPr>
              <w:numPr>
                <w:ilvl w:val="1"/>
                <w:numId w:val="30"/>
              </w:numPr>
              <w:spacing w:before="100" w:beforeAutospacing="1" w:after="45" w:line="240" w:lineRule="auto"/>
              <w:rPr>
                <w:color w:val="000000"/>
              </w:rPr>
            </w:pPr>
            <w:r>
              <w:rPr>
                <w:color w:val="000000"/>
              </w:rPr>
              <w:t>and so on.</w:t>
            </w:r>
          </w:p>
          <w:p w:rsidR="007B50F6" w:rsidRDefault="007B50F6" w:rsidP="007B50F6">
            <w:pPr>
              <w:numPr>
                <w:ilvl w:val="0"/>
                <w:numId w:val="30"/>
              </w:numPr>
              <w:spacing w:before="100" w:beforeAutospacing="1" w:after="45" w:line="240" w:lineRule="auto"/>
              <w:rPr>
                <w:color w:val="000000"/>
              </w:rPr>
            </w:pPr>
            <w:r>
              <w:rPr>
                <w:color w:val="000000"/>
              </w:rPr>
              <w:t>User-defined functions</w:t>
            </w:r>
          </w:p>
          <w:p w:rsidR="007B50F6" w:rsidRDefault="007B50F6" w:rsidP="007B50F6">
            <w:pPr>
              <w:numPr>
                <w:ilvl w:val="0"/>
                <w:numId w:val="30"/>
              </w:numPr>
              <w:spacing w:before="100" w:beforeAutospacing="1" w:after="45" w:line="240" w:lineRule="auto"/>
              <w:rPr>
                <w:color w:val="000000"/>
                <w:sz w:val="24"/>
                <w:szCs w:val="24"/>
              </w:rPr>
            </w:pPr>
            <w:r>
              <w:rPr>
                <w:color w:val="000000"/>
              </w:rPr>
              <w:t>Views, including sys.synonyms view</w:t>
            </w:r>
          </w:p>
        </w:tc>
        <w:tc>
          <w:tcPr>
            <w:tcW w:w="0" w:type="auto"/>
            <w:tcBorders>
              <w:top w:val="single" w:sz="6" w:space="0" w:color="BBBBBB"/>
              <w:left w:val="single" w:sz="6" w:space="0" w:color="BBBBBB"/>
              <w:bottom w:val="single" w:sz="6" w:space="0" w:color="BBBBBB"/>
              <w:right w:val="single" w:sz="6" w:space="0" w:color="BBBBBB"/>
            </w:tcBorders>
            <w:tcMar>
              <w:top w:w="195" w:type="dxa"/>
              <w:left w:w="195" w:type="dxa"/>
              <w:bottom w:w="195" w:type="dxa"/>
              <w:right w:w="195" w:type="dxa"/>
            </w:tcMar>
            <w:vAlign w:val="center"/>
            <w:hideMark/>
          </w:tcPr>
          <w:p w:rsidR="007B50F6" w:rsidRDefault="007B50F6" w:rsidP="007B50F6">
            <w:pPr>
              <w:numPr>
                <w:ilvl w:val="0"/>
                <w:numId w:val="30"/>
              </w:numPr>
              <w:spacing w:before="100" w:beforeAutospacing="1" w:after="45" w:line="240" w:lineRule="auto"/>
              <w:rPr>
                <w:color w:val="000000"/>
              </w:rPr>
            </w:pPr>
            <w:r>
              <w:rPr>
                <w:color w:val="000000"/>
              </w:rPr>
              <w:t>Common Language Runtime (CLR)</w:t>
            </w:r>
          </w:p>
          <w:p w:rsidR="007B50F6" w:rsidRDefault="007B50F6" w:rsidP="007B50F6">
            <w:pPr>
              <w:numPr>
                <w:ilvl w:val="0"/>
                <w:numId w:val="30"/>
              </w:numPr>
              <w:spacing w:before="100" w:beforeAutospacing="1" w:after="45" w:line="240" w:lineRule="auto"/>
              <w:rPr>
                <w:color w:val="000000"/>
              </w:rPr>
            </w:pPr>
            <w:r>
              <w:rPr>
                <w:color w:val="000000"/>
              </w:rPr>
              <w:t>Database file placement</w:t>
            </w:r>
          </w:p>
          <w:p w:rsidR="007B50F6" w:rsidRDefault="007B50F6" w:rsidP="007B50F6">
            <w:pPr>
              <w:numPr>
                <w:ilvl w:val="0"/>
                <w:numId w:val="30"/>
              </w:numPr>
              <w:spacing w:before="100" w:beforeAutospacing="1" w:after="45" w:line="240" w:lineRule="auto"/>
              <w:rPr>
                <w:color w:val="000000"/>
              </w:rPr>
            </w:pPr>
            <w:r>
              <w:rPr>
                <w:color w:val="000000"/>
              </w:rPr>
              <w:t>Database mirroring</w:t>
            </w:r>
          </w:p>
          <w:p w:rsidR="007B50F6" w:rsidRDefault="007B50F6" w:rsidP="007B50F6">
            <w:pPr>
              <w:numPr>
                <w:ilvl w:val="0"/>
                <w:numId w:val="30"/>
              </w:numPr>
              <w:spacing w:before="100" w:beforeAutospacing="1" w:after="45" w:line="240" w:lineRule="auto"/>
              <w:rPr>
                <w:color w:val="000000"/>
              </w:rPr>
            </w:pPr>
            <w:r>
              <w:rPr>
                <w:color w:val="000000"/>
              </w:rPr>
              <w:t>Distributed queries</w:t>
            </w:r>
          </w:p>
          <w:p w:rsidR="007B50F6" w:rsidRDefault="007B50F6" w:rsidP="007B50F6">
            <w:pPr>
              <w:numPr>
                <w:ilvl w:val="0"/>
                <w:numId w:val="30"/>
              </w:numPr>
              <w:spacing w:before="100" w:beforeAutospacing="1" w:after="45" w:line="240" w:lineRule="auto"/>
              <w:rPr>
                <w:color w:val="000000"/>
              </w:rPr>
            </w:pPr>
            <w:r>
              <w:rPr>
                <w:color w:val="000000"/>
              </w:rPr>
              <w:t>Distributed transactions</w:t>
            </w:r>
          </w:p>
          <w:p w:rsidR="007B50F6" w:rsidRDefault="007B50F6" w:rsidP="007B50F6">
            <w:pPr>
              <w:numPr>
                <w:ilvl w:val="0"/>
                <w:numId w:val="30"/>
              </w:numPr>
              <w:spacing w:before="100" w:beforeAutospacing="1" w:after="45" w:line="240" w:lineRule="auto"/>
              <w:rPr>
                <w:color w:val="000000"/>
              </w:rPr>
            </w:pPr>
            <w:r>
              <w:rPr>
                <w:color w:val="000000"/>
              </w:rPr>
              <w:t>Filegroup management</w:t>
            </w:r>
          </w:p>
          <w:p w:rsidR="007B50F6" w:rsidRDefault="007B50F6" w:rsidP="007B50F6">
            <w:pPr>
              <w:numPr>
                <w:ilvl w:val="0"/>
                <w:numId w:val="30"/>
              </w:numPr>
              <w:spacing w:before="100" w:beforeAutospacing="1" w:after="45" w:line="240" w:lineRule="auto"/>
              <w:rPr>
                <w:color w:val="000000"/>
              </w:rPr>
            </w:pPr>
            <w:r>
              <w:rPr>
                <w:color w:val="000000"/>
              </w:rPr>
              <w:t>Global temporary tables</w:t>
            </w:r>
          </w:p>
          <w:p w:rsidR="007B50F6" w:rsidRDefault="007B50F6" w:rsidP="007B50F6">
            <w:pPr>
              <w:numPr>
                <w:ilvl w:val="0"/>
                <w:numId w:val="30"/>
              </w:numPr>
              <w:spacing w:before="100" w:beforeAutospacing="1" w:after="45" w:line="240" w:lineRule="auto"/>
              <w:rPr>
                <w:color w:val="000000"/>
              </w:rPr>
            </w:pPr>
            <w:r>
              <w:rPr>
                <w:color w:val="000000"/>
              </w:rPr>
              <w:t>Spatial data and indexes</w:t>
            </w:r>
          </w:p>
          <w:p w:rsidR="007B50F6" w:rsidRDefault="007B50F6" w:rsidP="007B50F6">
            <w:pPr>
              <w:numPr>
                <w:ilvl w:val="0"/>
                <w:numId w:val="30"/>
              </w:numPr>
              <w:spacing w:before="100" w:beforeAutospacing="1" w:after="45" w:line="240" w:lineRule="auto"/>
              <w:rPr>
                <w:color w:val="000000"/>
              </w:rPr>
            </w:pPr>
            <w:r>
              <w:rPr>
                <w:color w:val="000000"/>
              </w:rPr>
              <w:t>SQL Server configuration options</w:t>
            </w:r>
          </w:p>
          <w:p w:rsidR="007B50F6" w:rsidRDefault="007B50F6" w:rsidP="007B50F6">
            <w:pPr>
              <w:numPr>
                <w:ilvl w:val="0"/>
                <w:numId w:val="30"/>
              </w:numPr>
              <w:spacing w:before="100" w:beforeAutospacing="1" w:after="45" w:line="240" w:lineRule="auto"/>
              <w:rPr>
                <w:color w:val="000000"/>
              </w:rPr>
            </w:pPr>
            <w:r>
              <w:rPr>
                <w:color w:val="000000"/>
              </w:rPr>
              <w:t>SQL Server Service Broker</w:t>
            </w:r>
          </w:p>
          <w:p w:rsidR="007B50F6" w:rsidRDefault="007B50F6" w:rsidP="007B50F6">
            <w:pPr>
              <w:numPr>
                <w:ilvl w:val="0"/>
                <w:numId w:val="30"/>
              </w:numPr>
              <w:spacing w:before="100" w:beforeAutospacing="1" w:after="45" w:line="240" w:lineRule="auto"/>
              <w:rPr>
                <w:color w:val="000000"/>
              </w:rPr>
            </w:pPr>
            <w:r>
              <w:rPr>
                <w:color w:val="000000"/>
              </w:rPr>
              <w:t xml:space="preserve">System tables </w:t>
            </w:r>
          </w:p>
          <w:p w:rsidR="007B50F6" w:rsidRDefault="007B50F6" w:rsidP="007B50F6">
            <w:pPr>
              <w:numPr>
                <w:ilvl w:val="0"/>
                <w:numId w:val="30"/>
              </w:numPr>
              <w:spacing w:before="100" w:beforeAutospacing="1" w:after="45" w:line="240" w:lineRule="auto"/>
              <w:rPr>
                <w:color w:val="000000"/>
              </w:rPr>
            </w:pPr>
            <w:r>
              <w:rPr>
                <w:color w:val="000000"/>
              </w:rPr>
              <w:t>Trace Flags</w:t>
            </w:r>
          </w:p>
        </w:tc>
      </w:tr>
    </w:tbl>
    <w:p w:rsidR="007B50F6" w:rsidRDefault="007B50F6" w:rsidP="007B50F6">
      <w:pPr>
        <w:pStyle w:val="NormalWeb"/>
        <w:shd w:val="clear" w:color="auto" w:fill="FFFFFF"/>
        <w:rPr>
          <w:rFonts w:ascii="Segoe UI" w:hAnsi="Segoe UI" w:cs="Segoe UI"/>
          <w:color w:val="000000"/>
          <w:sz w:val="20"/>
          <w:szCs w:val="20"/>
        </w:rPr>
      </w:pPr>
      <w:r>
        <w:rPr>
          <w:rFonts w:ascii="Segoe UI" w:hAnsi="Segoe UI" w:cs="Segoe UI"/>
          <w:color w:val="000000"/>
          <w:sz w:val="20"/>
          <w:szCs w:val="20"/>
        </w:rPr>
        <w:t xml:space="preserve">For more information about the Transact-SQL support in SQL Azure, see </w:t>
      </w:r>
      <w:hyperlink r:id="rId18" w:history="1">
        <w:r>
          <w:rPr>
            <w:rStyle w:val="Hyperlink"/>
            <w:rFonts w:ascii="Segoe UI" w:hAnsi="Segoe UI" w:cs="Segoe UI"/>
            <w:sz w:val="20"/>
            <w:szCs w:val="20"/>
          </w:rPr>
          <w:t>Transact-SQL Reference (SQL Azure Database)</w:t>
        </w:r>
      </w:hyperlink>
      <w:r>
        <w:rPr>
          <w:rFonts w:ascii="Segoe UI" w:hAnsi="Segoe UI" w:cs="Segoe UI"/>
          <w:color w:val="000000"/>
          <w:sz w:val="20"/>
          <w:szCs w:val="20"/>
        </w:rPr>
        <w:t>.</w:t>
      </w:r>
    </w:p>
    <w:p w:rsidR="00954FCD" w:rsidRPr="00355A01" w:rsidRDefault="00954FCD" w:rsidP="00A82BA5">
      <w:pPr>
        <w:rPr>
          <w:rFonts w:ascii="Segoe UI" w:hAnsi="Segoe UI" w:cs="Segoe UI"/>
          <w:sz w:val="20"/>
          <w:szCs w:val="20"/>
        </w:rPr>
      </w:pPr>
      <w:r w:rsidRPr="00355A01">
        <w:rPr>
          <w:rFonts w:ascii="Segoe UI" w:hAnsi="Segoe UI" w:cs="Segoe UI"/>
          <w:sz w:val="20"/>
          <w:szCs w:val="20"/>
        </w:rPr>
        <w:t>For more information, please visit:</w:t>
      </w:r>
    </w:p>
    <w:p w:rsidR="00954FCD" w:rsidRPr="00433857" w:rsidRDefault="00630465" w:rsidP="00AE0440">
      <w:pPr>
        <w:pStyle w:val="ListParagraph"/>
        <w:numPr>
          <w:ilvl w:val="0"/>
          <w:numId w:val="28"/>
        </w:numPr>
        <w:ind w:left="360"/>
      </w:pPr>
      <w:r>
        <w:t>SQL Azure</w:t>
      </w:r>
      <w:r w:rsidR="00954FCD" w:rsidRPr="00433857">
        <w:t xml:space="preserve"> </w:t>
      </w:r>
      <w:r w:rsidR="00954FCD">
        <w:t>Portal</w:t>
      </w:r>
      <w:r w:rsidR="00AE0440">
        <w:br/>
      </w:r>
      <w:hyperlink r:id="rId19" w:history="1">
        <w:r w:rsidR="00954FCD" w:rsidRPr="00AE0440">
          <w:rPr>
            <w:rStyle w:val="Hyperlink"/>
            <w:color w:val="1BA5D8" w:themeColor="text2"/>
          </w:rPr>
          <w:t>http://www.microsoft.com/azure/sql.mspx</w:t>
        </w:r>
      </w:hyperlink>
      <w:r w:rsidR="00954FCD" w:rsidRPr="00433857">
        <w:t xml:space="preserve"> </w:t>
      </w:r>
    </w:p>
    <w:p w:rsidR="00954FCD" w:rsidRPr="00AE0440" w:rsidRDefault="00630465" w:rsidP="00AE0440">
      <w:pPr>
        <w:pStyle w:val="ListParagraph"/>
        <w:numPr>
          <w:ilvl w:val="0"/>
          <w:numId w:val="28"/>
        </w:numPr>
        <w:ind w:left="360"/>
        <w:rPr>
          <w:color w:val="1BA5D8" w:themeColor="text2"/>
        </w:rPr>
      </w:pPr>
      <w:r>
        <w:t>SQL Azure</w:t>
      </w:r>
      <w:r w:rsidR="00954FCD">
        <w:t xml:space="preserve"> </w:t>
      </w:r>
      <w:r w:rsidR="00954FCD" w:rsidRPr="00433857">
        <w:t>Dev</w:t>
      </w:r>
      <w:r w:rsidR="00954FCD">
        <w:t>eloper</w:t>
      </w:r>
      <w:r w:rsidR="00954FCD" w:rsidRPr="00433857">
        <w:t xml:space="preserve"> Center</w:t>
      </w:r>
      <w:r w:rsidR="00AE0440">
        <w:br/>
      </w:r>
      <w:hyperlink r:id="rId20" w:history="1">
        <w:r w:rsidR="00903EB2" w:rsidRPr="00AE0440">
          <w:rPr>
            <w:rStyle w:val="Hyperlink"/>
            <w:color w:val="1BA5D8" w:themeColor="text2"/>
          </w:rPr>
          <w:t>http://msdn.microsoft.com/en-us/sqlserver/dataservices/default.aspx</w:t>
        </w:r>
      </w:hyperlink>
      <w:r w:rsidR="00903EB2" w:rsidRPr="00AE0440">
        <w:rPr>
          <w:color w:val="1BA5D8" w:themeColor="text2"/>
        </w:rPr>
        <w:t xml:space="preserve"> </w:t>
      </w:r>
      <w:hyperlink r:id="rId21" w:history="1">
        <w:r w:rsidR="00954FCD" w:rsidRPr="00AE0440">
          <w:rPr>
            <w:rStyle w:val="Hyperlink"/>
            <w:color w:val="1BA5D8" w:themeColor="text2"/>
          </w:rPr>
          <w:t xml:space="preserve"> </w:t>
        </w:r>
      </w:hyperlink>
    </w:p>
    <w:p w:rsidR="00954FCD" w:rsidRPr="0024713F" w:rsidRDefault="00630465" w:rsidP="007B50F6">
      <w:pPr>
        <w:pStyle w:val="ListParagraph"/>
        <w:numPr>
          <w:ilvl w:val="0"/>
          <w:numId w:val="28"/>
        </w:numPr>
        <w:ind w:left="360"/>
      </w:pPr>
      <w:r>
        <w:t>SQL Azure</w:t>
      </w:r>
      <w:r w:rsidR="00954FCD" w:rsidRPr="00DA5779">
        <w:t xml:space="preserve"> Documentation</w:t>
      </w:r>
      <w:r w:rsidR="00AE0440">
        <w:br/>
      </w:r>
      <w:hyperlink r:id="rId22" w:history="1">
        <w:r w:rsidR="00954FCD" w:rsidRPr="00AE0440">
          <w:rPr>
            <w:rStyle w:val="Hyperlink"/>
            <w:color w:val="1BA5D8" w:themeColor="text2"/>
          </w:rPr>
          <w:t>http://msdn.microsoft.com/en-us/library/cc512417.aspx</w:t>
        </w:r>
      </w:hyperlink>
      <w:hyperlink r:id="rId23" w:history="1">
        <w:r w:rsidR="00954FCD" w:rsidRPr="00DA5779">
          <w:rPr>
            <w:rStyle w:val="Hyperlink"/>
          </w:rPr>
          <w:t xml:space="preserve"> </w:t>
        </w:r>
      </w:hyperlink>
      <w:r w:rsidR="00AE0440">
        <w:rPr>
          <w:noProof/>
        </w:rPr>
        <w:drawing>
          <wp:anchor distT="0" distB="0" distL="114300" distR="114300" simplePos="0" relativeHeight="251661312" behindDoc="0" locked="0" layoutInCell="1" allowOverlap="1">
            <wp:simplePos x="0" y="0"/>
            <wp:positionH relativeFrom="column">
              <wp:posOffset>4886325</wp:posOffset>
            </wp:positionH>
            <wp:positionV relativeFrom="paragraph">
              <wp:posOffset>6221095</wp:posOffset>
            </wp:positionV>
            <wp:extent cx="1495425" cy="266700"/>
            <wp:effectExtent l="19050" t="0" r="0" b="0"/>
            <wp:wrapNone/>
            <wp:docPr id="6" name="Picture 5" descr="microsoft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_logo.eps"/>
                    <pic:cNvPicPr/>
                  </pic:nvPicPr>
                  <pic:blipFill>
                    <a:blip r:embed="rId24"/>
                    <a:stretch>
                      <a:fillRect/>
                    </a:stretch>
                  </pic:blipFill>
                  <pic:spPr>
                    <a:xfrm>
                      <a:off x="0" y="0"/>
                      <a:ext cx="1495425" cy="266700"/>
                    </a:xfrm>
                    <a:prstGeom prst="rect">
                      <a:avLst/>
                    </a:prstGeom>
                  </pic:spPr>
                </pic:pic>
              </a:graphicData>
            </a:graphic>
          </wp:anchor>
        </w:drawing>
      </w:r>
    </w:p>
    <w:sectPr w:rsidR="00954FCD" w:rsidRPr="0024713F" w:rsidSect="00E4398C">
      <w:footerReference w:type="default" r:id="rId25"/>
      <w:headerReference w:type="first" r:id="rId2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76C" w:rsidRDefault="0001076C" w:rsidP="00313894">
      <w:pPr>
        <w:spacing w:after="0" w:line="240" w:lineRule="auto"/>
      </w:pPr>
      <w:r>
        <w:separator/>
      </w:r>
    </w:p>
  </w:endnote>
  <w:endnote w:type="continuationSeparator" w:id="0">
    <w:p w:rsidR="0001076C" w:rsidRDefault="0001076C"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w:altName w:val="Times New Roman"/>
    <w:charset w:val="00"/>
    <w:family w:val="swiss"/>
    <w:pitch w:val="variable"/>
    <w:sig w:usb0="A00002AF" w:usb1="4000205B" w:usb2="00000000" w:usb3="00000000" w:csb0="0000009F" w:csb1="00000000"/>
  </w:font>
  <w:font w:name="Segoe Light">
    <w:altName w:val="Segoe UI"/>
    <w:charset w:val="00"/>
    <w:family w:val="swiss"/>
    <w:pitch w:val="variable"/>
    <w:sig w:usb0="00000001" w:usb1="4000205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7A" w:rsidRDefault="00185B27">
    <w:pPr>
      <w:pStyle w:val="Footer"/>
    </w:pPr>
    <w:fldSimple w:instr=" PAGE   \* MERGEFORMAT ">
      <w:r w:rsidR="00F62A0B">
        <w:rPr>
          <w:noProof/>
        </w:rPr>
        <w:t>2</w:t>
      </w:r>
    </w:fldSimple>
  </w:p>
  <w:p w:rsidR="00030C7A" w:rsidRDefault="00030C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76C" w:rsidRDefault="0001076C" w:rsidP="00313894">
      <w:pPr>
        <w:spacing w:after="0" w:line="240" w:lineRule="auto"/>
      </w:pPr>
      <w:r>
        <w:separator/>
      </w:r>
    </w:p>
  </w:footnote>
  <w:footnote w:type="continuationSeparator" w:id="0">
    <w:p w:rsidR="0001076C" w:rsidRDefault="0001076C"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7A" w:rsidRDefault="00030C7A">
    <w:pPr>
      <w:pStyle w:val="Header"/>
    </w:pPr>
    <w:r>
      <w:tab/>
    </w:r>
    <w:r>
      <w:tab/>
    </w:r>
    <w:r>
      <w:rPr>
        <w:noProof/>
      </w:rPr>
      <w:drawing>
        <wp:inline distT="0" distB="0" distL="0" distR="0">
          <wp:extent cx="1066800" cy="171450"/>
          <wp:effectExtent l="19050" t="0" r="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66800" cy="1714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12.75pt" o:bullet="t">
        <v:imagedata r:id="rId1" o:title="blue_arrow copy"/>
      </v:shape>
    </w:pict>
  </w:numPicBullet>
  <w:abstractNum w:abstractNumId="0">
    <w:nsid w:val="06286243"/>
    <w:multiLevelType w:val="hybridMultilevel"/>
    <w:tmpl w:val="B56688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156F0A"/>
    <w:multiLevelType w:val="hybridMultilevel"/>
    <w:tmpl w:val="3A74D1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9C634F5"/>
    <w:multiLevelType w:val="hybridMultilevel"/>
    <w:tmpl w:val="AB56B4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846A6"/>
    <w:multiLevelType w:val="hybridMultilevel"/>
    <w:tmpl w:val="F508B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B263C6"/>
    <w:multiLevelType w:val="hybridMultilevel"/>
    <w:tmpl w:val="D52A36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0A75373"/>
    <w:multiLevelType w:val="hybridMultilevel"/>
    <w:tmpl w:val="36E2FD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6734670"/>
    <w:multiLevelType w:val="hybridMultilevel"/>
    <w:tmpl w:val="0E94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41452A"/>
    <w:multiLevelType w:val="hybridMultilevel"/>
    <w:tmpl w:val="23D2B15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3C53A48"/>
    <w:multiLevelType w:val="hybridMultilevel"/>
    <w:tmpl w:val="1ABE5F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9A0B43"/>
    <w:multiLevelType w:val="hybridMultilevel"/>
    <w:tmpl w:val="67CA4D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6005BF1"/>
    <w:multiLevelType w:val="multilevel"/>
    <w:tmpl w:val="E63E8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7A24F2"/>
    <w:multiLevelType w:val="hybridMultilevel"/>
    <w:tmpl w:val="0F0A4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1D45E1"/>
    <w:multiLevelType w:val="hybridMultilevel"/>
    <w:tmpl w:val="28C09AB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433F1475"/>
    <w:multiLevelType w:val="hybridMultilevel"/>
    <w:tmpl w:val="1C509398"/>
    <w:lvl w:ilvl="0" w:tplc="CB30A1AA">
      <w:numFmt w:val="bullet"/>
      <w:lvlText w:val="•"/>
      <w:lvlJc w:val="left"/>
      <w:pPr>
        <w:ind w:left="2520" w:hanging="720"/>
      </w:pPr>
      <w:rPr>
        <w:rFonts w:ascii="Calibri" w:eastAsia="Times New Roman" w:hAnsi="Calibri" w:hint="default"/>
      </w:rPr>
    </w:lvl>
    <w:lvl w:ilvl="1" w:tplc="CB30A1AA">
      <w:numFmt w:val="bullet"/>
      <w:lvlText w:val="•"/>
      <w:lvlJc w:val="left"/>
      <w:pPr>
        <w:ind w:left="2160" w:hanging="360"/>
      </w:pPr>
      <w:rPr>
        <w:rFonts w:ascii="Calibri" w:eastAsia="Times New Roman" w:hAnsi="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D06B8E"/>
    <w:multiLevelType w:val="hybridMultilevel"/>
    <w:tmpl w:val="E69EFA2E"/>
    <w:lvl w:ilvl="0" w:tplc="CB30A1AA">
      <w:numFmt w:val="bullet"/>
      <w:lvlText w:val="•"/>
      <w:lvlJc w:val="left"/>
      <w:pPr>
        <w:ind w:left="2520" w:hanging="720"/>
      </w:pPr>
      <w:rPr>
        <w:rFonts w:ascii="Calibri" w:eastAsia="Times New Roman" w:hAnsi="Calibri"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6303644"/>
    <w:multiLevelType w:val="hybridMultilevel"/>
    <w:tmpl w:val="08C85E7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5BFE6EAA"/>
    <w:multiLevelType w:val="multilevel"/>
    <w:tmpl w:val="6BEE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621CD1"/>
    <w:multiLevelType w:val="hybridMultilevel"/>
    <w:tmpl w:val="4E1017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52D2AA8"/>
    <w:multiLevelType w:val="hybridMultilevel"/>
    <w:tmpl w:val="4F8E7D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6C587B"/>
    <w:multiLevelType w:val="hybridMultilevel"/>
    <w:tmpl w:val="6B6EB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1E74BC"/>
    <w:multiLevelType w:val="hybridMultilevel"/>
    <w:tmpl w:val="341C9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C81218"/>
    <w:multiLevelType w:val="hybridMultilevel"/>
    <w:tmpl w:val="C394A2CE"/>
    <w:lvl w:ilvl="0" w:tplc="2F0AFEE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7FC6151"/>
    <w:multiLevelType w:val="hybridMultilevel"/>
    <w:tmpl w:val="74BC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2F4D9F"/>
    <w:multiLevelType w:val="hybridMultilevel"/>
    <w:tmpl w:val="1B027FF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2"/>
  </w:num>
  <w:num w:numId="2">
    <w:abstractNumId w:val="23"/>
  </w:num>
  <w:num w:numId="3">
    <w:abstractNumId w:val="3"/>
  </w:num>
  <w:num w:numId="4">
    <w:abstractNumId w:val="20"/>
  </w:num>
  <w:num w:numId="5">
    <w:abstractNumId w:val="19"/>
  </w:num>
  <w:num w:numId="6">
    <w:abstractNumId w:val="5"/>
  </w:num>
  <w:num w:numId="7">
    <w:abstractNumId w:val="2"/>
  </w:num>
  <w:num w:numId="8">
    <w:abstractNumId w:val="15"/>
  </w:num>
  <w:num w:numId="9">
    <w:abstractNumId w:val="29"/>
  </w:num>
  <w:num w:numId="10">
    <w:abstractNumId w:val="10"/>
  </w:num>
  <w:num w:numId="11">
    <w:abstractNumId w:val="4"/>
  </w:num>
  <w:num w:numId="12">
    <w:abstractNumId w:val="18"/>
  </w:num>
  <w:num w:numId="13">
    <w:abstractNumId w:val="1"/>
  </w:num>
  <w:num w:numId="14">
    <w:abstractNumId w:val="7"/>
  </w:num>
  <w:num w:numId="15">
    <w:abstractNumId w:val="0"/>
  </w:num>
  <w:num w:numId="16">
    <w:abstractNumId w:val="8"/>
  </w:num>
  <w:num w:numId="17">
    <w:abstractNumId w:val="11"/>
  </w:num>
  <w:num w:numId="18">
    <w:abstractNumId w:val="13"/>
  </w:num>
  <w:num w:numId="19">
    <w:abstractNumId w:val="14"/>
  </w:num>
  <w:num w:numId="20">
    <w:abstractNumId w:val="24"/>
  </w:num>
  <w:num w:numId="21">
    <w:abstractNumId w:val="9"/>
  </w:num>
  <w:num w:numId="22">
    <w:abstractNumId w:val="21"/>
  </w:num>
  <w:num w:numId="23">
    <w:abstractNumId w:val="25"/>
  </w:num>
  <w:num w:numId="24">
    <w:abstractNumId w:val="6"/>
  </w:num>
  <w:num w:numId="25">
    <w:abstractNumId w:val="17"/>
  </w:num>
  <w:num w:numId="26">
    <w:abstractNumId w:val="26"/>
  </w:num>
  <w:num w:numId="27">
    <w:abstractNumId w:val="28"/>
  </w:num>
  <w:num w:numId="28">
    <w:abstractNumId w:val="27"/>
  </w:num>
  <w:num w:numId="29">
    <w:abstractNumId w:val="22"/>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021"/>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1C716A"/>
    <w:rsid w:val="00003579"/>
    <w:rsid w:val="00006B05"/>
    <w:rsid w:val="0001076C"/>
    <w:rsid w:val="00012881"/>
    <w:rsid w:val="00023F7B"/>
    <w:rsid w:val="00025B5A"/>
    <w:rsid w:val="00027B67"/>
    <w:rsid w:val="00030C7A"/>
    <w:rsid w:val="00032926"/>
    <w:rsid w:val="0003485C"/>
    <w:rsid w:val="00035004"/>
    <w:rsid w:val="000405CD"/>
    <w:rsid w:val="0004398A"/>
    <w:rsid w:val="000473DA"/>
    <w:rsid w:val="00047A89"/>
    <w:rsid w:val="00053636"/>
    <w:rsid w:val="0005484E"/>
    <w:rsid w:val="000704DD"/>
    <w:rsid w:val="00073CC7"/>
    <w:rsid w:val="00077182"/>
    <w:rsid w:val="00081E80"/>
    <w:rsid w:val="00082521"/>
    <w:rsid w:val="0009291E"/>
    <w:rsid w:val="000949C8"/>
    <w:rsid w:val="00095915"/>
    <w:rsid w:val="000A030E"/>
    <w:rsid w:val="000A2D82"/>
    <w:rsid w:val="000C07BE"/>
    <w:rsid w:val="000C53A2"/>
    <w:rsid w:val="000D024E"/>
    <w:rsid w:val="000D1BC5"/>
    <w:rsid w:val="000D58AB"/>
    <w:rsid w:val="000D7165"/>
    <w:rsid w:val="0010181A"/>
    <w:rsid w:val="00110973"/>
    <w:rsid w:val="0011369B"/>
    <w:rsid w:val="00114460"/>
    <w:rsid w:val="00117131"/>
    <w:rsid w:val="00131EAF"/>
    <w:rsid w:val="00135255"/>
    <w:rsid w:val="0015118E"/>
    <w:rsid w:val="00152386"/>
    <w:rsid w:val="001601D0"/>
    <w:rsid w:val="001618FC"/>
    <w:rsid w:val="00165870"/>
    <w:rsid w:val="00170FE5"/>
    <w:rsid w:val="0017214E"/>
    <w:rsid w:val="00172A7E"/>
    <w:rsid w:val="00174D95"/>
    <w:rsid w:val="00180707"/>
    <w:rsid w:val="00181CF6"/>
    <w:rsid w:val="00185B27"/>
    <w:rsid w:val="001862D6"/>
    <w:rsid w:val="001900D5"/>
    <w:rsid w:val="00192285"/>
    <w:rsid w:val="001A4DD6"/>
    <w:rsid w:val="001A71CA"/>
    <w:rsid w:val="001B5E90"/>
    <w:rsid w:val="001C4471"/>
    <w:rsid w:val="001C55EA"/>
    <w:rsid w:val="001C716A"/>
    <w:rsid w:val="001D1F94"/>
    <w:rsid w:val="001D35D4"/>
    <w:rsid w:val="001D4F7B"/>
    <w:rsid w:val="001D4FEE"/>
    <w:rsid w:val="001D5211"/>
    <w:rsid w:val="001E2325"/>
    <w:rsid w:val="001F5459"/>
    <w:rsid w:val="001F71F6"/>
    <w:rsid w:val="00200119"/>
    <w:rsid w:val="00223821"/>
    <w:rsid w:val="00246187"/>
    <w:rsid w:val="0024713F"/>
    <w:rsid w:val="00254F75"/>
    <w:rsid w:val="00266366"/>
    <w:rsid w:val="00271A6C"/>
    <w:rsid w:val="002761ED"/>
    <w:rsid w:val="00276CD3"/>
    <w:rsid w:val="0028459B"/>
    <w:rsid w:val="00284AAC"/>
    <w:rsid w:val="0029289F"/>
    <w:rsid w:val="00293265"/>
    <w:rsid w:val="00295266"/>
    <w:rsid w:val="0029662F"/>
    <w:rsid w:val="002A0A13"/>
    <w:rsid w:val="002A7091"/>
    <w:rsid w:val="002B2BB1"/>
    <w:rsid w:val="002B6CA8"/>
    <w:rsid w:val="002C6164"/>
    <w:rsid w:val="002C6431"/>
    <w:rsid w:val="002D3285"/>
    <w:rsid w:val="002D7455"/>
    <w:rsid w:val="002E01E6"/>
    <w:rsid w:val="002E0A82"/>
    <w:rsid w:val="002E1513"/>
    <w:rsid w:val="002E2FA5"/>
    <w:rsid w:val="002F5960"/>
    <w:rsid w:val="002F7F64"/>
    <w:rsid w:val="0030326B"/>
    <w:rsid w:val="0031037C"/>
    <w:rsid w:val="00311324"/>
    <w:rsid w:val="00313894"/>
    <w:rsid w:val="00317F14"/>
    <w:rsid w:val="00322511"/>
    <w:rsid w:val="0032737F"/>
    <w:rsid w:val="00327969"/>
    <w:rsid w:val="00332483"/>
    <w:rsid w:val="00332FC9"/>
    <w:rsid w:val="00335CC9"/>
    <w:rsid w:val="00337EC9"/>
    <w:rsid w:val="00355A01"/>
    <w:rsid w:val="00356F8D"/>
    <w:rsid w:val="003666EB"/>
    <w:rsid w:val="00374776"/>
    <w:rsid w:val="00381D92"/>
    <w:rsid w:val="00387DE0"/>
    <w:rsid w:val="00390F2E"/>
    <w:rsid w:val="003A3E2E"/>
    <w:rsid w:val="003B0C0F"/>
    <w:rsid w:val="003B6564"/>
    <w:rsid w:val="003C3313"/>
    <w:rsid w:val="003C3559"/>
    <w:rsid w:val="003C401C"/>
    <w:rsid w:val="003C6943"/>
    <w:rsid w:val="003E17F7"/>
    <w:rsid w:val="003E32E8"/>
    <w:rsid w:val="003E3B40"/>
    <w:rsid w:val="003F1D12"/>
    <w:rsid w:val="003F46EC"/>
    <w:rsid w:val="003F749B"/>
    <w:rsid w:val="00400F0C"/>
    <w:rsid w:val="0040163B"/>
    <w:rsid w:val="004029B6"/>
    <w:rsid w:val="00413E82"/>
    <w:rsid w:val="00414E5C"/>
    <w:rsid w:val="0042175A"/>
    <w:rsid w:val="00421F74"/>
    <w:rsid w:val="004228D7"/>
    <w:rsid w:val="00426177"/>
    <w:rsid w:val="00430581"/>
    <w:rsid w:val="004308FB"/>
    <w:rsid w:val="00433857"/>
    <w:rsid w:val="004365FA"/>
    <w:rsid w:val="0043660F"/>
    <w:rsid w:val="004418C0"/>
    <w:rsid w:val="004650A6"/>
    <w:rsid w:val="004656E0"/>
    <w:rsid w:val="0048322F"/>
    <w:rsid w:val="004934FE"/>
    <w:rsid w:val="00497FA9"/>
    <w:rsid w:val="004A6EE8"/>
    <w:rsid w:val="004B051E"/>
    <w:rsid w:val="004B43F6"/>
    <w:rsid w:val="004C0480"/>
    <w:rsid w:val="004C27B9"/>
    <w:rsid w:val="004C6174"/>
    <w:rsid w:val="004C7166"/>
    <w:rsid w:val="004D47FB"/>
    <w:rsid w:val="004D5C9E"/>
    <w:rsid w:val="004E23F6"/>
    <w:rsid w:val="004E7353"/>
    <w:rsid w:val="004F1249"/>
    <w:rsid w:val="004F135D"/>
    <w:rsid w:val="00500EE0"/>
    <w:rsid w:val="0051243F"/>
    <w:rsid w:val="005165FA"/>
    <w:rsid w:val="00520E55"/>
    <w:rsid w:val="00521545"/>
    <w:rsid w:val="0053538C"/>
    <w:rsid w:val="00546A18"/>
    <w:rsid w:val="00556281"/>
    <w:rsid w:val="00563709"/>
    <w:rsid w:val="005651FF"/>
    <w:rsid w:val="005658F2"/>
    <w:rsid w:val="0056692A"/>
    <w:rsid w:val="005730B4"/>
    <w:rsid w:val="00580023"/>
    <w:rsid w:val="005812E1"/>
    <w:rsid w:val="00591AF0"/>
    <w:rsid w:val="005970BF"/>
    <w:rsid w:val="005A1B9E"/>
    <w:rsid w:val="005B25BE"/>
    <w:rsid w:val="005B5D44"/>
    <w:rsid w:val="005D37E4"/>
    <w:rsid w:val="005E4D99"/>
    <w:rsid w:val="005F2DC2"/>
    <w:rsid w:val="005F3E49"/>
    <w:rsid w:val="00604366"/>
    <w:rsid w:val="00613790"/>
    <w:rsid w:val="00625F30"/>
    <w:rsid w:val="0062609C"/>
    <w:rsid w:val="006262DD"/>
    <w:rsid w:val="00627831"/>
    <w:rsid w:val="00630465"/>
    <w:rsid w:val="00636DDA"/>
    <w:rsid w:val="00643C58"/>
    <w:rsid w:val="00645B91"/>
    <w:rsid w:val="006545CD"/>
    <w:rsid w:val="0065489B"/>
    <w:rsid w:val="00655F80"/>
    <w:rsid w:val="00666B1E"/>
    <w:rsid w:val="00671377"/>
    <w:rsid w:val="00672443"/>
    <w:rsid w:val="00672F5D"/>
    <w:rsid w:val="00674032"/>
    <w:rsid w:val="00681CF3"/>
    <w:rsid w:val="00683C9C"/>
    <w:rsid w:val="00687E27"/>
    <w:rsid w:val="00696232"/>
    <w:rsid w:val="006B376B"/>
    <w:rsid w:val="006B76E1"/>
    <w:rsid w:val="006C088D"/>
    <w:rsid w:val="006C0DFA"/>
    <w:rsid w:val="006C60B1"/>
    <w:rsid w:val="006C7B48"/>
    <w:rsid w:val="006D7FF6"/>
    <w:rsid w:val="006E123E"/>
    <w:rsid w:val="006F0653"/>
    <w:rsid w:val="006F6F44"/>
    <w:rsid w:val="00700CE3"/>
    <w:rsid w:val="007031A9"/>
    <w:rsid w:val="00710F7B"/>
    <w:rsid w:val="00722C80"/>
    <w:rsid w:val="0072485D"/>
    <w:rsid w:val="007251B6"/>
    <w:rsid w:val="00730D32"/>
    <w:rsid w:val="00732AA3"/>
    <w:rsid w:val="0073340E"/>
    <w:rsid w:val="007353AD"/>
    <w:rsid w:val="00751EDD"/>
    <w:rsid w:val="00752B29"/>
    <w:rsid w:val="00754A8B"/>
    <w:rsid w:val="0076480F"/>
    <w:rsid w:val="00770707"/>
    <w:rsid w:val="007736A8"/>
    <w:rsid w:val="00774DAD"/>
    <w:rsid w:val="00777416"/>
    <w:rsid w:val="007840AC"/>
    <w:rsid w:val="007877DC"/>
    <w:rsid w:val="00794033"/>
    <w:rsid w:val="007A0C43"/>
    <w:rsid w:val="007A2044"/>
    <w:rsid w:val="007A2676"/>
    <w:rsid w:val="007B50F6"/>
    <w:rsid w:val="007C4A09"/>
    <w:rsid w:val="007D7C6E"/>
    <w:rsid w:val="007E18B5"/>
    <w:rsid w:val="007E2794"/>
    <w:rsid w:val="007F302F"/>
    <w:rsid w:val="007F6010"/>
    <w:rsid w:val="007F7D15"/>
    <w:rsid w:val="00800D74"/>
    <w:rsid w:val="00806989"/>
    <w:rsid w:val="00813D26"/>
    <w:rsid w:val="008209F4"/>
    <w:rsid w:val="008237DD"/>
    <w:rsid w:val="0083086D"/>
    <w:rsid w:val="008512F4"/>
    <w:rsid w:val="0085575F"/>
    <w:rsid w:val="00855B48"/>
    <w:rsid w:val="00857BA6"/>
    <w:rsid w:val="00862626"/>
    <w:rsid w:val="0086613F"/>
    <w:rsid w:val="00874204"/>
    <w:rsid w:val="00883332"/>
    <w:rsid w:val="00893A90"/>
    <w:rsid w:val="008A51C2"/>
    <w:rsid w:val="008A5C70"/>
    <w:rsid w:val="008B197B"/>
    <w:rsid w:val="008C4A8C"/>
    <w:rsid w:val="008F415B"/>
    <w:rsid w:val="008F4B81"/>
    <w:rsid w:val="008F6F66"/>
    <w:rsid w:val="00903EB2"/>
    <w:rsid w:val="009204F0"/>
    <w:rsid w:val="00923F5C"/>
    <w:rsid w:val="00927483"/>
    <w:rsid w:val="00941099"/>
    <w:rsid w:val="00944836"/>
    <w:rsid w:val="00954FCD"/>
    <w:rsid w:val="00960124"/>
    <w:rsid w:val="00961361"/>
    <w:rsid w:val="00964157"/>
    <w:rsid w:val="009648CE"/>
    <w:rsid w:val="00976DED"/>
    <w:rsid w:val="00976EB7"/>
    <w:rsid w:val="009A4D97"/>
    <w:rsid w:val="009A6D24"/>
    <w:rsid w:val="009B1BC0"/>
    <w:rsid w:val="009D04B1"/>
    <w:rsid w:val="009E4932"/>
    <w:rsid w:val="009F219F"/>
    <w:rsid w:val="009F6325"/>
    <w:rsid w:val="00A002D1"/>
    <w:rsid w:val="00A02336"/>
    <w:rsid w:val="00A03408"/>
    <w:rsid w:val="00A10B38"/>
    <w:rsid w:val="00A11797"/>
    <w:rsid w:val="00A15C7B"/>
    <w:rsid w:val="00A22239"/>
    <w:rsid w:val="00A25CB0"/>
    <w:rsid w:val="00A26485"/>
    <w:rsid w:val="00A36C2F"/>
    <w:rsid w:val="00A42D09"/>
    <w:rsid w:val="00A43B7A"/>
    <w:rsid w:val="00A47EF1"/>
    <w:rsid w:val="00A500BD"/>
    <w:rsid w:val="00A531F1"/>
    <w:rsid w:val="00A564C0"/>
    <w:rsid w:val="00A62EE9"/>
    <w:rsid w:val="00A64B19"/>
    <w:rsid w:val="00A67EB3"/>
    <w:rsid w:val="00A82BA5"/>
    <w:rsid w:val="00A849C2"/>
    <w:rsid w:val="00AA1824"/>
    <w:rsid w:val="00AA296C"/>
    <w:rsid w:val="00AA3A33"/>
    <w:rsid w:val="00AA51C2"/>
    <w:rsid w:val="00AA6D88"/>
    <w:rsid w:val="00AB0E05"/>
    <w:rsid w:val="00AB2AA8"/>
    <w:rsid w:val="00AC71D3"/>
    <w:rsid w:val="00AD7FAE"/>
    <w:rsid w:val="00AE0440"/>
    <w:rsid w:val="00AE2B18"/>
    <w:rsid w:val="00AE48BE"/>
    <w:rsid w:val="00AE65F2"/>
    <w:rsid w:val="00AF10ED"/>
    <w:rsid w:val="00AF6FAF"/>
    <w:rsid w:val="00B01CEF"/>
    <w:rsid w:val="00B05592"/>
    <w:rsid w:val="00B272DF"/>
    <w:rsid w:val="00B52CDD"/>
    <w:rsid w:val="00B5381E"/>
    <w:rsid w:val="00B5418D"/>
    <w:rsid w:val="00B5753A"/>
    <w:rsid w:val="00B6174B"/>
    <w:rsid w:val="00B63D7B"/>
    <w:rsid w:val="00B64F33"/>
    <w:rsid w:val="00B66DF8"/>
    <w:rsid w:val="00B7029A"/>
    <w:rsid w:val="00B70442"/>
    <w:rsid w:val="00B723B2"/>
    <w:rsid w:val="00B72A0F"/>
    <w:rsid w:val="00B75DF3"/>
    <w:rsid w:val="00B8529B"/>
    <w:rsid w:val="00B858B3"/>
    <w:rsid w:val="00B948A7"/>
    <w:rsid w:val="00B95DED"/>
    <w:rsid w:val="00BC266B"/>
    <w:rsid w:val="00BC28C0"/>
    <w:rsid w:val="00BC38C3"/>
    <w:rsid w:val="00BC448D"/>
    <w:rsid w:val="00BC628B"/>
    <w:rsid w:val="00BD0AD8"/>
    <w:rsid w:val="00BD2257"/>
    <w:rsid w:val="00BD68DD"/>
    <w:rsid w:val="00BF6A2C"/>
    <w:rsid w:val="00C10B5E"/>
    <w:rsid w:val="00C143F1"/>
    <w:rsid w:val="00C14EBE"/>
    <w:rsid w:val="00C15C42"/>
    <w:rsid w:val="00C22090"/>
    <w:rsid w:val="00C24D49"/>
    <w:rsid w:val="00C30E0C"/>
    <w:rsid w:val="00C35162"/>
    <w:rsid w:val="00C35F99"/>
    <w:rsid w:val="00C3677A"/>
    <w:rsid w:val="00C37C9E"/>
    <w:rsid w:val="00C40699"/>
    <w:rsid w:val="00C46EDD"/>
    <w:rsid w:val="00C545AA"/>
    <w:rsid w:val="00C60DDC"/>
    <w:rsid w:val="00C62F10"/>
    <w:rsid w:val="00C64CA1"/>
    <w:rsid w:val="00C65C94"/>
    <w:rsid w:val="00C82E65"/>
    <w:rsid w:val="00C849C8"/>
    <w:rsid w:val="00C8594D"/>
    <w:rsid w:val="00C85DAD"/>
    <w:rsid w:val="00C916CB"/>
    <w:rsid w:val="00CA22B7"/>
    <w:rsid w:val="00CA29C7"/>
    <w:rsid w:val="00CA70A1"/>
    <w:rsid w:val="00CC2E0E"/>
    <w:rsid w:val="00CC3458"/>
    <w:rsid w:val="00CC4C77"/>
    <w:rsid w:val="00CE1AE6"/>
    <w:rsid w:val="00CE5EE8"/>
    <w:rsid w:val="00CE7188"/>
    <w:rsid w:val="00CF3028"/>
    <w:rsid w:val="00D00F9E"/>
    <w:rsid w:val="00D04FE5"/>
    <w:rsid w:val="00D14D20"/>
    <w:rsid w:val="00D2110B"/>
    <w:rsid w:val="00D220B3"/>
    <w:rsid w:val="00D30593"/>
    <w:rsid w:val="00D305BC"/>
    <w:rsid w:val="00D34088"/>
    <w:rsid w:val="00D359AB"/>
    <w:rsid w:val="00D40DA2"/>
    <w:rsid w:val="00D5199E"/>
    <w:rsid w:val="00D566B5"/>
    <w:rsid w:val="00D56D7C"/>
    <w:rsid w:val="00D57567"/>
    <w:rsid w:val="00D63516"/>
    <w:rsid w:val="00D77628"/>
    <w:rsid w:val="00D80839"/>
    <w:rsid w:val="00D8150C"/>
    <w:rsid w:val="00D87375"/>
    <w:rsid w:val="00D919D5"/>
    <w:rsid w:val="00D97BFC"/>
    <w:rsid w:val="00DA5779"/>
    <w:rsid w:val="00DB178B"/>
    <w:rsid w:val="00DE5578"/>
    <w:rsid w:val="00E1357D"/>
    <w:rsid w:val="00E13822"/>
    <w:rsid w:val="00E216BC"/>
    <w:rsid w:val="00E23016"/>
    <w:rsid w:val="00E25394"/>
    <w:rsid w:val="00E26EDA"/>
    <w:rsid w:val="00E36650"/>
    <w:rsid w:val="00E40509"/>
    <w:rsid w:val="00E4398C"/>
    <w:rsid w:val="00E55357"/>
    <w:rsid w:val="00E64BFA"/>
    <w:rsid w:val="00E66668"/>
    <w:rsid w:val="00E713A5"/>
    <w:rsid w:val="00E716B8"/>
    <w:rsid w:val="00E71BF4"/>
    <w:rsid w:val="00E82D8A"/>
    <w:rsid w:val="00E83752"/>
    <w:rsid w:val="00E84004"/>
    <w:rsid w:val="00E864F2"/>
    <w:rsid w:val="00E91825"/>
    <w:rsid w:val="00E959D8"/>
    <w:rsid w:val="00E974BB"/>
    <w:rsid w:val="00EA7AF7"/>
    <w:rsid w:val="00EB166F"/>
    <w:rsid w:val="00ED50EE"/>
    <w:rsid w:val="00ED54E9"/>
    <w:rsid w:val="00ED6917"/>
    <w:rsid w:val="00EE355D"/>
    <w:rsid w:val="00EF25A5"/>
    <w:rsid w:val="00F12945"/>
    <w:rsid w:val="00F156B6"/>
    <w:rsid w:val="00F16FFC"/>
    <w:rsid w:val="00F20BD0"/>
    <w:rsid w:val="00F2411F"/>
    <w:rsid w:val="00F25324"/>
    <w:rsid w:val="00F34F4E"/>
    <w:rsid w:val="00F351FD"/>
    <w:rsid w:val="00F354CE"/>
    <w:rsid w:val="00F40FA4"/>
    <w:rsid w:val="00F42BC9"/>
    <w:rsid w:val="00F43AFB"/>
    <w:rsid w:val="00F43BA6"/>
    <w:rsid w:val="00F477D7"/>
    <w:rsid w:val="00F50301"/>
    <w:rsid w:val="00F555E3"/>
    <w:rsid w:val="00F57A71"/>
    <w:rsid w:val="00F60768"/>
    <w:rsid w:val="00F62A0B"/>
    <w:rsid w:val="00F653F3"/>
    <w:rsid w:val="00F670E6"/>
    <w:rsid w:val="00F7066F"/>
    <w:rsid w:val="00F72A44"/>
    <w:rsid w:val="00F73FF8"/>
    <w:rsid w:val="00F7479E"/>
    <w:rsid w:val="00F772A3"/>
    <w:rsid w:val="00F8077E"/>
    <w:rsid w:val="00F86564"/>
    <w:rsid w:val="00F903B4"/>
    <w:rsid w:val="00FA21FC"/>
    <w:rsid w:val="00FA32D2"/>
    <w:rsid w:val="00FA4DAC"/>
    <w:rsid w:val="00FA5158"/>
    <w:rsid w:val="00FA54E1"/>
    <w:rsid w:val="00FA603B"/>
    <w:rsid w:val="00FA64D2"/>
    <w:rsid w:val="00FB39DD"/>
    <w:rsid w:val="00FB76E2"/>
    <w:rsid w:val="00FC1228"/>
    <w:rsid w:val="00FD5A71"/>
    <w:rsid w:val="00FE7962"/>
    <w:rsid w:val="00FF29BB"/>
    <w:rsid w:val="00FF430C"/>
    <w:rsid w:val="00FF6B0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10ED"/>
    <w:pPr>
      <w:spacing w:after="200" w:line="276" w:lineRule="auto"/>
    </w:pPr>
    <w:rPr>
      <w:rFonts w:asciiTheme="minorHAnsi" w:hAnsiTheme="minorHAnsi"/>
      <w:color w:val="414142" w:themeColor="text1"/>
      <w:lang w:val="en-US" w:eastAsia="en-US"/>
    </w:rPr>
  </w:style>
  <w:style w:type="paragraph" w:styleId="Heading1">
    <w:name w:val="heading 1"/>
    <w:basedOn w:val="Normal"/>
    <w:next w:val="Normal"/>
    <w:link w:val="Heading1Char"/>
    <w:uiPriority w:val="99"/>
    <w:qFormat/>
    <w:rsid w:val="00AF10ED"/>
    <w:pPr>
      <w:keepNext/>
      <w:keepLines/>
      <w:spacing w:before="480" w:after="0"/>
      <w:outlineLvl w:val="0"/>
    </w:pPr>
    <w:rPr>
      <w:rFonts w:ascii="Segoe Light" w:hAnsi="Segoe Light"/>
      <w:b/>
      <w:bCs/>
      <w:color w:val="1BA5D8" w:themeColor="text2"/>
      <w:sz w:val="36"/>
      <w:szCs w:val="28"/>
    </w:rPr>
  </w:style>
  <w:style w:type="paragraph" w:styleId="Heading2">
    <w:name w:val="heading 2"/>
    <w:basedOn w:val="Normal"/>
    <w:next w:val="Normal"/>
    <w:link w:val="Heading2Char"/>
    <w:uiPriority w:val="99"/>
    <w:qFormat/>
    <w:rsid w:val="00AF10ED"/>
    <w:pPr>
      <w:keepNext/>
      <w:keepLines/>
      <w:spacing w:before="200" w:after="0"/>
      <w:outlineLvl w:val="1"/>
    </w:pPr>
    <w:rPr>
      <w:b/>
      <w:bCs/>
      <w:sz w:val="28"/>
      <w:szCs w:val="26"/>
    </w:rPr>
  </w:style>
  <w:style w:type="paragraph" w:styleId="Heading3">
    <w:name w:val="heading 3"/>
    <w:basedOn w:val="Normal"/>
    <w:next w:val="Normal"/>
    <w:link w:val="Heading3Char"/>
    <w:uiPriority w:val="99"/>
    <w:qFormat/>
    <w:rsid w:val="00AF10ED"/>
    <w:pPr>
      <w:keepNext/>
      <w:keepLines/>
      <w:spacing w:before="200" w:after="0"/>
      <w:outlineLvl w:val="2"/>
    </w:pPr>
    <w:rPr>
      <w:b/>
      <w:bCs/>
    </w:rPr>
  </w:style>
  <w:style w:type="paragraph" w:styleId="Heading4">
    <w:name w:val="heading 4"/>
    <w:basedOn w:val="Normal"/>
    <w:next w:val="Normal"/>
    <w:link w:val="Heading4Char"/>
    <w:uiPriority w:val="99"/>
    <w:qFormat/>
    <w:locked/>
    <w:rsid w:val="000D716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0ED"/>
    <w:rPr>
      <w:rFonts w:ascii="Segoe Light" w:hAnsi="Segoe Light"/>
      <w:b/>
      <w:bCs/>
      <w:color w:val="1BA5D8" w:themeColor="text2"/>
      <w:sz w:val="36"/>
      <w:szCs w:val="28"/>
      <w:lang w:val="en-US" w:eastAsia="en-US"/>
    </w:rPr>
  </w:style>
  <w:style w:type="character" w:customStyle="1" w:styleId="Heading2Char">
    <w:name w:val="Heading 2 Char"/>
    <w:basedOn w:val="DefaultParagraphFont"/>
    <w:link w:val="Heading2"/>
    <w:uiPriority w:val="99"/>
    <w:locked/>
    <w:rsid w:val="00AF10ED"/>
    <w:rPr>
      <w:rFonts w:asciiTheme="minorHAnsi" w:hAnsiTheme="minorHAnsi"/>
      <w:b/>
      <w:bCs/>
      <w:color w:val="414142" w:themeColor="text1"/>
      <w:sz w:val="28"/>
      <w:szCs w:val="26"/>
      <w:lang w:val="en-US" w:eastAsia="en-US"/>
    </w:rPr>
  </w:style>
  <w:style w:type="character" w:customStyle="1" w:styleId="Heading3Char">
    <w:name w:val="Heading 3 Char"/>
    <w:basedOn w:val="DefaultParagraphFont"/>
    <w:link w:val="Heading3"/>
    <w:uiPriority w:val="99"/>
    <w:locked/>
    <w:rsid w:val="00AF10ED"/>
    <w:rPr>
      <w:rFonts w:asciiTheme="minorHAnsi" w:hAnsiTheme="minorHAnsi"/>
      <w:b/>
      <w:bCs/>
      <w:color w:val="414142" w:themeColor="text1"/>
      <w:lang w:val="en-US" w:eastAsia="en-US"/>
    </w:rPr>
  </w:style>
  <w:style w:type="character" w:customStyle="1" w:styleId="Heading4Char">
    <w:name w:val="Heading 4 Char"/>
    <w:basedOn w:val="DefaultParagraphFont"/>
    <w:link w:val="Heading4"/>
    <w:uiPriority w:val="9"/>
    <w:semiHidden/>
    <w:rsid w:val="008346EE"/>
    <w:rPr>
      <w:rFonts w:asciiTheme="minorHAnsi" w:eastAsiaTheme="minorEastAsia" w:hAnsiTheme="minorHAnsi" w:cstheme="minorBidi"/>
      <w:b/>
      <w:bCs/>
      <w:sz w:val="28"/>
      <w:szCs w:val="28"/>
      <w:lang w:val="en-US" w:eastAsia="en-US"/>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99"/>
    <w:rsid w:val="00A67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rPr>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99"/>
    <w:semiHidden/>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table" w:styleId="MediumGrid3-Accent1">
    <w:name w:val="Medium Grid 3 Accent 1"/>
    <w:basedOn w:val="TableNormal"/>
    <w:uiPriority w:val="99"/>
    <w:rsid w:val="001C716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99"/>
    <w:rsid w:val="001C716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3">
    <w:name w:val="toc 3"/>
    <w:basedOn w:val="Normal"/>
    <w:next w:val="Normal"/>
    <w:autoRedefine/>
    <w:uiPriority w:val="39"/>
    <w:rsid w:val="000405CD"/>
    <w:pPr>
      <w:spacing w:after="100"/>
      <w:ind w:left="440"/>
    </w:pPr>
  </w:style>
  <w:style w:type="paragraph" w:styleId="Revision">
    <w:name w:val="Revision"/>
    <w:hidden/>
    <w:uiPriority w:val="99"/>
    <w:semiHidden/>
    <w:rsid w:val="000C53A2"/>
    <w:rPr>
      <w:lang w:val="en-US" w:eastAsia="en-US"/>
    </w:rPr>
  </w:style>
  <w:style w:type="paragraph" w:styleId="Title">
    <w:name w:val="Title"/>
    <w:basedOn w:val="Normal"/>
    <w:next w:val="Normal"/>
    <w:link w:val="TitleChar"/>
    <w:qFormat/>
    <w:locked/>
    <w:rsid w:val="00AF10ED"/>
    <w:pPr>
      <w:pBdr>
        <w:bottom w:val="single" w:sz="8" w:space="4" w:color="4F81BD" w:themeColor="accent1"/>
      </w:pBdr>
      <w:spacing w:after="300" w:line="240" w:lineRule="auto"/>
      <w:contextualSpacing/>
    </w:pPr>
    <w:rPr>
      <w:rFonts w:ascii="Segoe Light" w:eastAsiaTheme="majorEastAsia" w:hAnsi="Segoe Light" w:cstheme="majorBidi"/>
      <w:color w:val="1BA5D8" w:themeColor="text2"/>
      <w:spacing w:val="5"/>
      <w:kern w:val="28"/>
      <w:sz w:val="52"/>
      <w:szCs w:val="52"/>
    </w:rPr>
  </w:style>
  <w:style w:type="character" w:customStyle="1" w:styleId="TitleChar">
    <w:name w:val="Title Char"/>
    <w:basedOn w:val="DefaultParagraphFont"/>
    <w:link w:val="Title"/>
    <w:rsid w:val="00AF10ED"/>
    <w:rPr>
      <w:rFonts w:ascii="Segoe Light" w:eastAsiaTheme="majorEastAsia" w:hAnsi="Segoe Light" w:cstheme="majorBidi"/>
      <w:color w:val="1BA5D8" w:themeColor="text2"/>
      <w:spacing w:val="5"/>
      <w:kern w:val="28"/>
      <w:sz w:val="52"/>
      <w:szCs w:val="52"/>
      <w:lang w:val="en-US" w:eastAsia="en-US"/>
    </w:rPr>
  </w:style>
  <w:style w:type="paragraph" w:styleId="Subtitle">
    <w:name w:val="Subtitle"/>
    <w:basedOn w:val="Normal"/>
    <w:next w:val="Normal"/>
    <w:link w:val="SubtitleChar"/>
    <w:qFormat/>
    <w:locked/>
    <w:rsid w:val="00AF10ED"/>
    <w:pPr>
      <w:numPr>
        <w:ilvl w:val="1"/>
      </w:numPr>
    </w:pPr>
    <w:rPr>
      <w:rFonts w:eastAsiaTheme="majorEastAsia" w:cstheme="majorBidi"/>
      <w:b/>
      <w:iCs/>
      <w:spacing w:val="15"/>
      <w:sz w:val="24"/>
      <w:szCs w:val="24"/>
    </w:rPr>
  </w:style>
  <w:style w:type="character" w:customStyle="1" w:styleId="SubtitleChar">
    <w:name w:val="Subtitle Char"/>
    <w:basedOn w:val="DefaultParagraphFont"/>
    <w:link w:val="Subtitle"/>
    <w:rsid w:val="00AF10ED"/>
    <w:rPr>
      <w:rFonts w:asciiTheme="minorHAnsi" w:eastAsiaTheme="majorEastAsia" w:hAnsiTheme="minorHAnsi" w:cstheme="majorBidi"/>
      <w:b/>
      <w:iCs/>
      <w:color w:val="414142" w:themeColor="text1"/>
      <w:spacing w:val="15"/>
      <w:sz w:val="24"/>
      <w:szCs w:val="24"/>
      <w:lang w:val="en-US" w:eastAsia="en-US"/>
    </w:rPr>
  </w:style>
  <w:style w:type="paragraph" w:styleId="NormalWeb">
    <w:name w:val="Normal (Web)"/>
    <w:basedOn w:val="Normal"/>
    <w:uiPriority w:val="99"/>
    <w:unhideWhenUsed/>
    <w:rsid w:val="00355A01"/>
    <w:pPr>
      <w:spacing w:after="150" w:line="240" w:lineRule="auto"/>
    </w:pPr>
    <w:rPr>
      <w:rFonts w:ascii="Times New Roman" w:hAnsi="Times New Roman"/>
      <w:color w:val="auto"/>
      <w:sz w:val="24"/>
      <w:szCs w:val="24"/>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1249"/>
    <w:pPr>
      <w:spacing w:after="200" w:line="276" w:lineRule="auto"/>
    </w:pPr>
    <w:rPr>
      <w:lang w:val="en-US" w:eastAsia="en-US"/>
    </w:rPr>
  </w:style>
  <w:style w:type="paragraph" w:styleId="Heading1">
    <w:name w:val="heading 1"/>
    <w:basedOn w:val="Normal"/>
    <w:next w:val="Normal"/>
    <w:link w:val="Heading1Char"/>
    <w:uiPriority w:val="99"/>
    <w:qFormat/>
    <w:rsid w:val="00C545A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545AA"/>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F7479E"/>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locked/>
    <w:rsid w:val="000D716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45AA"/>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545AA"/>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7479E"/>
    <w:rPr>
      <w:rFonts w:ascii="Cambria" w:hAnsi="Cambria" w:cs="Times New Roman"/>
      <w:b/>
      <w:bCs/>
      <w:color w:val="4F81BD"/>
    </w:rPr>
  </w:style>
  <w:style w:type="character" w:customStyle="1" w:styleId="Heading4Char">
    <w:name w:val="Heading 4 Char"/>
    <w:basedOn w:val="DefaultParagraphFont"/>
    <w:link w:val="Heading4"/>
    <w:uiPriority w:val="9"/>
    <w:semiHidden/>
    <w:rsid w:val="008346EE"/>
    <w:rPr>
      <w:rFonts w:asciiTheme="minorHAnsi" w:eastAsiaTheme="minorEastAsia" w:hAnsiTheme="minorHAnsi" w:cstheme="minorBidi"/>
      <w:b/>
      <w:bCs/>
      <w:sz w:val="28"/>
      <w:szCs w:val="28"/>
      <w:lang w:val="en-US" w:eastAsia="en-US"/>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99"/>
    <w:rsid w:val="00A67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rPr>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semiHidden/>
    <w:rsid w:val="00F34F4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99"/>
    <w:semiHidden/>
    <w:rsid w:val="00A002D1"/>
    <w:pPr>
      <w:spacing w:after="100"/>
      <w:ind w:left="1320"/>
    </w:pPr>
  </w:style>
  <w:style w:type="paragraph" w:styleId="TOC2">
    <w:name w:val="toc 2"/>
    <w:basedOn w:val="Normal"/>
    <w:next w:val="Normal"/>
    <w:autoRedefine/>
    <w:uiPriority w:val="39"/>
    <w:rsid w:val="00AC71D3"/>
    <w:pPr>
      <w:spacing w:after="100"/>
      <w:ind w:left="220"/>
    </w:pPr>
  </w:style>
  <w:style w:type="paragraph" w:styleId="TOC1">
    <w:name w:val="toc 1"/>
    <w:basedOn w:val="Normal"/>
    <w:next w:val="Normal"/>
    <w:autoRedefine/>
    <w:uiPriority w:val="39"/>
    <w:rsid w:val="00223821"/>
    <w:pPr>
      <w:spacing w:after="100"/>
    </w:p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table" w:styleId="MediumGrid3-Accent1">
    <w:name w:val="Medium Grid 3 Accent 1"/>
    <w:basedOn w:val="TableNormal"/>
    <w:uiPriority w:val="99"/>
    <w:rsid w:val="001C716A"/>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99"/>
    <w:rsid w:val="001C716A"/>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TOC3">
    <w:name w:val="toc 3"/>
    <w:basedOn w:val="Normal"/>
    <w:next w:val="Normal"/>
    <w:autoRedefine/>
    <w:uiPriority w:val="39"/>
    <w:rsid w:val="000405CD"/>
    <w:pPr>
      <w:spacing w:after="100"/>
      <w:ind w:left="440"/>
    </w:pPr>
  </w:style>
  <w:style w:type="paragraph" w:styleId="Revision">
    <w:name w:val="Revision"/>
    <w:hidden/>
    <w:uiPriority w:val="99"/>
    <w:semiHidden/>
    <w:rsid w:val="000C53A2"/>
    <w:rPr>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sdn.microsoft.com/en-us/library/ee336235.aspx" TargetMode="External"/><Relationship Id="rId18" Type="http://schemas.openxmlformats.org/officeDocument/2006/relationships/hyperlink" Target="http://msdn.microsoft.com/en-us/library/ee336281(lightweight).aspx"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microsoft.com/sql/dataservices" TargetMode="External"/><Relationship Id="rId7" Type="http://schemas.openxmlformats.org/officeDocument/2006/relationships/footnotes" Target="footnotes.xml"/><Relationship Id="rId12" Type="http://schemas.openxmlformats.org/officeDocument/2006/relationships/hyperlink" Target="http://msdn.microsoft.com/en-us/library/ee336245.aspx" TargetMode="External"/><Relationship Id="rId17" Type="http://schemas.openxmlformats.org/officeDocument/2006/relationships/hyperlink" Target="http://msdn.microsoft.com/en-us/library/ee336250.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go.microsoft.com/fwlink/?LinkId=155243" TargetMode="External"/><Relationship Id="rId20" Type="http://schemas.openxmlformats.org/officeDocument/2006/relationships/hyperlink" Target="http://msdn.microsoft.com/en-us/sqlserver/dataservices/default.aspx" TargetMode="External"/><Relationship Id="rId29" Type="http://schemas.microsoft.com/office/2006/relationships/stylesWitht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msdn.microsoft.com/en-us/library/ee336250.aspx" TargetMode="External"/><Relationship Id="rId23" Type="http://schemas.openxmlformats.org/officeDocument/2006/relationships/hyperlink" Target="http://msdn.microsoft.com/en-us/sqlserve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microsoft.com/azure/sql.mspx"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msdn.microsoft.com/en-us/library/ee336227.aspx" TargetMode="External"/><Relationship Id="rId22" Type="http://schemas.openxmlformats.org/officeDocument/2006/relationships/hyperlink" Target="http://msdn.microsoft.com/en-us/library/cc512417.asp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M1926\SQL_Whitepaper_Kit\SQL_Server_White_Paper_Template.dotx" TargetMode="External"/></Relationships>
</file>

<file path=word/theme/theme1.xml><?xml version="1.0" encoding="utf-8"?>
<a:theme xmlns:a="http://schemas.openxmlformats.org/drawingml/2006/main" name="Office Theme">
  <a:themeElements>
    <a:clrScheme name="Custom 1">
      <a:dk1>
        <a:srgbClr val="414142"/>
      </a:dk1>
      <a:lt1>
        <a:sysClr val="window" lastClr="FFFFFF"/>
      </a:lt1>
      <a:dk2>
        <a:srgbClr val="1BA5D8"/>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egoe">
      <a:majorFont>
        <a:latin typeface="Segoe Semibold"/>
        <a:ea typeface=""/>
        <a:cs typeface=""/>
      </a:majorFont>
      <a:minorFont>
        <a:latin typeface="Sego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2009-09-14T17:15:00Z</outs:dateTime>
      <outs:isPinned>true</outs:isPinned>
    </outs:relatedDate>
    <outs:relatedDate>
      <outs:type>2</outs:type>
      <outs:displayName>Created</outs:displayName>
      <outs:dateTime>2009-09-14T17:15:00Z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David Robinson</outs:displayName>
          <outs:accountName/>
        </outs:relatedPerson>
      </outs:people>
      <outs:source>0</outs:source>
      <outs:isPinned>true</outs:isPinned>
    </outs:relatedPeopleItem>
    <outs:relatedPeopleItem>
      <outs:category>Last modified by</outs:category>
      <outs:people>
        <outs:relatedPerson>
          <outs:displayName>David Robinson</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74866-AE51-4FA8-B8F8-4E62D53CF281}">
  <ds:schemaRefs>
    <ds:schemaRef ds:uri="http://schemas.microsoft.com/office/2009/outspace/metadata"/>
  </ds:schemaRefs>
</ds:datastoreItem>
</file>

<file path=customXml/itemProps2.xml><?xml version="1.0" encoding="utf-8"?>
<ds:datastoreItem xmlns:ds="http://schemas.openxmlformats.org/officeDocument/2006/customXml" ds:itemID="{8F703B3D-91EE-42DF-BC80-8FF7A040D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Template>
  <TotalTime>20</TotalTime>
  <Pages>1</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Microsoft SQL Azure Database</vt:lpstr>
    </vt:vector>
  </TitlesOfParts>
  <Company>Microsoft</Company>
  <LinksUpToDate>false</LinksUpToDate>
  <CharactersWithSpaces>13723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SQL Azure Database</dc:title>
  <dc:creator>David Robinson</dc:creator>
  <cp:lastModifiedBy>Nirsj Nagrani</cp:lastModifiedBy>
  <cp:revision>6</cp:revision>
  <dcterms:created xsi:type="dcterms:W3CDTF">2009-10-21T12:40:00Z</dcterms:created>
  <dcterms:modified xsi:type="dcterms:W3CDTF">2009-10-22T04:34:00Z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04463e1d-7bb6-499c-9450-58fd10a83507</vt:lpwstr>
  </property>
  <property fmtid="{D5CDD505-2E9C-101B-9397-08002B2CF9AE}" pid="3" name="Mtps.Key.ShortId">
    <vt:lpwstr>cc707815</vt:lpwstr>
  </property>
  <property fmtid="{D5CDD505-2E9C-101B-9397-08002B2CF9AE}" pid="4" name="Mtps.Key.ContentGuid">
    <vt:lpwstr>04463e1d-7bb6-499c-9450-58fd10a83507</vt:lpwstr>
  </property>
  <property fmtid="{D5CDD505-2E9C-101B-9397-08002B2CF9AE}" pid="5" name="Mtps.Key.Locale">
    <vt:lpwstr>en-us</vt:lpwstr>
  </property>
  <property fmtid="{D5CDD505-2E9C-101B-9397-08002B2CF9AE}" pid="6" name="Mtps.Key.Version">
    <vt:lpwstr>MSDN.10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0x0101001BFA161037809649807C328BA3146C77</vt:lpwstr>
  </property>
  <property fmtid="{D5CDD505-2E9C-101B-9397-08002B2CF9AE}" pid="12" name="Content Category">
    <vt:lpwstr>White Paper</vt:lpwstr>
  </property>
  <property fmtid="{D5CDD505-2E9C-101B-9397-08002B2CF9AE}" pid="13" name="Upload Status">
    <vt:lpwstr>Uploaded</vt:lpwstr>
  </property>
  <property fmtid="{D5CDD505-2E9C-101B-9397-08002B2CF9AE}" pid="14" name="Service Platform Offering">
    <vt:lpwstr>SQL Services</vt:lpwstr>
  </property>
  <property fmtid="{D5CDD505-2E9C-101B-9397-08002B2CF9AE}" pid="15" name="KnowledgeCenter URL - Record">
    <vt:lpwstr>http://ArsenalContent/ContentDetail.aspx?ContentID=149770http://ArsenalContent/ContentDetail.aspx?ContentID=149770</vt:lpwstr>
  </property>
  <property fmtid="{D5CDD505-2E9C-101B-9397-08002B2CF9AE}" pid="16" name="Content Description">
    <vt:lpwstr>A 5-page paper that provides an architectural overview of SDS, and describes how you can use SDS to augment your existing on-premises data infrastructure, including solution examples.</vt:lpwstr>
  </property>
  <property fmtid="{D5CDD505-2E9C-101B-9397-08002B2CF9AE}" pid="17" name="Confidentiality">
    <vt:lpwstr>Customer Ready</vt:lpwstr>
  </property>
  <property fmtid="{D5CDD505-2E9C-101B-9397-08002B2CF9AE}" pid="18" name="Keyword">
    <vt:lpwstr>SQL Data Services Cloud Azure</vt:lpwstr>
  </property>
  <property fmtid="{D5CDD505-2E9C-101B-9397-08002B2CF9AE}" pid="19" name="KnowledgeCenter URL - File">
    <vt:lpwstr>http://ArsenalContent/redirectURL.aspx?ContentID=149770&amp;url=White%2520Papers%2fMicrosoft%2520SQL%2520Data%2520Services%2520-%2520A%2520Look%2520Under%2520the%2520Hoo22102008070331%2fMicrosoft%2520SQL%2520Data%2520Services%2520-%2520Under%2520the%2520Hood.</vt:lpwstr>
  </property>
  <property fmtid="{D5CDD505-2E9C-101B-9397-08002B2CF9AE}" pid="20" name="KnowledgeCenter ID #">
    <vt:lpwstr>149770</vt:lpwstr>
  </property>
  <property fmtid="{D5CDD505-2E9C-101B-9397-08002B2CF9AE}" pid="21" name="Customer Segment">
    <vt:lpwstr>EnterpriseMidMarketSmall Business</vt:lpwstr>
  </property>
  <property fmtid="{D5CDD505-2E9C-101B-9397-08002B2CF9AE}" pid="22" name="Target Audience">
    <vt:lpwstr>DevelopersIT Professionals - IT ProsTechnical Decision Makers</vt:lpwstr>
  </property>
</Properties>
</file>