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DC0" w:rsidRDefault="00B51DC0" w:rsidP="00B51DC0">
      <w:pPr>
        <w:pStyle w:val="Title"/>
      </w:pPr>
      <w:r>
        <w:t>Windows SideShow and Television and Set-</w:t>
      </w:r>
      <w:r w:rsidR="00154883">
        <w:t>T</w:t>
      </w:r>
      <w:r>
        <w:t>op Boxes</w:t>
      </w:r>
    </w:p>
    <w:p w:rsidR="00B51DC0" w:rsidRPr="00A74EF8" w:rsidRDefault="00B51DC0" w:rsidP="00B51DC0">
      <w:pPr>
        <w:pStyle w:val="Heading2"/>
        <w:ind w:left="0"/>
      </w:pPr>
    </w:p>
    <w:p w:rsidR="00B51DC0" w:rsidRDefault="00E20262" w:rsidP="00B51DC0">
      <w:pPr>
        <w:pStyle w:val="Version"/>
      </w:pPr>
      <w:r>
        <w:t>October 30, 2008</w:t>
      </w:r>
      <w:r w:rsidR="00B51DC0" w:rsidRPr="009A3B29">
        <w:rPr>
          <w:rStyle w:val="Red"/>
        </w:rPr>
        <w:t> </w:t>
      </w:r>
    </w:p>
    <w:p w:rsidR="00B51DC0" w:rsidRPr="00A6731E" w:rsidRDefault="00B51DC0" w:rsidP="00B51DC0">
      <w:pPr>
        <w:pStyle w:val="Procedure"/>
      </w:pPr>
      <w:r w:rsidRPr="00446428">
        <w:t>Abstract</w:t>
      </w:r>
    </w:p>
    <w:p w:rsidR="00B51DC0" w:rsidRDefault="00B51DC0" w:rsidP="00B51DC0">
      <w:pPr>
        <w:pStyle w:val="BodyText"/>
      </w:pPr>
      <w:r>
        <w:t>This paper provides information about adding Windows® SideShow</w:t>
      </w:r>
      <w:r w:rsidR="00340F37">
        <w:t>™</w:t>
      </w:r>
      <w:r>
        <w:t xml:space="preserve"> functionality to televisions and set-top boxes to enable compelling new scenarios.  Along with this information are resources for hardware </w:t>
      </w:r>
      <w:r w:rsidR="003C1ED1">
        <w:t>developers</w:t>
      </w:r>
      <w:r>
        <w:t xml:space="preserve"> to help them implement Windows SideShow solutions for televisions and set-top boxes.</w:t>
      </w:r>
    </w:p>
    <w:p w:rsidR="00B51DC0" w:rsidRDefault="00B51DC0" w:rsidP="00B51DC0">
      <w:pPr>
        <w:pStyle w:val="BodyText"/>
      </w:pPr>
      <w:r>
        <w:t>This information applies for the following operating systems:</w:t>
      </w:r>
      <w:r>
        <w:br/>
      </w:r>
      <w:r w:rsidRPr="00693CF6">
        <w:tab/>
        <w:t>Windows Server</w:t>
      </w:r>
      <w:r w:rsidRPr="003C1ED1">
        <w:rPr>
          <w:rStyle w:val="Small"/>
          <w:rFonts w:cs="Arial"/>
          <w:sz w:val="22"/>
          <w:szCs w:val="22"/>
        </w:rPr>
        <w:t>®</w:t>
      </w:r>
      <w:r w:rsidRPr="00693CF6">
        <w:t xml:space="preserve"> 2008</w:t>
      </w:r>
      <w:r w:rsidR="00A00ACD">
        <w:t xml:space="preserve"> (with Desktop Experience installed)</w:t>
      </w:r>
      <w:r>
        <w:t xml:space="preserve"> </w:t>
      </w:r>
      <w:r w:rsidRPr="001A5302">
        <w:rPr>
          <w:strike/>
        </w:rPr>
        <w:br/>
      </w:r>
      <w:r w:rsidRPr="009D0B19">
        <w:tab/>
      </w:r>
      <w:r w:rsidR="00863389">
        <w:t>Windows Vista®</w:t>
      </w:r>
      <w:r w:rsidR="00863389">
        <w:br/>
      </w:r>
      <w:r w:rsidR="00863389">
        <w:tab/>
        <w:t>Windows 7</w:t>
      </w:r>
      <w:r w:rsidR="00A00ACD" w:rsidRPr="009D0B19" w:rsidDel="00A00ACD">
        <w:t xml:space="preserve"> </w:t>
      </w:r>
    </w:p>
    <w:p w:rsidR="00B51DC0" w:rsidRPr="00D70DFD" w:rsidRDefault="00B51DC0" w:rsidP="00B51DC0">
      <w:pPr>
        <w:pStyle w:val="BodyText"/>
      </w:pPr>
      <w:r w:rsidRPr="00D70DFD">
        <w:t>References and resources discussed here are listed at the end of this paper.</w:t>
      </w:r>
    </w:p>
    <w:p w:rsidR="00B51DC0" w:rsidRDefault="00B51DC0" w:rsidP="00B51DC0">
      <w:pPr>
        <w:pStyle w:val="BodyText"/>
      </w:pPr>
      <w:r>
        <w:t xml:space="preserve">For the latest information, see: </w:t>
      </w:r>
      <w:r>
        <w:br/>
      </w:r>
      <w:r>
        <w:tab/>
      </w:r>
      <w:hyperlink r:id="rId7" w:history="1">
        <w:r w:rsidRPr="00AD7912">
          <w:rPr>
            <w:rStyle w:val="Hyperlink"/>
            <w:rFonts w:cs="Arial"/>
          </w:rPr>
          <w:t>http://www.microsoft.com/whdc/</w:t>
        </w:r>
      </w:hyperlink>
    </w:p>
    <w:p w:rsidR="00B51DC0" w:rsidRDefault="00B51DC0" w:rsidP="00B51DC0">
      <w:pPr>
        <w:pStyle w:val="BodyText"/>
        <w:rPr>
          <w:rStyle w:val="Bold"/>
          <w:rFonts w:cs="Arial"/>
        </w:rPr>
      </w:pPr>
    </w:p>
    <w:p w:rsidR="00340F37" w:rsidRPr="00446428" w:rsidRDefault="00340F37" w:rsidP="00340F37">
      <w:pPr>
        <w:pStyle w:val="Disclaimertext"/>
        <w:pageBreakBefore/>
      </w:pPr>
      <w:r w:rsidRPr="00AE4752">
        <w:rPr>
          <w:rStyle w:val="Bold"/>
        </w:rPr>
        <w:lastRenderedPageBreak/>
        <w:t xml:space="preserve">Disclaimer: </w:t>
      </w:r>
      <w:r w:rsidRPr="00446428">
        <w:t xml:space="preserve">This is a preliminary document and may be changed substantially prior to final commercial release of the software described herein. </w:t>
      </w:r>
    </w:p>
    <w:p w:rsidR="00340F37" w:rsidRPr="00446428" w:rsidRDefault="00340F37" w:rsidP="00340F37">
      <w:pPr>
        <w:pStyle w:val="Disclaimertext"/>
      </w:pPr>
    </w:p>
    <w:p w:rsidR="00340F37" w:rsidRPr="00446428" w:rsidRDefault="00340F37" w:rsidP="00340F37">
      <w:pPr>
        <w:pStyle w:val="Disclaimertext"/>
      </w:pPr>
      <w:r w:rsidRPr="00446428">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340F37" w:rsidRPr="00446428" w:rsidRDefault="00340F37" w:rsidP="00340F37">
      <w:pPr>
        <w:pStyle w:val="Disclaimertext"/>
      </w:pPr>
    </w:p>
    <w:p w:rsidR="00340F37" w:rsidRPr="00446428" w:rsidRDefault="00340F37" w:rsidP="00340F37">
      <w:pPr>
        <w:pStyle w:val="Disclaimertext"/>
      </w:pPr>
      <w:r w:rsidRPr="00446428">
        <w:t>This White Paper is for informational purposes only. MICROSOFT MAKES NO WARRANTIES, EXPRESS, IMPLIED OR STATUTORY, AS TO THE INFORMATION IN THIS DOCUMENT.</w:t>
      </w:r>
    </w:p>
    <w:p w:rsidR="00340F37" w:rsidRPr="00446428" w:rsidRDefault="00340F37" w:rsidP="00340F37">
      <w:pPr>
        <w:pStyle w:val="Disclaimertext"/>
      </w:pPr>
    </w:p>
    <w:p w:rsidR="00340F37" w:rsidRPr="00446428" w:rsidRDefault="00340F37" w:rsidP="00340F37">
      <w:pPr>
        <w:pStyle w:val="Disclaimertext"/>
      </w:pPr>
      <w:r w:rsidRPr="00446428">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340F37" w:rsidRPr="00446428" w:rsidRDefault="00340F37" w:rsidP="00340F37">
      <w:pPr>
        <w:pStyle w:val="Disclaimertext"/>
      </w:pPr>
    </w:p>
    <w:p w:rsidR="00340F37" w:rsidRPr="00446428" w:rsidRDefault="00340F37" w:rsidP="00340F37">
      <w:pPr>
        <w:pStyle w:val="Disclaimertext"/>
      </w:pPr>
      <w:r w:rsidRPr="00446428">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340F37" w:rsidRPr="00446428" w:rsidRDefault="00340F37" w:rsidP="00340F37">
      <w:pPr>
        <w:pStyle w:val="Disclaimertext"/>
      </w:pPr>
    </w:p>
    <w:p w:rsidR="00340F37" w:rsidRPr="00446428" w:rsidRDefault="00340F37" w:rsidP="00340F37">
      <w:pPr>
        <w:pStyle w:val="Disclaimertext"/>
      </w:pPr>
      <w:r w:rsidRPr="00446428">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340F37" w:rsidRPr="00446428" w:rsidRDefault="00340F37" w:rsidP="00340F37">
      <w:pPr>
        <w:pStyle w:val="Disclaimertext"/>
      </w:pPr>
    </w:p>
    <w:p w:rsidR="00340F37" w:rsidRPr="00446428" w:rsidRDefault="00340F37" w:rsidP="00340F37">
      <w:pPr>
        <w:pStyle w:val="Disclaimertext"/>
      </w:pPr>
      <w:r w:rsidRPr="00446428">
        <w:t>© 200</w:t>
      </w:r>
      <w:r>
        <w:t>8</w:t>
      </w:r>
      <w:r w:rsidRPr="00446428">
        <w:t xml:space="preserve"> Microsoft Corporation. All rights reserved.</w:t>
      </w:r>
    </w:p>
    <w:p w:rsidR="00340F37" w:rsidRPr="00446428" w:rsidRDefault="00340F37" w:rsidP="00340F37">
      <w:pPr>
        <w:pStyle w:val="Disclaimertext"/>
      </w:pPr>
    </w:p>
    <w:p w:rsidR="00340F37" w:rsidRPr="00446428" w:rsidRDefault="00340F37" w:rsidP="00340F37">
      <w:pPr>
        <w:pStyle w:val="Disclaimertext"/>
      </w:pPr>
      <w:r w:rsidRPr="00446428">
        <w:t xml:space="preserve">Microsoft, Windows, Windows NT, </w:t>
      </w:r>
      <w:r>
        <w:t xml:space="preserve">SideShow, </w:t>
      </w:r>
      <w:r w:rsidRPr="00446428">
        <w:t>Windows Server, and Windows Vista are either registered trademarks or trademarks of Microsoft Corporation in the United States and/or other countries.</w:t>
      </w:r>
    </w:p>
    <w:p w:rsidR="00340F37" w:rsidRPr="00446428" w:rsidRDefault="00340F37" w:rsidP="00340F37">
      <w:pPr>
        <w:pStyle w:val="Disclaimertext"/>
      </w:pPr>
    </w:p>
    <w:p w:rsidR="00340F37" w:rsidRDefault="00340F37" w:rsidP="00340F37">
      <w:pPr>
        <w:pStyle w:val="Disclaimertext"/>
      </w:pPr>
      <w:r w:rsidRPr="00446428">
        <w:t>The names of actual companies and products mentioned herein may be the trademarks of their respective owners.</w:t>
      </w:r>
    </w:p>
    <w:p w:rsidR="00B51DC0" w:rsidRPr="00A6731E" w:rsidRDefault="00B51DC0" w:rsidP="00462714">
      <w:pPr>
        <w:pStyle w:val="Contents"/>
        <w:pageBreakBefore/>
      </w:pPr>
      <w:r w:rsidRPr="00555AF3">
        <w:lastRenderedPageBreak/>
        <w:t>Contents</w:t>
      </w:r>
    </w:p>
    <w:p w:rsidR="00E20262" w:rsidRDefault="006B2ED0">
      <w:pPr>
        <w:pStyle w:val="TOC1"/>
        <w:rPr>
          <w:rFonts w:asciiTheme="minorHAnsi" w:eastAsiaTheme="minorEastAsia" w:hAnsiTheme="minorHAnsi" w:cstheme="minorBidi"/>
        </w:rPr>
      </w:pPr>
      <w:r w:rsidRPr="006B2ED0">
        <w:fldChar w:fldCharType="begin"/>
      </w:r>
      <w:r w:rsidR="00B51DC0">
        <w:instrText xml:space="preserve"> TOC \o "1-1" \h \z \u </w:instrText>
      </w:r>
      <w:r w:rsidRPr="006B2ED0">
        <w:fldChar w:fldCharType="separate"/>
      </w:r>
      <w:hyperlink w:anchor="_Toc213138638" w:history="1">
        <w:r w:rsidR="00E20262" w:rsidRPr="00280123">
          <w:rPr>
            <w:rStyle w:val="Hyperlink"/>
          </w:rPr>
          <w:t>Compelling Television and Set-Top Box Solutions</w:t>
        </w:r>
        <w:r w:rsidR="00E20262">
          <w:rPr>
            <w:webHidden/>
          </w:rPr>
          <w:tab/>
        </w:r>
        <w:r>
          <w:rPr>
            <w:webHidden/>
          </w:rPr>
          <w:fldChar w:fldCharType="begin"/>
        </w:r>
        <w:r w:rsidR="00E20262">
          <w:rPr>
            <w:webHidden/>
          </w:rPr>
          <w:instrText xml:space="preserve"> PAGEREF _Toc213138638 \h </w:instrText>
        </w:r>
        <w:r>
          <w:rPr>
            <w:webHidden/>
          </w:rPr>
        </w:r>
        <w:r>
          <w:rPr>
            <w:webHidden/>
          </w:rPr>
          <w:fldChar w:fldCharType="separate"/>
        </w:r>
        <w:r w:rsidR="00E20262">
          <w:rPr>
            <w:webHidden/>
          </w:rPr>
          <w:t>4</w:t>
        </w:r>
        <w:r>
          <w:rPr>
            <w:webHidden/>
          </w:rPr>
          <w:fldChar w:fldCharType="end"/>
        </w:r>
      </w:hyperlink>
    </w:p>
    <w:p w:rsidR="00E20262" w:rsidRDefault="006B2ED0">
      <w:pPr>
        <w:pStyle w:val="TOC1"/>
        <w:rPr>
          <w:rFonts w:asciiTheme="minorHAnsi" w:eastAsiaTheme="minorEastAsia" w:hAnsiTheme="minorHAnsi" w:cstheme="minorBidi"/>
        </w:rPr>
      </w:pPr>
      <w:hyperlink w:anchor="_Toc213138639" w:history="1">
        <w:r w:rsidR="00E20262" w:rsidRPr="00280123">
          <w:rPr>
            <w:rStyle w:val="Hyperlink"/>
          </w:rPr>
          <w:t>The User and the Market for SideShow-Compatible Televisions and Set-Top Boxes</w:t>
        </w:r>
        <w:r w:rsidR="00E20262">
          <w:rPr>
            <w:webHidden/>
          </w:rPr>
          <w:tab/>
        </w:r>
        <w:r>
          <w:rPr>
            <w:webHidden/>
          </w:rPr>
          <w:fldChar w:fldCharType="begin"/>
        </w:r>
        <w:r w:rsidR="00E20262">
          <w:rPr>
            <w:webHidden/>
          </w:rPr>
          <w:instrText xml:space="preserve"> PAGEREF _Toc213138639 \h </w:instrText>
        </w:r>
        <w:r>
          <w:rPr>
            <w:webHidden/>
          </w:rPr>
        </w:r>
        <w:r>
          <w:rPr>
            <w:webHidden/>
          </w:rPr>
          <w:fldChar w:fldCharType="separate"/>
        </w:r>
        <w:r w:rsidR="00E20262">
          <w:rPr>
            <w:webHidden/>
          </w:rPr>
          <w:t>7</w:t>
        </w:r>
        <w:r>
          <w:rPr>
            <w:webHidden/>
          </w:rPr>
          <w:fldChar w:fldCharType="end"/>
        </w:r>
      </w:hyperlink>
    </w:p>
    <w:p w:rsidR="00E20262" w:rsidRDefault="006B2ED0">
      <w:pPr>
        <w:pStyle w:val="TOC1"/>
        <w:rPr>
          <w:rFonts w:asciiTheme="minorHAnsi" w:eastAsiaTheme="minorEastAsia" w:hAnsiTheme="minorHAnsi" w:cstheme="minorBidi"/>
        </w:rPr>
      </w:pPr>
      <w:hyperlink w:anchor="_Toc213138640" w:history="1">
        <w:r w:rsidR="00E20262" w:rsidRPr="00280123">
          <w:rPr>
            <w:rStyle w:val="Hyperlink"/>
          </w:rPr>
          <w:t>Components for Televisions and Set-Top Boxes</w:t>
        </w:r>
        <w:r w:rsidR="00E20262">
          <w:rPr>
            <w:webHidden/>
          </w:rPr>
          <w:tab/>
        </w:r>
        <w:r>
          <w:rPr>
            <w:webHidden/>
          </w:rPr>
          <w:fldChar w:fldCharType="begin"/>
        </w:r>
        <w:r w:rsidR="00E20262">
          <w:rPr>
            <w:webHidden/>
          </w:rPr>
          <w:instrText xml:space="preserve"> PAGEREF _Toc213138640 \h </w:instrText>
        </w:r>
        <w:r>
          <w:rPr>
            <w:webHidden/>
          </w:rPr>
        </w:r>
        <w:r>
          <w:rPr>
            <w:webHidden/>
          </w:rPr>
          <w:fldChar w:fldCharType="separate"/>
        </w:r>
        <w:r w:rsidR="00E20262">
          <w:rPr>
            <w:webHidden/>
          </w:rPr>
          <w:t>8</w:t>
        </w:r>
        <w:r>
          <w:rPr>
            <w:webHidden/>
          </w:rPr>
          <w:fldChar w:fldCharType="end"/>
        </w:r>
      </w:hyperlink>
    </w:p>
    <w:p w:rsidR="00E20262" w:rsidRDefault="006B2ED0">
      <w:pPr>
        <w:pStyle w:val="TOC1"/>
        <w:rPr>
          <w:rFonts w:asciiTheme="minorHAnsi" w:eastAsiaTheme="minorEastAsia" w:hAnsiTheme="minorHAnsi" w:cstheme="minorBidi"/>
        </w:rPr>
      </w:pPr>
      <w:hyperlink w:anchor="_Toc213138641" w:history="1">
        <w:r w:rsidR="00E20262" w:rsidRPr="00280123">
          <w:rPr>
            <w:rStyle w:val="Hyperlink"/>
          </w:rPr>
          <w:t>Resources</w:t>
        </w:r>
        <w:r w:rsidR="00E20262">
          <w:rPr>
            <w:webHidden/>
          </w:rPr>
          <w:tab/>
        </w:r>
        <w:r>
          <w:rPr>
            <w:webHidden/>
          </w:rPr>
          <w:fldChar w:fldCharType="begin"/>
        </w:r>
        <w:r w:rsidR="00E20262">
          <w:rPr>
            <w:webHidden/>
          </w:rPr>
          <w:instrText xml:space="preserve"> PAGEREF _Toc213138641 \h </w:instrText>
        </w:r>
        <w:r>
          <w:rPr>
            <w:webHidden/>
          </w:rPr>
        </w:r>
        <w:r>
          <w:rPr>
            <w:webHidden/>
          </w:rPr>
          <w:fldChar w:fldCharType="separate"/>
        </w:r>
        <w:r w:rsidR="00E20262">
          <w:rPr>
            <w:webHidden/>
          </w:rPr>
          <w:t>9</w:t>
        </w:r>
        <w:r>
          <w:rPr>
            <w:webHidden/>
          </w:rPr>
          <w:fldChar w:fldCharType="end"/>
        </w:r>
      </w:hyperlink>
    </w:p>
    <w:p w:rsidR="00B51DC0" w:rsidRDefault="006B2ED0" w:rsidP="00B51DC0">
      <w:r>
        <w:fldChar w:fldCharType="end"/>
      </w:r>
    </w:p>
    <w:p w:rsidR="00B51DC0" w:rsidRDefault="00B51DC0" w:rsidP="00B51DC0">
      <w:pPr>
        <w:pStyle w:val="Heading1"/>
      </w:pPr>
      <w:r>
        <w:br w:type="page"/>
      </w:r>
      <w:r>
        <w:lastRenderedPageBreak/>
        <w:t xml:space="preserve"> </w:t>
      </w:r>
      <w:bookmarkStart w:id="0" w:name="_Toc213138638"/>
      <w:r>
        <w:t>Compelling Television and Set-</w:t>
      </w:r>
      <w:r w:rsidR="00154883">
        <w:t>T</w:t>
      </w:r>
      <w:r>
        <w:t>op Box Solutions</w:t>
      </w:r>
      <w:bookmarkEnd w:id="0"/>
    </w:p>
    <w:p w:rsidR="00B51DC0" w:rsidRDefault="00B51DC0" w:rsidP="00B51DC0">
      <w:pPr>
        <w:pStyle w:val="Bodytextindent0"/>
        <w:ind w:left="0"/>
      </w:pPr>
      <w:r w:rsidRPr="005F4D82">
        <w:t xml:space="preserve">The Windows SideShow </w:t>
      </w:r>
      <w:r>
        <w:t>p</w:t>
      </w:r>
      <w:r w:rsidRPr="005F4D82">
        <w:t xml:space="preserve">latform </w:t>
      </w:r>
      <w:r>
        <w:t>offers</w:t>
      </w:r>
      <w:r w:rsidRPr="005F4D82">
        <w:t xml:space="preserve"> </w:t>
      </w:r>
      <w:r>
        <w:t>hardware and software developers the opportunity to create unique and compelling solutions for consumers that can be accessed via televisions and set-top boxes</w:t>
      </w:r>
      <w:r w:rsidRPr="005F4D82">
        <w:t xml:space="preserve">. </w:t>
      </w:r>
      <w:r>
        <w:t>SideShow makes it possible for computers running Windows Vista</w:t>
      </w:r>
      <w:r w:rsidR="005D71EC">
        <w:t xml:space="preserve"> and Windows 7</w:t>
      </w:r>
      <w:r w:rsidR="00A24E46">
        <w:t xml:space="preserve"> </w:t>
      </w:r>
      <w:r>
        <w:t>to deliver SideShow gadgets to a SideShow-compatible device, so that users can interact with content from the</w:t>
      </w:r>
      <w:r w:rsidR="0030154B">
        <w:t>ir</w:t>
      </w:r>
      <w:r>
        <w:t xml:space="preserve"> computer and the Internet on their television.</w:t>
      </w:r>
    </w:p>
    <w:p w:rsidR="00B51DC0" w:rsidRDefault="00B51DC0" w:rsidP="00B51DC0">
      <w:pPr>
        <w:pStyle w:val="BodyTextLink"/>
      </w:pPr>
      <w:r>
        <w:t>SideShow can enhance the television experience via the TV itself, a set-top box, or a remote control.</w:t>
      </w:r>
    </w:p>
    <w:p w:rsidR="00B51DC0" w:rsidRDefault="00B51DC0" w:rsidP="00B51DC0">
      <w:pPr>
        <w:pStyle w:val="Heading2"/>
      </w:pPr>
      <w:r>
        <w:t>SideShow-</w:t>
      </w:r>
      <w:r w:rsidR="00EB3E7E">
        <w:t>C</w:t>
      </w:r>
      <w:r>
        <w:t xml:space="preserve">ompatible </w:t>
      </w:r>
      <w:r w:rsidR="00EB3E7E">
        <w:t>T</w:t>
      </w:r>
      <w:r>
        <w:t xml:space="preserve">elevision </w:t>
      </w:r>
    </w:p>
    <w:p w:rsidR="00B51DC0" w:rsidRDefault="00B51DC0" w:rsidP="00B51DC0">
      <w:pPr>
        <w:pStyle w:val="Bodytextindent0"/>
        <w:ind w:left="0"/>
      </w:pPr>
      <w:r>
        <w:t xml:space="preserve">A television with SideShow in its firmware can receive and display fresh content and timely notifications from the computer for viewing on demand. Gadgets installed on the computer can deliver information such as news headlines, weather, sports scores, and e-mail messages directly to the television screen.  Alerts from gadgets—such as upcoming appointments or TV shows, severe weather warnings, or incoming instant messages—can be unobtrusively overlaid onto the screen for a short period of time.  For </w:t>
      </w:r>
      <w:r w:rsidR="00A24E46">
        <w:t xml:space="preserve">a </w:t>
      </w:r>
      <w:r>
        <w:t>richer interaction, the user could explicitly invoke the gadget functionality</w:t>
      </w:r>
      <w:r w:rsidR="00A24E46">
        <w:t xml:space="preserve"> by</w:t>
      </w:r>
      <w:r>
        <w:t xml:space="preserve"> using </w:t>
      </w:r>
      <w:r w:rsidR="00A24E46">
        <w:t xml:space="preserve">a </w:t>
      </w:r>
      <w:r>
        <w:t xml:space="preserve">remote control or a menu item in the television’s interface.  In this mode, the gadget content could take up the majority (or all) of the screen, </w:t>
      </w:r>
      <w:r w:rsidR="00A24E46">
        <w:t xml:space="preserve">making it easy for </w:t>
      </w:r>
      <w:r>
        <w:t>the user to interact with detailed content.</w:t>
      </w:r>
    </w:p>
    <w:p w:rsidR="00B51DC0" w:rsidRDefault="00B51DC0" w:rsidP="00B51DC0">
      <w:pPr>
        <w:pStyle w:val="Bodytextindent0"/>
        <w:ind w:left="0"/>
      </w:pPr>
      <w:r>
        <w:t xml:space="preserve">As an example, imagine that a user participates in a fantasy sports league, but can watch </w:t>
      </w:r>
      <w:r w:rsidR="00A24E46">
        <w:t xml:space="preserve">only </w:t>
      </w:r>
      <w:r>
        <w:t>one game at a time. In order to</w:t>
      </w:r>
      <w:r w:rsidR="00A24E46">
        <w:t xml:space="preserve"> help the user </w:t>
      </w:r>
      <w:r>
        <w:t xml:space="preserve">stay </w:t>
      </w:r>
      <w:r w:rsidR="00A24E46">
        <w:t xml:space="preserve">knowledgeable about all of </w:t>
      </w:r>
      <w:r>
        <w:t xml:space="preserve">the players on her team, a sports gadget can provide relevant updates as overlays. During a break in the action, the user could </w:t>
      </w:r>
      <w:r w:rsidR="000D2410">
        <w:t>open</w:t>
      </w:r>
      <w:r>
        <w:t xml:space="preserve"> the full gadget experience to quickly check her overall team statistics and rankings. This is just one of the many scenarios that </w:t>
      </w:r>
      <w:r w:rsidR="00875C82">
        <w:t>are</w:t>
      </w:r>
      <w:r>
        <w:t xml:space="preserve"> possible with a SideShow-compatible television.</w:t>
      </w:r>
    </w:p>
    <w:p w:rsidR="00B51DC0" w:rsidRDefault="00B51DC0" w:rsidP="00B51DC0">
      <w:pPr>
        <w:pStyle w:val="Bodytextindent0"/>
      </w:pPr>
    </w:p>
    <w:p w:rsidR="00B51DC0" w:rsidRDefault="00B51DC0" w:rsidP="00B51DC0">
      <w:pPr>
        <w:pStyle w:val="Bodytextindent0"/>
      </w:pPr>
    </w:p>
    <w:p w:rsidR="00B51DC0" w:rsidRDefault="00B51DC0" w:rsidP="00B51DC0">
      <w:pPr>
        <w:pStyle w:val="Bodytextindent0"/>
      </w:pPr>
      <w:r>
        <w:rPr>
          <w:noProof/>
          <w:lang w:eastAsia="zh-TW"/>
        </w:rPr>
        <w:lastRenderedPageBreak/>
        <w:drawing>
          <wp:inline distT="0" distB="0" distL="0" distR="0">
            <wp:extent cx="4486275" cy="2883951"/>
            <wp:effectExtent l="19050" t="0" r="9525" b="0"/>
            <wp:docPr id="3" name="Picture 0" descr="TV_P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V_PIP.jpg"/>
                    <pic:cNvPicPr/>
                  </pic:nvPicPr>
                  <pic:blipFill>
                    <a:blip r:embed="rId8"/>
                    <a:stretch>
                      <a:fillRect/>
                    </a:stretch>
                  </pic:blipFill>
                  <pic:spPr>
                    <a:xfrm>
                      <a:off x="0" y="0"/>
                      <a:ext cx="4488093" cy="2885120"/>
                    </a:xfrm>
                    <a:prstGeom prst="rect">
                      <a:avLst/>
                    </a:prstGeom>
                  </pic:spPr>
                </pic:pic>
              </a:graphicData>
            </a:graphic>
          </wp:inline>
        </w:drawing>
      </w:r>
    </w:p>
    <w:p w:rsidR="00B51DC0" w:rsidRPr="001809CE" w:rsidRDefault="00DF49E4" w:rsidP="00B51DC0">
      <w:pPr>
        <w:pStyle w:val="Bodytextindent0"/>
        <w:rPr>
          <w:rFonts w:ascii="Arial" w:hAnsi="Arial"/>
          <w:b/>
          <w:sz w:val="18"/>
          <w:szCs w:val="18"/>
        </w:rPr>
      </w:pPr>
      <w:r>
        <w:rPr>
          <w:rFonts w:ascii="Arial" w:hAnsi="Arial"/>
          <w:b/>
          <w:sz w:val="18"/>
          <w:szCs w:val="18"/>
        </w:rPr>
        <w:t xml:space="preserve">Figure 1. </w:t>
      </w:r>
      <w:r w:rsidR="00B51DC0" w:rsidRPr="00DB1984">
        <w:rPr>
          <w:rFonts w:ascii="Arial" w:hAnsi="Arial"/>
          <w:b/>
          <w:sz w:val="18"/>
          <w:szCs w:val="18"/>
        </w:rPr>
        <w:t>SideShow content displayed from a home computer on to a television</w:t>
      </w:r>
    </w:p>
    <w:p w:rsidR="00B51DC0" w:rsidRDefault="00B51DC0" w:rsidP="00B51DC0">
      <w:pPr>
        <w:pStyle w:val="Bodytextindent0"/>
      </w:pPr>
    </w:p>
    <w:p w:rsidR="00B51DC0" w:rsidRDefault="00B51DC0" w:rsidP="00B51DC0">
      <w:pPr>
        <w:pStyle w:val="Heading2"/>
      </w:pPr>
      <w:r>
        <w:t>SideShow-</w:t>
      </w:r>
      <w:r w:rsidR="00154883">
        <w:t>C</w:t>
      </w:r>
      <w:r>
        <w:t xml:space="preserve">ompatible </w:t>
      </w:r>
      <w:r w:rsidR="00154883">
        <w:t>S</w:t>
      </w:r>
      <w:r>
        <w:t>et-</w:t>
      </w:r>
      <w:r w:rsidR="00154883">
        <w:t>T</w:t>
      </w:r>
      <w:r>
        <w:t xml:space="preserve">op </w:t>
      </w:r>
      <w:r w:rsidR="00154883">
        <w:t>B</w:t>
      </w:r>
      <w:r>
        <w:t xml:space="preserve">ox </w:t>
      </w:r>
    </w:p>
    <w:p w:rsidR="00B51DC0" w:rsidRDefault="00B51DC0" w:rsidP="00B51DC0">
      <w:pPr>
        <w:pStyle w:val="Bodytextindent0"/>
      </w:pPr>
      <w:r>
        <w:t>A set-top box with SideShow in its firmware can receive fresh content from the computer</w:t>
      </w:r>
      <w:r w:rsidR="009F304B">
        <w:t>,</w:t>
      </w:r>
      <w:r>
        <w:t xml:space="preserve"> and then deliver it on demand for display on the television. SideShow can accompany other technologies in the set-top box to help users integrate all their media sources and display them on a television to create a rich media experience. The scenarios for a SideShow-compatible set-top box are the same as for </w:t>
      </w:r>
      <w:r w:rsidR="00570440">
        <w:t xml:space="preserve">a </w:t>
      </w:r>
      <w:r>
        <w:t>SideShow-compatible television</w:t>
      </w:r>
      <w:r w:rsidR="008E1737">
        <w:t>—the</w:t>
      </w:r>
      <w:r>
        <w:t xml:space="preserve"> difference </w:t>
      </w:r>
      <w:r w:rsidR="009F304B">
        <w:t xml:space="preserve">is </w:t>
      </w:r>
      <w:r>
        <w:t>in the implementation. With the proliferation of rich, interactive set-top boxes (such as DVRs) that already have network connections, adding SideShow functionality to these devices can require little more than writing some additional software.  Yet it can enable a wealth of new</w:t>
      </w:r>
      <w:r w:rsidR="00570440">
        <w:t xml:space="preserve"> and</w:t>
      </w:r>
      <w:r>
        <w:t xml:space="preserve"> exciting interactive scenarios to further delight customers.</w:t>
      </w:r>
    </w:p>
    <w:p w:rsidR="00B51DC0" w:rsidRDefault="00B51DC0" w:rsidP="00B51DC0">
      <w:pPr>
        <w:pStyle w:val="Heading2"/>
      </w:pPr>
      <w:r>
        <w:t>SideShow-</w:t>
      </w:r>
      <w:r w:rsidR="00154883">
        <w:t>C</w:t>
      </w:r>
      <w:r>
        <w:t xml:space="preserve">ompatible </w:t>
      </w:r>
      <w:r w:rsidR="00154883">
        <w:t>R</w:t>
      </w:r>
      <w:r>
        <w:t xml:space="preserve">emote </w:t>
      </w:r>
      <w:r w:rsidR="00154883">
        <w:t>C</w:t>
      </w:r>
      <w:r>
        <w:t xml:space="preserve">ontrol </w:t>
      </w:r>
    </w:p>
    <w:p w:rsidR="00B51DC0" w:rsidRDefault="00B51DC0" w:rsidP="00B51DC0">
      <w:pPr>
        <w:pStyle w:val="Bodytextindent0"/>
      </w:pPr>
      <w:r>
        <w:t>A remote control with SideShow allows users to control media played from their computer in addition to the entertainment content on their television. Users can control media played from their computer through Extender for Windows Media Center or other media playback software, such as Windows Media Player.  Music on the computer can be played or otherwise controlled even when the television is off, and the media guide can be viewed directly on the remote control.</w:t>
      </w:r>
    </w:p>
    <w:p w:rsidR="00B51DC0" w:rsidRDefault="00B51DC0" w:rsidP="00B51DC0">
      <w:pPr>
        <w:pStyle w:val="Bodytextindent0"/>
      </w:pPr>
      <w:r>
        <w:t xml:space="preserve">The remote control is also capable of displaying the same gadgets that </w:t>
      </w:r>
      <w:r w:rsidR="00645782">
        <w:t>can</w:t>
      </w:r>
      <w:r>
        <w:t xml:space="preserve"> be shown on the television or set-top box, providing yet another outlet for content depending on the user’s needs. </w:t>
      </w:r>
    </w:p>
    <w:p w:rsidR="00B51DC0" w:rsidRDefault="00B51DC0" w:rsidP="00B51DC0">
      <w:pPr>
        <w:pStyle w:val="Bodytextindent0"/>
      </w:pPr>
      <w:r>
        <w:rPr>
          <w:rFonts w:ascii="Verdana" w:hAnsi="Verdana"/>
          <w:noProof/>
          <w:color w:val="D84E00"/>
          <w:sz w:val="17"/>
          <w:szCs w:val="17"/>
          <w:lang w:eastAsia="zh-TW"/>
        </w:rPr>
        <w:lastRenderedPageBreak/>
        <w:drawing>
          <wp:inline distT="0" distB="0" distL="0" distR="0">
            <wp:extent cx="1754684" cy="4991100"/>
            <wp:effectExtent l="19050" t="0" r="0" b="0"/>
            <wp:docPr id="4" name="webImgShrinked" descr="Pictur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9"/>
                    </pic:cNvPr>
                    <pic:cNvPicPr>
                      <a:picLocks noChangeAspect="1" noChangeArrowheads="1"/>
                    </pic:cNvPicPr>
                  </pic:nvPicPr>
                  <pic:blipFill>
                    <a:blip r:embed="rId10"/>
                    <a:srcRect/>
                    <a:stretch>
                      <a:fillRect/>
                    </a:stretch>
                  </pic:blipFill>
                  <pic:spPr bwMode="auto">
                    <a:xfrm>
                      <a:off x="0" y="0"/>
                      <a:ext cx="1754684" cy="4991100"/>
                    </a:xfrm>
                    <a:prstGeom prst="rect">
                      <a:avLst/>
                    </a:prstGeom>
                    <a:noFill/>
                    <a:ln w="9525">
                      <a:noFill/>
                      <a:miter lim="800000"/>
                      <a:headEnd/>
                      <a:tailEnd/>
                    </a:ln>
                  </pic:spPr>
                </pic:pic>
              </a:graphicData>
            </a:graphic>
          </wp:inline>
        </w:drawing>
      </w:r>
    </w:p>
    <w:p w:rsidR="00B51DC0" w:rsidRPr="00904C57" w:rsidRDefault="00154883" w:rsidP="00B51DC0">
      <w:pPr>
        <w:pStyle w:val="Bodytextindent0"/>
        <w:rPr>
          <w:rFonts w:ascii="Arial" w:hAnsi="Arial"/>
          <w:b/>
          <w:sz w:val="18"/>
          <w:szCs w:val="18"/>
        </w:rPr>
      </w:pPr>
      <w:r>
        <w:rPr>
          <w:rFonts w:ascii="Arial" w:hAnsi="Arial"/>
          <w:b/>
          <w:sz w:val="18"/>
          <w:szCs w:val="18"/>
        </w:rPr>
        <w:t xml:space="preserve">Figure 2. </w:t>
      </w:r>
      <w:r w:rsidR="00B51DC0" w:rsidRPr="00DB1984">
        <w:rPr>
          <w:rFonts w:ascii="Arial" w:hAnsi="Arial"/>
          <w:b/>
          <w:sz w:val="18"/>
          <w:szCs w:val="18"/>
        </w:rPr>
        <w:t xml:space="preserve"> SideShow-compatible remote control that is being used to play music from a computer</w:t>
      </w:r>
    </w:p>
    <w:p w:rsidR="00B51DC0" w:rsidRDefault="00B51DC0" w:rsidP="00B51DC0">
      <w:pPr>
        <w:pStyle w:val="Bodytextindent0"/>
      </w:pPr>
    </w:p>
    <w:p w:rsidR="00B51DC0" w:rsidRDefault="00B51DC0" w:rsidP="00B51DC0">
      <w:pPr>
        <w:pStyle w:val="Bodytextindent0"/>
      </w:pPr>
    </w:p>
    <w:p w:rsidR="00B51DC0" w:rsidRDefault="00B51DC0" w:rsidP="00B51DC0">
      <w:pPr>
        <w:pStyle w:val="Bodytextindent0"/>
      </w:pPr>
    </w:p>
    <w:p w:rsidR="00B51DC0" w:rsidRDefault="00B51DC0" w:rsidP="00B51DC0">
      <w:pPr>
        <w:pStyle w:val="Bodytextindent0"/>
      </w:pPr>
    </w:p>
    <w:p w:rsidR="00B51DC0" w:rsidRDefault="00B51DC0" w:rsidP="00B51DC0">
      <w:pPr>
        <w:pStyle w:val="Bodytextindent0"/>
      </w:pPr>
    </w:p>
    <w:p w:rsidR="00B51DC0" w:rsidRDefault="00B51DC0" w:rsidP="00B51DC0">
      <w:pPr>
        <w:pStyle w:val="Bodytextindent0"/>
      </w:pPr>
    </w:p>
    <w:p w:rsidR="00B51DC0" w:rsidRDefault="00B51DC0" w:rsidP="00B51DC0">
      <w:pPr>
        <w:pStyle w:val="Bodytextindent0"/>
      </w:pPr>
    </w:p>
    <w:p w:rsidR="00B51DC0" w:rsidRDefault="00B51DC0" w:rsidP="00B51DC0">
      <w:pPr>
        <w:pStyle w:val="Bodytextindent0"/>
      </w:pPr>
    </w:p>
    <w:p w:rsidR="00B51DC0" w:rsidRDefault="00B51DC0" w:rsidP="00B51DC0">
      <w:pPr>
        <w:pStyle w:val="Bodytextindent0"/>
      </w:pPr>
    </w:p>
    <w:p w:rsidR="00B51DC0" w:rsidRDefault="00B51DC0" w:rsidP="00B51DC0">
      <w:pPr>
        <w:pStyle w:val="Bodytextindent0"/>
      </w:pPr>
    </w:p>
    <w:p w:rsidR="00B51DC0" w:rsidRDefault="00B51DC0" w:rsidP="00B51DC0">
      <w:pPr>
        <w:pStyle w:val="Heading1"/>
      </w:pPr>
      <w:bookmarkStart w:id="1" w:name="_Toc213138639"/>
      <w:r>
        <w:lastRenderedPageBreak/>
        <w:t>The User and the Market for SideShow-</w:t>
      </w:r>
      <w:r w:rsidR="004728A4">
        <w:t>C</w:t>
      </w:r>
      <w:r>
        <w:t>ompatible Televisions and Set-</w:t>
      </w:r>
      <w:r w:rsidR="004728A4">
        <w:t>T</w:t>
      </w:r>
      <w:r>
        <w:t>op Boxes</w:t>
      </w:r>
      <w:bookmarkEnd w:id="1"/>
    </w:p>
    <w:p w:rsidR="00E17409" w:rsidRDefault="00B51DC0" w:rsidP="00B51DC0">
      <w:pPr>
        <w:pStyle w:val="Bodytextindent0"/>
        <w:ind w:left="0"/>
      </w:pPr>
      <w:r>
        <w:t xml:space="preserve">Windows SideShow on televisions and set-top boxes appeals to a broad range of consumers, including connected families and technical enthusiasts. Connected families are defined as consumers that have a computer that all members of the family use. They are motivated to purchase and use a computer for their children’s education and schoolwork, and they want to use parental controls on the computer. Technical enthusiasts are interested in the latest technology, excited about consumer electronics and digital devices, and are deeply involved in </w:t>
      </w:r>
      <w:r w:rsidR="007C5CB8">
        <w:t>creating content</w:t>
      </w:r>
      <w:r>
        <w:t xml:space="preserve"> (for example, blogging</w:t>
      </w:r>
      <w:r w:rsidR="000207B3">
        <w:t>,</w:t>
      </w:r>
      <w:r>
        <w:t xml:space="preserve"> and burning DVDs) and accessing networked files. </w:t>
      </w:r>
    </w:p>
    <w:p w:rsidR="00B51DC0" w:rsidRDefault="00B51DC0" w:rsidP="00B51DC0">
      <w:pPr>
        <w:pStyle w:val="Bodytextindent0"/>
        <w:ind w:left="0"/>
      </w:pPr>
      <w:r>
        <w:t>Connected families and technical enthusiasts make up 10</w:t>
      </w:r>
      <w:r w:rsidR="000207B3">
        <w:t xml:space="preserve"> percent </w:t>
      </w:r>
      <w:r>
        <w:t>of U</w:t>
      </w:r>
      <w:r w:rsidR="00E17409">
        <w:t>.</w:t>
      </w:r>
      <w:r>
        <w:t>S</w:t>
      </w:r>
      <w:r w:rsidR="00E17409">
        <w:t>.</w:t>
      </w:r>
      <w:r>
        <w:t xml:space="preserve"> households. </w:t>
      </w:r>
      <w:r w:rsidR="000207B3">
        <w:t xml:space="preserve">41 </w:t>
      </w:r>
      <w:r>
        <w:t xml:space="preserve">percent of connected families are willing to pay 1000 </w:t>
      </w:r>
      <w:r w:rsidR="000207B3">
        <w:t xml:space="preserve">dollars </w:t>
      </w:r>
      <w:r>
        <w:t xml:space="preserve">or more for their next computer, and </w:t>
      </w:r>
      <w:r w:rsidR="000207B3">
        <w:t>58</w:t>
      </w:r>
      <w:r>
        <w:t xml:space="preserve"> percent of technical enthusiasts are willing to pay 1000 </w:t>
      </w:r>
      <w:r w:rsidR="000207B3">
        <w:t xml:space="preserve">dollars </w:t>
      </w:r>
      <w:r>
        <w:t>or more for their next computer.</w:t>
      </w:r>
      <w:r>
        <w:rPr>
          <w:rStyle w:val="FootnoteReference"/>
        </w:rPr>
        <w:footnoteReference w:id="2"/>
      </w:r>
      <w:r>
        <w:t xml:space="preserve"> By the end of 2008, consumers worldwide will own 186 million devices that allow TVs to access web content.</w:t>
      </w:r>
      <w:r>
        <w:rPr>
          <w:rStyle w:val="FootnoteReference"/>
        </w:rPr>
        <w:footnoteReference w:id="3"/>
      </w:r>
      <w:r>
        <w:t xml:space="preserve"> For these groups of consumers, the most appealing benefits of adding Windows SideShow to televisions and set-top boxes are the enhanced entertainment experience, convenient access to information, and the integration of the media experience with </w:t>
      </w:r>
      <w:r w:rsidR="00E17409">
        <w:t xml:space="preserve">the </w:t>
      </w:r>
      <w:r>
        <w:t>user’s computer content.</w:t>
      </w:r>
    </w:p>
    <w:p w:rsidR="00B51DC0" w:rsidRDefault="00B51DC0" w:rsidP="00B51DC0">
      <w:pPr>
        <w:pStyle w:val="bulletlist0"/>
      </w:pPr>
      <w:r>
        <w:t>Convenient access to information on the computer</w:t>
      </w:r>
      <w:r w:rsidR="000207B3">
        <w:t>.</w:t>
      </w:r>
    </w:p>
    <w:p w:rsidR="00B51DC0" w:rsidRDefault="00B51DC0" w:rsidP="00B51DC0">
      <w:pPr>
        <w:pStyle w:val="Bodytextindent0"/>
      </w:pPr>
      <w:r>
        <w:t>Many consumers are already streaming media and accessing all their files over a network. They are motivated to purchase devices that allow them easy setup and access to movies, pictures, videos, and other media resources. By using SideShow with their television, consumers can have access to current and fresh media along with their home network content.</w:t>
      </w:r>
      <w:r w:rsidRPr="00C25778">
        <w:t xml:space="preserve"> </w:t>
      </w:r>
    </w:p>
    <w:p w:rsidR="00B51DC0" w:rsidRDefault="00B51DC0" w:rsidP="00B51DC0">
      <w:pPr>
        <w:pStyle w:val="bulletlist0"/>
      </w:pPr>
      <w:r>
        <w:t>Centralized experience</w:t>
      </w:r>
      <w:r w:rsidR="000207B3">
        <w:t>.</w:t>
      </w:r>
    </w:p>
    <w:p w:rsidR="00B51DC0" w:rsidRDefault="00B51DC0" w:rsidP="00B51DC0">
      <w:pPr>
        <w:pStyle w:val="Bodytextindent0"/>
      </w:pPr>
      <w:r>
        <w:t xml:space="preserve">By using SideShow with their television, </w:t>
      </w:r>
      <w:r w:rsidR="00C86F91">
        <w:t xml:space="preserve">users </w:t>
      </w:r>
      <w:r>
        <w:t xml:space="preserve">can access their content on their television, which provides them all of their relevant computer information in a centralized location. No longer must the user get up during a commercial break to go check their e-mail in another room or see if a friend is trying to </w:t>
      </w:r>
      <w:r w:rsidR="00C86F91">
        <w:t>send them an instant message</w:t>
      </w:r>
      <w:r w:rsidR="009F474B">
        <w:t xml:space="preserve">. When </w:t>
      </w:r>
      <w:r>
        <w:t xml:space="preserve">information </w:t>
      </w:r>
      <w:r w:rsidR="009F474B">
        <w:t xml:space="preserve">is accessible to users </w:t>
      </w:r>
      <w:r>
        <w:t xml:space="preserve">where they are, </w:t>
      </w:r>
      <w:r w:rsidR="009F474B">
        <w:t xml:space="preserve">they </w:t>
      </w:r>
      <w:r>
        <w:t>can be more efficient.</w:t>
      </w:r>
    </w:p>
    <w:p w:rsidR="001F0C2F" w:rsidRDefault="001F0C2F">
      <w:pPr>
        <w:rPr>
          <w:rFonts w:eastAsia="MS Mincho" w:cs="Arial"/>
          <w:szCs w:val="20"/>
        </w:rPr>
      </w:pPr>
      <w:r>
        <w:br w:type="page"/>
      </w:r>
    </w:p>
    <w:p w:rsidR="009D4EA6" w:rsidRDefault="009D4EA6">
      <w:pPr>
        <w:pStyle w:val="BodyText"/>
      </w:pPr>
    </w:p>
    <w:p w:rsidR="00B51DC0" w:rsidRDefault="00B51DC0" w:rsidP="00B51DC0">
      <w:pPr>
        <w:pStyle w:val="Heading1"/>
      </w:pPr>
      <w:bookmarkStart w:id="2" w:name="_Toc213138640"/>
      <w:r>
        <w:t>Components for Televisions and Set-</w:t>
      </w:r>
      <w:r w:rsidR="000207B3">
        <w:t>T</w:t>
      </w:r>
      <w:r>
        <w:t>op Boxes</w:t>
      </w:r>
      <w:bookmarkEnd w:id="2"/>
    </w:p>
    <w:p w:rsidR="00B51DC0" w:rsidRDefault="00B51DC0" w:rsidP="00B51DC0">
      <w:pPr>
        <w:pStyle w:val="Bodytextindent0"/>
        <w:ind w:left="0"/>
      </w:pPr>
      <w:r>
        <w:t xml:space="preserve">To get started implementing SideShow technology for televisions and set-top boxes, see the </w:t>
      </w:r>
      <w:r w:rsidR="000F518E">
        <w:t xml:space="preserve">Table 1. </w:t>
      </w:r>
      <w:r>
        <w:t>It outlines the components needed for each hardware solution.</w:t>
      </w:r>
    </w:p>
    <w:p w:rsidR="00613162" w:rsidRDefault="00613162" w:rsidP="00B51DC0">
      <w:pPr>
        <w:pStyle w:val="Bodytextindent0"/>
        <w:ind w:left="0"/>
      </w:pPr>
    </w:p>
    <w:p w:rsidR="00613162" w:rsidRDefault="00462714" w:rsidP="00613162">
      <w:pPr>
        <w:pStyle w:val="TableHead"/>
      </w:pPr>
      <w:r>
        <w:t xml:space="preserve">Table 1. </w:t>
      </w:r>
      <w:r w:rsidR="00613162">
        <w:t xml:space="preserve">Windows SideShow </w:t>
      </w:r>
      <w:r w:rsidR="000F518E">
        <w:t>C</w:t>
      </w:r>
      <w:r w:rsidR="00613162">
        <w:t xml:space="preserve">omponents for </w:t>
      </w:r>
      <w:r w:rsidR="000F518E">
        <w:t>T</w:t>
      </w:r>
      <w:r w:rsidR="00613162">
        <w:t xml:space="preserve">elevisions and </w:t>
      </w:r>
      <w:r w:rsidR="000F518E">
        <w:t>S</w:t>
      </w:r>
      <w:r w:rsidR="00613162">
        <w:t>et-</w:t>
      </w:r>
      <w:r w:rsidR="000F518E">
        <w:t>T</w:t>
      </w:r>
      <w:r w:rsidR="00613162">
        <w:t xml:space="preserve">op </w:t>
      </w:r>
      <w:r w:rsidR="000F518E">
        <w:t>B</w:t>
      </w:r>
      <w:r w:rsidR="00613162">
        <w:t>oxes</w:t>
      </w:r>
    </w:p>
    <w:tbl>
      <w:tblPr>
        <w:tblW w:w="0" w:type="auto"/>
        <w:tblCellMar>
          <w:left w:w="0" w:type="dxa"/>
          <w:right w:w="0" w:type="dxa"/>
        </w:tblCellMar>
        <w:tblLook w:val="04A0"/>
      </w:tblPr>
      <w:tblGrid>
        <w:gridCol w:w="1463"/>
        <w:gridCol w:w="1281"/>
        <w:gridCol w:w="1666"/>
        <w:gridCol w:w="1423"/>
        <w:gridCol w:w="1423"/>
      </w:tblGrid>
      <w:tr w:rsidR="00613162" w:rsidTr="00613162">
        <w:trPr>
          <w:cantSplit/>
          <w:tblHeader/>
        </w:trPr>
        <w:tc>
          <w:tcPr>
            <w:tcW w:w="1463" w:type="dxa"/>
            <w:tcBorders>
              <w:top w:val="single" w:sz="8" w:space="0" w:color="auto"/>
              <w:left w:val="nil"/>
              <w:bottom w:val="single" w:sz="8" w:space="0" w:color="auto"/>
              <w:right w:val="nil"/>
            </w:tcBorders>
            <w:shd w:val="clear" w:color="auto" w:fill="C6D9F1"/>
            <w:tcMar>
              <w:top w:w="0" w:type="dxa"/>
              <w:left w:w="108" w:type="dxa"/>
              <w:bottom w:w="0" w:type="dxa"/>
              <w:right w:w="108" w:type="dxa"/>
            </w:tcMar>
            <w:hideMark/>
          </w:tcPr>
          <w:p w:rsidR="00613162" w:rsidRDefault="00613162">
            <w:pPr>
              <w:keepNext/>
              <w:rPr>
                <w:rFonts w:eastAsiaTheme="minorHAnsi"/>
                <w:b/>
                <w:bCs/>
                <w:sz w:val="20"/>
                <w:szCs w:val="20"/>
              </w:rPr>
            </w:pPr>
            <w:r>
              <w:rPr>
                <w:b/>
                <w:bCs/>
                <w:sz w:val="20"/>
                <w:szCs w:val="20"/>
              </w:rPr>
              <w:t>Device</w:t>
            </w:r>
          </w:p>
        </w:tc>
        <w:tc>
          <w:tcPr>
            <w:tcW w:w="1281" w:type="dxa"/>
            <w:tcBorders>
              <w:top w:val="single" w:sz="8" w:space="0" w:color="auto"/>
              <w:left w:val="nil"/>
              <w:bottom w:val="single" w:sz="8" w:space="0" w:color="auto"/>
              <w:right w:val="nil"/>
            </w:tcBorders>
            <w:shd w:val="clear" w:color="auto" w:fill="C6D9F1"/>
            <w:tcMar>
              <w:top w:w="0" w:type="dxa"/>
              <w:left w:w="108" w:type="dxa"/>
              <w:bottom w:w="0" w:type="dxa"/>
              <w:right w:w="108" w:type="dxa"/>
            </w:tcMar>
            <w:hideMark/>
          </w:tcPr>
          <w:p w:rsidR="00613162" w:rsidRDefault="006B2ED0">
            <w:pPr>
              <w:keepNext/>
              <w:rPr>
                <w:rFonts w:eastAsiaTheme="minorHAnsi"/>
                <w:b/>
                <w:bCs/>
                <w:sz w:val="20"/>
                <w:szCs w:val="20"/>
              </w:rPr>
            </w:pPr>
            <w:hyperlink r:id="rId11" w:tgtFrame="_blank" w:history="1">
              <w:r w:rsidR="00613162" w:rsidRPr="0076204E">
                <w:rPr>
                  <w:rStyle w:val="Hyperlink"/>
                  <w:sz w:val="20"/>
                  <w:szCs w:val="20"/>
                </w:rPr>
                <w:t>SideShow Device Components for Windows CE 5.0</w:t>
              </w:r>
            </w:hyperlink>
          </w:p>
        </w:tc>
        <w:tc>
          <w:tcPr>
            <w:tcW w:w="1666" w:type="dxa"/>
            <w:tcBorders>
              <w:top w:val="single" w:sz="8" w:space="0" w:color="auto"/>
              <w:left w:val="nil"/>
              <w:bottom w:val="single" w:sz="8" w:space="0" w:color="auto"/>
              <w:right w:val="nil"/>
            </w:tcBorders>
            <w:shd w:val="clear" w:color="auto" w:fill="C6D9F1"/>
            <w:tcMar>
              <w:top w:w="0" w:type="dxa"/>
              <w:left w:w="108" w:type="dxa"/>
              <w:bottom w:w="0" w:type="dxa"/>
              <w:right w:w="108" w:type="dxa"/>
            </w:tcMar>
            <w:hideMark/>
          </w:tcPr>
          <w:p w:rsidR="00613162" w:rsidRDefault="006B2ED0">
            <w:pPr>
              <w:keepNext/>
              <w:rPr>
                <w:rFonts w:eastAsiaTheme="minorHAnsi"/>
                <w:b/>
                <w:bCs/>
                <w:sz w:val="18"/>
                <w:szCs w:val="18"/>
              </w:rPr>
            </w:pPr>
            <w:hyperlink r:id="rId12" w:tgtFrame="_blank" w:history="1">
              <w:r w:rsidR="00613162" w:rsidRPr="002F29ED">
                <w:rPr>
                  <w:rStyle w:val="Hyperlink"/>
                  <w:sz w:val="20"/>
                  <w:szCs w:val="20"/>
                </w:rPr>
                <w:t>Windows SideShow Bitmap Driver</w:t>
              </w:r>
            </w:hyperlink>
          </w:p>
        </w:tc>
        <w:tc>
          <w:tcPr>
            <w:tcW w:w="1423" w:type="dxa"/>
            <w:tcBorders>
              <w:top w:val="single" w:sz="8" w:space="0" w:color="auto"/>
              <w:left w:val="nil"/>
              <w:bottom w:val="single" w:sz="8" w:space="0" w:color="auto"/>
              <w:right w:val="nil"/>
            </w:tcBorders>
            <w:shd w:val="clear" w:color="auto" w:fill="C6D9F1"/>
            <w:tcMar>
              <w:top w:w="0" w:type="dxa"/>
              <w:left w:w="108" w:type="dxa"/>
              <w:bottom w:w="0" w:type="dxa"/>
              <w:right w:w="108" w:type="dxa"/>
            </w:tcMar>
            <w:hideMark/>
          </w:tcPr>
          <w:p w:rsidR="00613162" w:rsidRDefault="006B2ED0">
            <w:pPr>
              <w:keepNext/>
              <w:rPr>
                <w:rFonts w:eastAsiaTheme="minorHAnsi"/>
                <w:b/>
                <w:bCs/>
                <w:sz w:val="18"/>
                <w:szCs w:val="18"/>
              </w:rPr>
            </w:pPr>
            <w:hyperlink r:id="rId13" w:tgtFrame="_blank" w:history="1">
              <w:r w:rsidR="00613162" w:rsidRPr="00E171C0">
                <w:rPr>
                  <w:rStyle w:val="Hyperlink"/>
                  <w:sz w:val="20"/>
                  <w:szCs w:val="20"/>
                </w:rPr>
                <w:t>Universal Driver for Windows SideShow 1.5</w:t>
              </w:r>
            </w:hyperlink>
          </w:p>
        </w:tc>
        <w:tc>
          <w:tcPr>
            <w:tcW w:w="1423" w:type="dxa"/>
            <w:tcBorders>
              <w:top w:val="single" w:sz="8" w:space="0" w:color="auto"/>
              <w:left w:val="nil"/>
              <w:bottom w:val="single" w:sz="8" w:space="0" w:color="auto"/>
              <w:right w:val="nil"/>
            </w:tcBorders>
            <w:shd w:val="clear" w:color="auto" w:fill="C6D9F1"/>
            <w:tcMar>
              <w:top w:w="0" w:type="dxa"/>
              <w:left w:w="108" w:type="dxa"/>
              <w:bottom w:w="0" w:type="dxa"/>
              <w:right w:w="108" w:type="dxa"/>
            </w:tcMar>
            <w:hideMark/>
          </w:tcPr>
          <w:p w:rsidR="00613162" w:rsidRDefault="006B2ED0">
            <w:pPr>
              <w:keepNext/>
              <w:rPr>
                <w:rFonts w:eastAsiaTheme="minorHAnsi"/>
                <w:sz w:val="20"/>
                <w:szCs w:val="20"/>
              </w:rPr>
            </w:pPr>
            <w:hyperlink r:id="rId14" w:tgtFrame="_blank" w:history="1">
              <w:r w:rsidR="00613162" w:rsidRPr="003C5998">
                <w:rPr>
                  <w:rStyle w:val="Hyperlink"/>
                  <w:sz w:val="20"/>
                  <w:szCs w:val="20"/>
                </w:rPr>
                <w:t>Windows SideShow Device SDK for .NET Micro Framework 3.0</w:t>
              </w:r>
            </w:hyperlink>
          </w:p>
        </w:tc>
      </w:tr>
      <w:tr w:rsidR="00613162" w:rsidTr="00613162">
        <w:trPr>
          <w:cantSplit/>
        </w:trPr>
        <w:tc>
          <w:tcPr>
            <w:tcW w:w="1463" w:type="dxa"/>
            <w:tcBorders>
              <w:top w:val="nil"/>
              <w:left w:val="nil"/>
              <w:bottom w:val="single" w:sz="8" w:space="0" w:color="BFBFBF"/>
              <w:right w:val="single" w:sz="8" w:space="0" w:color="BFBFBF"/>
            </w:tcBorders>
            <w:tcMar>
              <w:top w:w="0" w:type="dxa"/>
              <w:left w:w="108" w:type="dxa"/>
              <w:bottom w:w="0" w:type="dxa"/>
              <w:right w:w="108" w:type="dxa"/>
            </w:tcMar>
            <w:hideMark/>
          </w:tcPr>
          <w:p w:rsidR="00613162" w:rsidRDefault="00613162">
            <w:pPr>
              <w:rPr>
                <w:rFonts w:eastAsiaTheme="minorHAnsi"/>
                <w:sz w:val="20"/>
                <w:szCs w:val="20"/>
              </w:rPr>
            </w:pPr>
            <w:r>
              <w:rPr>
                <w:sz w:val="20"/>
                <w:szCs w:val="20"/>
              </w:rPr>
              <w:t>TV</w:t>
            </w:r>
          </w:p>
        </w:tc>
        <w:tc>
          <w:tcPr>
            <w:tcW w:w="1281" w:type="dxa"/>
            <w:tcBorders>
              <w:top w:val="nil"/>
              <w:left w:val="nil"/>
              <w:bottom w:val="single" w:sz="8" w:space="0" w:color="BFBFBF"/>
              <w:right w:val="single" w:sz="8" w:space="0" w:color="BFBFBF"/>
            </w:tcBorders>
            <w:tcMar>
              <w:top w:w="0" w:type="dxa"/>
              <w:left w:w="108" w:type="dxa"/>
              <w:bottom w:w="0" w:type="dxa"/>
              <w:right w:w="108" w:type="dxa"/>
            </w:tcMar>
          </w:tcPr>
          <w:p w:rsidR="00613162" w:rsidRDefault="00613162">
            <w:pPr>
              <w:pStyle w:val="TableBullet"/>
              <w:numPr>
                <w:ilvl w:val="0"/>
                <w:numId w:val="0"/>
              </w:numPr>
              <w:tabs>
                <w:tab w:val="left" w:pos="720"/>
              </w:tabs>
              <w:rPr>
                <w:sz w:val="20"/>
                <w:szCs w:val="20"/>
              </w:rPr>
            </w:pPr>
          </w:p>
        </w:tc>
        <w:tc>
          <w:tcPr>
            <w:tcW w:w="1666" w:type="dxa"/>
            <w:tcBorders>
              <w:top w:val="nil"/>
              <w:left w:val="nil"/>
              <w:bottom w:val="single" w:sz="8" w:space="0" w:color="BFBFBF"/>
              <w:right w:val="single" w:sz="8" w:space="0" w:color="BFBFBF"/>
            </w:tcBorders>
            <w:tcMar>
              <w:top w:w="0" w:type="dxa"/>
              <w:left w:w="108" w:type="dxa"/>
              <w:bottom w:w="0" w:type="dxa"/>
              <w:right w:w="108" w:type="dxa"/>
            </w:tcMar>
            <w:hideMark/>
          </w:tcPr>
          <w:p w:rsidR="00613162" w:rsidRDefault="00F204D5">
            <w:pPr>
              <w:pStyle w:val="TableBullet"/>
              <w:numPr>
                <w:ilvl w:val="0"/>
                <w:numId w:val="0"/>
              </w:numPr>
              <w:tabs>
                <w:tab w:val="left" w:pos="720"/>
              </w:tabs>
              <w:ind w:left="120"/>
            </w:pPr>
            <w:r>
              <w:rPr>
                <w:rFonts w:ascii="Wingdings" w:hAnsi="Wingdings"/>
                <w:sz w:val="20"/>
                <w:szCs w:val="20"/>
              </w:rPr>
              <w:t></w:t>
            </w:r>
          </w:p>
        </w:tc>
        <w:tc>
          <w:tcPr>
            <w:tcW w:w="1423" w:type="dxa"/>
            <w:tcBorders>
              <w:top w:val="nil"/>
              <w:left w:val="nil"/>
              <w:bottom w:val="single" w:sz="8" w:space="0" w:color="BFBFBF"/>
              <w:right w:val="single" w:sz="8" w:space="0" w:color="BFBFBF"/>
            </w:tcBorders>
            <w:tcMar>
              <w:top w:w="0" w:type="dxa"/>
              <w:left w:w="108" w:type="dxa"/>
              <w:bottom w:w="0" w:type="dxa"/>
              <w:right w:w="108" w:type="dxa"/>
            </w:tcMar>
            <w:hideMark/>
          </w:tcPr>
          <w:p w:rsidR="00613162" w:rsidRDefault="00F204D5">
            <w:pPr>
              <w:rPr>
                <w:rFonts w:eastAsiaTheme="minorHAnsi"/>
                <w:sz w:val="20"/>
                <w:szCs w:val="20"/>
              </w:rPr>
            </w:pPr>
            <w:r>
              <w:rPr>
                <w:rFonts w:ascii="Wingdings" w:hAnsi="Wingdings"/>
                <w:sz w:val="20"/>
                <w:szCs w:val="20"/>
              </w:rPr>
              <w:t></w:t>
            </w:r>
          </w:p>
        </w:tc>
        <w:tc>
          <w:tcPr>
            <w:tcW w:w="1423" w:type="dxa"/>
            <w:tcBorders>
              <w:top w:val="nil"/>
              <w:left w:val="nil"/>
              <w:bottom w:val="single" w:sz="8" w:space="0" w:color="BFBFBF"/>
              <w:right w:val="nil"/>
            </w:tcBorders>
            <w:tcMar>
              <w:top w:w="0" w:type="dxa"/>
              <w:left w:w="108" w:type="dxa"/>
              <w:bottom w:w="0" w:type="dxa"/>
              <w:right w:w="108" w:type="dxa"/>
            </w:tcMar>
          </w:tcPr>
          <w:p w:rsidR="00613162" w:rsidRDefault="00613162">
            <w:pPr>
              <w:rPr>
                <w:rFonts w:eastAsiaTheme="minorHAnsi"/>
                <w:sz w:val="20"/>
                <w:szCs w:val="20"/>
              </w:rPr>
            </w:pPr>
          </w:p>
        </w:tc>
      </w:tr>
      <w:tr w:rsidR="00613162" w:rsidTr="00613162">
        <w:trPr>
          <w:cantSplit/>
        </w:trPr>
        <w:tc>
          <w:tcPr>
            <w:tcW w:w="1463" w:type="dxa"/>
            <w:tcBorders>
              <w:top w:val="nil"/>
              <w:left w:val="nil"/>
              <w:bottom w:val="single" w:sz="8" w:space="0" w:color="BFBFBF"/>
              <w:right w:val="single" w:sz="8" w:space="0" w:color="BFBFBF"/>
            </w:tcBorders>
            <w:tcMar>
              <w:top w:w="0" w:type="dxa"/>
              <w:left w:w="108" w:type="dxa"/>
              <w:bottom w:w="0" w:type="dxa"/>
              <w:right w:w="108" w:type="dxa"/>
            </w:tcMar>
            <w:hideMark/>
          </w:tcPr>
          <w:p w:rsidR="00613162" w:rsidRDefault="00613162">
            <w:pPr>
              <w:rPr>
                <w:rFonts w:eastAsiaTheme="minorHAnsi"/>
                <w:sz w:val="20"/>
                <w:szCs w:val="20"/>
              </w:rPr>
            </w:pPr>
            <w:r>
              <w:rPr>
                <w:sz w:val="20"/>
                <w:szCs w:val="20"/>
              </w:rPr>
              <w:t xml:space="preserve">Set-top box </w:t>
            </w:r>
          </w:p>
        </w:tc>
        <w:tc>
          <w:tcPr>
            <w:tcW w:w="1281" w:type="dxa"/>
            <w:tcBorders>
              <w:top w:val="nil"/>
              <w:left w:val="nil"/>
              <w:bottom w:val="single" w:sz="8" w:space="0" w:color="BFBFBF"/>
              <w:right w:val="single" w:sz="8" w:space="0" w:color="BFBFBF"/>
            </w:tcBorders>
            <w:tcMar>
              <w:top w:w="0" w:type="dxa"/>
              <w:left w:w="108" w:type="dxa"/>
              <w:bottom w:w="0" w:type="dxa"/>
              <w:right w:w="108" w:type="dxa"/>
            </w:tcMar>
            <w:hideMark/>
          </w:tcPr>
          <w:p w:rsidR="00613162" w:rsidRDefault="00F204D5">
            <w:pPr>
              <w:pStyle w:val="TableBullet"/>
              <w:numPr>
                <w:ilvl w:val="0"/>
                <w:numId w:val="0"/>
              </w:numPr>
              <w:tabs>
                <w:tab w:val="left" w:pos="720"/>
              </w:tabs>
              <w:rPr>
                <w:sz w:val="20"/>
                <w:szCs w:val="20"/>
              </w:rPr>
            </w:pPr>
            <w:r>
              <w:rPr>
                <w:rFonts w:ascii="Wingdings" w:hAnsi="Wingdings"/>
                <w:sz w:val="20"/>
                <w:szCs w:val="20"/>
              </w:rPr>
              <w:t></w:t>
            </w:r>
          </w:p>
        </w:tc>
        <w:tc>
          <w:tcPr>
            <w:tcW w:w="1666" w:type="dxa"/>
            <w:tcBorders>
              <w:top w:val="nil"/>
              <w:left w:val="nil"/>
              <w:bottom w:val="single" w:sz="8" w:space="0" w:color="BFBFBF"/>
              <w:right w:val="single" w:sz="8" w:space="0" w:color="BFBFBF"/>
            </w:tcBorders>
            <w:tcMar>
              <w:top w:w="0" w:type="dxa"/>
              <w:left w:w="108" w:type="dxa"/>
              <w:bottom w:w="0" w:type="dxa"/>
              <w:right w:w="108" w:type="dxa"/>
            </w:tcMar>
            <w:hideMark/>
          </w:tcPr>
          <w:p w:rsidR="00613162" w:rsidRDefault="00F204D5">
            <w:pPr>
              <w:pStyle w:val="TableBullet"/>
              <w:numPr>
                <w:ilvl w:val="0"/>
                <w:numId w:val="0"/>
              </w:numPr>
              <w:tabs>
                <w:tab w:val="left" w:pos="720"/>
              </w:tabs>
              <w:ind w:left="120"/>
            </w:pPr>
            <w:r>
              <w:rPr>
                <w:rFonts w:ascii="Wingdings" w:hAnsi="Wingdings"/>
                <w:sz w:val="20"/>
                <w:szCs w:val="20"/>
              </w:rPr>
              <w:t></w:t>
            </w:r>
          </w:p>
        </w:tc>
        <w:tc>
          <w:tcPr>
            <w:tcW w:w="1423" w:type="dxa"/>
            <w:tcBorders>
              <w:top w:val="nil"/>
              <w:left w:val="nil"/>
              <w:bottom w:val="single" w:sz="8" w:space="0" w:color="BFBFBF"/>
              <w:right w:val="single" w:sz="8" w:space="0" w:color="BFBFBF"/>
            </w:tcBorders>
            <w:tcMar>
              <w:top w:w="0" w:type="dxa"/>
              <w:left w:w="108" w:type="dxa"/>
              <w:bottom w:w="0" w:type="dxa"/>
              <w:right w:w="108" w:type="dxa"/>
            </w:tcMar>
            <w:hideMark/>
          </w:tcPr>
          <w:p w:rsidR="00613162" w:rsidRDefault="00F204D5">
            <w:pPr>
              <w:rPr>
                <w:rFonts w:eastAsiaTheme="minorHAnsi"/>
                <w:sz w:val="20"/>
                <w:szCs w:val="20"/>
              </w:rPr>
            </w:pPr>
            <w:r>
              <w:rPr>
                <w:rFonts w:ascii="Wingdings" w:hAnsi="Wingdings"/>
                <w:sz w:val="20"/>
                <w:szCs w:val="20"/>
              </w:rPr>
              <w:t></w:t>
            </w:r>
          </w:p>
        </w:tc>
        <w:tc>
          <w:tcPr>
            <w:tcW w:w="1423" w:type="dxa"/>
            <w:tcBorders>
              <w:top w:val="nil"/>
              <w:left w:val="nil"/>
              <w:bottom w:val="single" w:sz="8" w:space="0" w:color="BFBFBF"/>
              <w:right w:val="nil"/>
            </w:tcBorders>
            <w:tcMar>
              <w:top w:w="0" w:type="dxa"/>
              <w:left w:w="108" w:type="dxa"/>
              <w:bottom w:w="0" w:type="dxa"/>
              <w:right w:w="108" w:type="dxa"/>
            </w:tcMar>
          </w:tcPr>
          <w:p w:rsidR="00613162" w:rsidRDefault="00613162">
            <w:pPr>
              <w:rPr>
                <w:rFonts w:eastAsiaTheme="minorHAnsi"/>
                <w:sz w:val="20"/>
                <w:szCs w:val="20"/>
              </w:rPr>
            </w:pPr>
          </w:p>
        </w:tc>
      </w:tr>
      <w:tr w:rsidR="00613162" w:rsidTr="00613162">
        <w:trPr>
          <w:cantSplit/>
        </w:trPr>
        <w:tc>
          <w:tcPr>
            <w:tcW w:w="1463" w:type="dxa"/>
            <w:tcBorders>
              <w:top w:val="nil"/>
              <w:left w:val="nil"/>
              <w:bottom w:val="single" w:sz="8" w:space="0" w:color="auto"/>
              <w:right w:val="single" w:sz="8" w:space="0" w:color="BFBFBF"/>
            </w:tcBorders>
            <w:tcMar>
              <w:top w:w="0" w:type="dxa"/>
              <w:left w:w="108" w:type="dxa"/>
              <w:bottom w:w="0" w:type="dxa"/>
              <w:right w:w="108" w:type="dxa"/>
            </w:tcMar>
            <w:hideMark/>
          </w:tcPr>
          <w:p w:rsidR="00613162" w:rsidRDefault="00613162">
            <w:pPr>
              <w:rPr>
                <w:rFonts w:eastAsiaTheme="minorHAnsi"/>
                <w:sz w:val="20"/>
                <w:szCs w:val="20"/>
              </w:rPr>
            </w:pPr>
            <w:r>
              <w:rPr>
                <w:sz w:val="20"/>
                <w:szCs w:val="20"/>
              </w:rPr>
              <w:t xml:space="preserve">Remote control </w:t>
            </w:r>
          </w:p>
        </w:tc>
        <w:tc>
          <w:tcPr>
            <w:tcW w:w="1281" w:type="dxa"/>
            <w:tcBorders>
              <w:top w:val="nil"/>
              <w:left w:val="nil"/>
              <w:bottom w:val="single" w:sz="8" w:space="0" w:color="auto"/>
              <w:right w:val="single" w:sz="8" w:space="0" w:color="BFBFBF"/>
            </w:tcBorders>
            <w:tcMar>
              <w:top w:w="0" w:type="dxa"/>
              <w:left w:w="108" w:type="dxa"/>
              <w:bottom w:w="0" w:type="dxa"/>
              <w:right w:w="108" w:type="dxa"/>
            </w:tcMar>
            <w:hideMark/>
          </w:tcPr>
          <w:p w:rsidR="00613162" w:rsidRDefault="00F204D5">
            <w:pPr>
              <w:pStyle w:val="TableBullet"/>
              <w:numPr>
                <w:ilvl w:val="0"/>
                <w:numId w:val="0"/>
              </w:numPr>
              <w:tabs>
                <w:tab w:val="left" w:pos="720"/>
              </w:tabs>
            </w:pPr>
            <w:r>
              <w:rPr>
                <w:rFonts w:ascii="Wingdings" w:hAnsi="Wingdings"/>
                <w:sz w:val="20"/>
                <w:szCs w:val="20"/>
              </w:rPr>
              <w:t></w:t>
            </w:r>
          </w:p>
        </w:tc>
        <w:tc>
          <w:tcPr>
            <w:tcW w:w="1666" w:type="dxa"/>
            <w:tcBorders>
              <w:top w:val="nil"/>
              <w:left w:val="nil"/>
              <w:bottom w:val="single" w:sz="8" w:space="0" w:color="auto"/>
              <w:right w:val="single" w:sz="8" w:space="0" w:color="BFBFBF"/>
            </w:tcBorders>
            <w:tcMar>
              <w:top w:w="0" w:type="dxa"/>
              <w:left w:w="108" w:type="dxa"/>
              <w:bottom w:w="0" w:type="dxa"/>
              <w:right w:w="108" w:type="dxa"/>
            </w:tcMar>
          </w:tcPr>
          <w:p w:rsidR="00613162" w:rsidRDefault="00613162">
            <w:pPr>
              <w:pStyle w:val="TableBullet"/>
              <w:numPr>
                <w:ilvl w:val="0"/>
                <w:numId w:val="0"/>
              </w:numPr>
              <w:tabs>
                <w:tab w:val="left" w:pos="720"/>
              </w:tabs>
              <w:ind w:left="120"/>
              <w:rPr>
                <w:sz w:val="20"/>
                <w:szCs w:val="20"/>
              </w:rPr>
            </w:pPr>
          </w:p>
        </w:tc>
        <w:tc>
          <w:tcPr>
            <w:tcW w:w="1423" w:type="dxa"/>
            <w:tcBorders>
              <w:top w:val="nil"/>
              <w:left w:val="nil"/>
              <w:bottom w:val="single" w:sz="8" w:space="0" w:color="auto"/>
              <w:right w:val="single" w:sz="8" w:space="0" w:color="BFBFBF"/>
            </w:tcBorders>
            <w:tcMar>
              <w:top w:w="0" w:type="dxa"/>
              <w:left w:w="108" w:type="dxa"/>
              <w:bottom w:w="0" w:type="dxa"/>
              <w:right w:w="108" w:type="dxa"/>
            </w:tcMar>
            <w:hideMark/>
          </w:tcPr>
          <w:p w:rsidR="00613162" w:rsidRDefault="00F204D5">
            <w:pPr>
              <w:rPr>
                <w:rFonts w:eastAsiaTheme="minorHAnsi"/>
                <w:sz w:val="20"/>
                <w:szCs w:val="20"/>
              </w:rPr>
            </w:pPr>
            <w:r>
              <w:rPr>
                <w:rFonts w:ascii="Wingdings" w:hAnsi="Wingdings"/>
                <w:sz w:val="20"/>
                <w:szCs w:val="20"/>
              </w:rPr>
              <w:t></w:t>
            </w:r>
          </w:p>
        </w:tc>
        <w:tc>
          <w:tcPr>
            <w:tcW w:w="1423" w:type="dxa"/>
            <w:tcBorders>
              <w:top w:val="nil"/>
              <w:left w:val="nil"/>
              <w:bottom w:val="single" w:sz="8" w:space="0" w:color="auto"/>
              <w:right w:val="nil"/>
            </w:tcBorders>
            <w:tcMar>
              <w:top w:w="0" w:type="dxa"/>
              <w:left w:w="108" w:type="dxa"/>
              <w:bottom w:w="0" w:type="dxa"/>
              <w:right w:w="108" w:type="dxa"/>
            </w:tcMar>
            <w:hideMark/>
          </w:tcPr>
          <w:p w:rsidR="00613162" w:rsidRDefault="00F204D5">
            <w:pPr>
              <w:rPr>
                <w:rFonts w:eastAsiaTheme="minorHAnsi"/>
                <w:sz w:val="20"/>
                <w:szCs w:val="20"/>
              </w:rPr>
            </w:pPr>
            <w:r>
              <w:rPr>
                <w:rFonts w:ascii="Wingdings" w:hAnsi="Wingdings"/>
                <w:sz w:val="20"/>
                <w:szCs w:val="20"/>
              </w:rPr>
              <w:t></w:t>
            </w:r>
          </w:p>
        </w:tc>
      </w:tr>
    </w:tbl>
    <w:p w:rsidR="009F2266" w:rsidRDefault="009F2266" w:rsidP="00B51DC0"/>
    <w:p w:rsidR="00655A3B" w:rsidRDefault="00655A3B" w:rsidP="00655A3B">
      <w:pPr>
        <w:pStyle w:val="Bodytextindent0"/>
        <w:numPr>
          <w:ilvl w:val="0"/>
          <w:numId w:val="4"/>
        </w:numPr>
      </w:pPr>
      <w:r w:rsidRPr="00655A3B">
        <w:t xml:space="preserve">SideShow Device Components for </w:t>
      </w:r>
      <w:r>
        <w:t xml:space="preserve">Windows CE 5.0 </w:t>
      </w:r>
    </w:p>
    <w:p w:rsidR="00655A3B" w:rsidRPr="00655A3B" w:rsidRDefault="00655A3B" w:rsidP="00655A3B">
      <w:pPr>
        <w:pStyle w:val="Bodytextindent0"/>
        <w:ind w:left="720"/>
      </w:pPr>
      <w:r>
        <w:t>This is a</w:t>
      </w:r>
      <w:r w:rsidRPr="00655A3B">
        <w:t xml:space="preserve"> set of component libraries for Windows CE 5.0</w:t>
      </w:r>
      <w:r>
        <w:t xml:space="preserve"> that</w:t>
      </w:r>
      <w:r w:rsidRPr="00655A3B">
        <w:t xml:space="preserve"> work</w:t>
      </w:r>
      <w:r>
        <w:t>s</w:t>
      </w:r>
      <w:r w:rsidRPr="00655A3B">
        <w:t xml:space="preserve"> with the </w:t>
      </w:r>
      <w:r>
        <w:t>Universal Driver</w:t>
      </w:r>
      <w:r w:rsidRPr="00655A3B">
        <w:t xml:space="preserve"> to communicate </w:t>
      </w:r>
      <w:r>
        <w:t>with</w:t>
      </w:r>
      <w:r w:rsidRPr="00655A3B">
        <w:t xml:space="preserve"> </w:t>
      </w:r>
      <w:r>
        <w:t xml:space="preserve">a computer running Windows </w:t>
      </w:r>
      <w:r w:rsidRPr="00655A3B">
        <w:t xml:space="preserve">Vista. No </w:t>
      </w:r>
      <w:r>
        <w:t xml:space="preserve">user interface </w:t>
      </w:r>
      <w:r w:rsidRPr="00655A3B">
        <w:t>is provided.</w:t>
      </w:r>
    </w:p>
    <w:p w:rsidR="00655A3B" w:rsidRDefault="00655A3B" w:rsidP="00655A3B">
      <w:pPr>
        <w:pStyle w:val="Bodytextindent0"/>
        <w:numPr>
          <w:ilvl w:val="0"/>
          <w:numId w:val="4"/>
        </w:numPr>
      </w:pPr>
      <w:r w:rsidRPr="00655A3B">
        <w:t>Windows SideShow Bitmap Driver</w:t>
      </w:r>
    </w:p>
    <w:p w:rsidR="00166AF2" w:rsidRPr="00166AF2" w:rsidRDefault="00166AF2" w:rsidP="00166AF2">
      <w:pPr>
        <w:pStyle w:val="Bodytextindent0"/>
        <w:ind w:left="720"/>
      </w:pPr>
      <w:r w:rsidRPr="00166AF2">
        <w:t>This solution renders pages on a computer and sends bitmap images to the SideShow-compatible device, so the device can be lower cost. The main trade</w:t>
      </w:r>
      <w:r w:rsidR="000F4BD8">
        <w:t xml:space="preserve"> </w:t>
      </w:r>
      <w:r w:rsidRPr="00166AF2">
        <w:t>off compared to other solutions is the lack of functionality when the computer is off or the device is otherwise disconnected. It is provided as a shared source project on CodePlex. A button-based sample user interface is provided and can be extended to support touch or other features.</w:t>
      </w:r>
    </w:p>
    <w:p w:rsidR="00655A3B" w:rsidRPr="00655A3B" w:rsidRDefault="00166AF2" w:rsidP="00166AF2">
      <w:pPr>
        <w:pStyle w:val="Bodytextindent0"/>
        <w:ind w:left="720"/>
      </w:pPr>
      <w:r w:rsidRPr="002C5690">
        <w:t>This solution allows SideShow functionality to be easily adapted to existing, in-market hardware, in many cases without any hardware modifications.</w:t>
      </w:r>
    </w:p>
    <w:p w:rsidR="00166AF2" w:rsidRPr="00166AF2" w:rsidRDefault="00655A3B" w:rsidP="00655A3B">
      <w:pPr>
        <w:pStyle w:val="Bodytextindent0"/>
        <w:numPr>
          <w:ilvl w:val="0"/>
          <w:numId w:val="4"/>
        </w:numPr>
        <w:rPr>
          <w:rFonts w:ascii="Times New Roman" w:hAnsi="Times New Roman"/>
        </w:rPr>
      </w:pPr>
      <w:r w:rsidRPr="00655A3B">
        <w:t>Universal Driver for Windows SideShow</w:t>
      </w:r>
    </w:p>
    <w:p w:rsidR="00655A3B" w:rsidRPr="00655A3B" w:rsidRDefault="00166AF2" w:rsidP="00166AF2">
      <w:pPr>
        <w:pStyle w:val="Bodytextindent0"/>
        <w:ind w:left="720"/>
      </w:pPr>
      <w:r w:rsidRPr="00166AF2">
        <w:t xml:space="preserve">The Universal Driver is a class driver provided by Microsoft that enables partners to easily implement SideShow functionality via USB, Bluetooth, or TCP/IP transports. The protocol specification is available royalty free via WHDC. </w:t>
      </w:r>
    </w:p>
    <w:p w:rsidR="00166AF2" w:rsidRDefault="00655A3B" w:rsidP="00655A3B">
      <w:pPr>
        <w:pStyle w:val="Bodytextindent0"/>
        <w:numPr>
          <w:ilvl w:val="0"/>
          <w:numId w:val="4"/>
        </w:numPr>
      </w:pPr>
      <w:r w:rsidRPr="00655A3B">
        <w:t xml:space="preserve">Windows SideShow Device SDK for .NET Micro Framework </w:t>
      </w:r>
    </w:p>
    <w:p w:rsidR="00655A3B" w:rsidRDefault="00166AF2" w:rsidP="00166AF2">
      <w:pPr>
        <w:pStyle w:val="Bodytextindent0"/>
        <w:ind w:left="720"/>
      </w:pPr>
      <w:r>
        <w:t>This is a</w:t>
      </w:r>
      <w:r w:rsidRPr="00166AF2">
        <w:t>n end-to-end, extensible SideShow solution with button and touch driven interfaces.  It persists data and allows read-only access when the computer is off. Wi-Fi, Bluetooth, and USB are supported.</w:t>
      </w:r>
    </w:p>
    <w:p w:rsidR="007663DB" w:rsidRDefault="007663DB" w:rsidP="004A3E9C">
      <w:pPr>
        <w:pStyle w:val="Heading1"/>
        <w:pageBreakBefore/>
      </w:pPr>
      <w:bookmarkStart w:id="3" w:name="_Toc213127165"/>
      <w:bookmarkStart w:id="4" w:name="_Toc213138641"/>
      <w:r>
        <w:lastRenderedPageBreak/>
        <w:t>Resources</w:t>
      </w:r>
      <w:bookmarkEnd w:id="3"/>
      <w:bookmarkEnd w:id="4"/>
    </w:p>
    <w:p w:rsidR="007663DB" w:rsidRPr="009C4E56" w:rsidRDefault="006B2ED0" w:rsidP="009C4E56">
      <w:pPr>
        <w:pStyle w:val="BulletList"/>
      </w:pPr>
      <w:hyperlink r:id="rId15" w:tgtFrame="_blank" w:history="1">
        <w:r w:rsidR="007663DB" w:rsidRPr="009C4E56">
          <w:rPr>
            <w:rStyle w:val="Hyperlink"/>
            <w:rFonts w:cs="Arial"/>
            <w:color w:val="auto"/>
            <w:szCs w:val="18"/>
            <w:u w:val="none"/>
          </w:rPr>
          <w:t>Windows SideShow Device SDK for .NET Micro Framework 3.0</w:t>
        </w:r>
      </w:hyperlink>
    </w:p>
    <w:p w:rsidR="007663DB" w:rsidRPr="009C4E56" w:rsidRDefault="006B2ED0" w:rsidP="009C4E56">
      <w:pPr>
        <w:pStyle w:val="BulletList"/>
      </w:pPr>
      <w:hyperlink r:id="rId16" w:tgtFrame="_blank" w:history="1">
        <w:r w:rsidR="007663DB" w:rsidRPr="009C4E56">
          <w:rPr>
            <w:rStyle w:val="Hyperlink"/>
            <w:rFonts w:cs="Arial"/>
            <w:color w:val="auto"/>
            <w:szCs w:val="18"/>
            <w:u w:val="none"/>
          </w:rPr>
          <w:t>Universal Driver for Windows SideShow</w:t>
        </w:r>
      </w:hyperlink>
    </w:p>
    <w:p w:rsidR="007663DB" w:rsidRPr="009C4E56" w:rsidRDefault="006B2ED0" w:rsidP="009C4E56">
      <w:pPr>
        <w:pStyle w:val="BulletList"/>
        <w:rPr>
          <w:szCs w:val="18"/>
        </w:rPr>
      </w:pPr>
      <w:hyperlink r:id="rId17" w:tgtFrame="_blank" w:history="1">
        <w:r w:rsidR="007663DB" w:rsidRPr="009C4E56">
          <w:rPr>
            <w:rStyle w:val="Hyperlink"/>
            <w:rFonts w:cs="Arial"/>
            <w:color w:val="auto"/>
            <w:szCs w:val="18"/>
            <w:u w:val="none"/>
          </w:rPr>
          <w:t>Windows SideShow Bitmap Driver</w:t>
        </w:r>
      </w:hyperlink>
    </w:p>
    <w:p w:rsidR="007663DB" w:rsidRPr="009C4E56" w:rsidRDefault="006B2ED0" w:rsidP="009C4E56">
      <w:pPr>
        <w:pStyle w:val="BulletList"/>
      </w:pPr>
      <w:hyperlink r:id="rId18" w:tgtFrame="_blank" w:history="1">
        <w:r w:rsidR="007663DB" w:rsidRPr="009C4E56">
          <w:rPr>
            <w:rStyle w:val="Hyperlink"/>
            <w:rFonts w:cs="Arial"/>
            <w:color w:val="auto"/>
            <w:u w:val="none"/>
          </w:rPr>
          <w:t>SideShow Device Components for Windows CE 5.0</w:t>
        </w:r>
      </w:hyperlink>
    </w:p>
    <w:p w:rsidR="007663DB" w:rsidRPr="00B51DC0" w:rsidRDefault="007663DB" w:rsidP="00166AF2">
      <w:pPr>
        <w:pStyle w:val="Bodytextindent0"/>
        <w:ind w:left="720"/>
      </w:pPr>
    </w:p>
    <w:sectPr w:rsidR="007663DB" w:rsidRPr="00B51DC0" w:rsidSect="00876B66">
      <w:headerReference w:type="default" r:id="rId19"/>
      <w:footerReference w:type="default" r:id="rId20"/>
      <w:footerReference w:type="first" r:id="rId21"/>
      <w:pgSz w:w="12240" w:h="15840" w:code="1"/>
      <w:pgMar w:top="1440" w:right="1920" w:bottom="1200" w:left="2640" w:header="72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C16" w:rsidRDefault="001F4C16" w:rsidP="00DE77A4">
      <w:r>
        <w:separator/>
      </w:r>
    </w:p>
  </w:endnote>
  <w:endnote w:type="continuationSeparator" w:id="1">
    <w:p w:rsidR="001F4C16" w:rsidRDefault="001F4C16" w:rsidP="00DE7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266" w:rsidRDefault="009F2266" w:rsidP="00BB7472">
    <w:pPr>
      <w:pStyle w:val="Footer"/>
    </w:pPr>
    <w:r>
      <w:t>WinHEC 2008</w:t>
    </w:r>
  </w:p>
  <w:p w:rsidR="003E30CF" w:rsidRDefault="003E30CF" w:rsidP="003E30CF">
    <w:pPr>
      <w:pStyle w:val="Footer"/>
    </w:pPr>
    <w:r>
      <w:t>© 2008 Microsoft Corporation. All rights reserved.</w:t>
    </w:r>
  </w:p>
  <w:p w:rsidR="009F2266" w:rsidRPr="00BB7472" w:rsidRDefault="009F2266" w:rsidP="00BB74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266" w:rsidRDefault="009F2266">
    <w:pPr>
      <w:pStyle w:val="Footer"/>
    </w:pPr>
    <w:r>
      <w:t>WinHEC 2008</w:t>
    </w:r>
  </w:p>
  <w:p w:rsidR="00C87EA4" w:rsidRDefault="00C87EA4" w:rsidP="00C87EA4">
    <w:pPr>
      <w:pStyle w:val="Footer"/>
    </w:pPr>
    <w:r>
      <w:t>© 2008 Microsoft Corporation. All rights reserved.</w:t>
    </w:r>
  </w:p>
  <w:p w:rsidR="00C87EA4" w:rsidRDefault="00C87E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C16" w:rsidRDefault="001F4C16" w:rsidP="00DE77A4">
      <w:r>
        <w:separator/>
      </w:r>
    </w:p>
  </w:footnote>
  <w:footnote w:type="continuationSeparator" w:id="1">
    <w:p w:rsidR="001F4C16" w:rsidRDefault="001F4C16" w:rsidP="00DE77A4">
      <w:r>
        <w:continuationSeparator/>
      </w:r>
    </w:p>
  </w:footnote>
  <w:footnote w:id="2">
    <w:p w:rsidR="00B51DC0" w:rsidRDefault="00B51DC0" w:rsidP="00B51DC0">
      <w:pPr>
        <w:pStyle w:val="FootnoteText"/>
      </w:pPr>
      <w:r>
        <w:rPr>
          <w:rStyle w:val="FootnoteReference"/>
        </w:rPr>
        <w:footnoteRef/>
      </w:r>
      <w:r>
        <w:t xml:space="preserve"> Forrester Research, Inc., 2007.</w:t>
      </w:r>
    </w:p>
  </w:footnote>
  <w:footnote w:id="3">
    <w:p w:rsidR="00B51DC0" w:rsidRDefault="00B51DC0" w:rsidP="00B51DC0">
      <w:pPr>
        <w:pStyle w:val="FootnoteText"/>
      </w:pPr>
      <w:r>
        <w:rPr>
          <w:rStyle w:val="FootnoteReference"/>
        </w:rPr>
        <w:footnoteRef/>
      </w:r>
      <w:r>
        <w:t xml:space="preserve"> Strategy Analytics Connected Home Devices Service, July</w:t>
      </w:r>
      <w:r w:rsidR="00E17409">
        <w:t>,</w:t>
      </w:r>
      <w:r>
        <w:t xml:space="preserve"> 2008.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266" w:rsidRDefault="006B2ED0" w:rsidP="00DE77A4">
    <w:pPr>
      <w:pStyle w:val="Header"/>
    </w:pPr>
    <w:fldSimple w:instr=" STYLEREF  Title  \* MERGEFORMAT ">
      <w:r w:rsidR="00F57E5C" w:rsidRPr="00F57E5C">
        <w:rPr>
          <w:b/>
          <w:bCs/>
          <w:noProof/>
        </w:rPr>
        <w:t>Windows SideShow and Television and Set-Top Boxes</w:t>
      </w:r>
    </w:fldSimple>
    <w:r w:rsidR="009F2266">
      <w:t xml:space="preserve"> - </w:t>
    </w:r>
    <w:fldSimple w:instr=" PAGE ">
      <w:r w:rsidR="00F57E5C">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77033"/>
    <w:multiLevelType w:val="hybridMultilevel"/>
    <w:tmpl w:val="44BE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D724"/>
  <w:defaultTabStop w:val="720"/>
  <w:characterSpacingControl w:val="doNotCompress"/>
  <w:hdrShapeDefaults>
    <o:shapedefaults v:ext="edit" spidmax="39938"/>
  </w:hdrShapeDefaults>
  <w:footnotePr>
    <w:footnote w:id="0"/>
    <w:footnote w:id="1"/>
  </w:footnotePr>
  <w:endnotePr>
    <w:endnote w:id="0"/>
    <w:endnote w:id="1"/>
  </w:endnotePr>
  <w:compat/>
  <w:rsids>
    <w:rsidRoot w:val="00BC0085"/>
    <w:rsid w:val="000033E9"/>
    <w:rsid w:val="00010F69"/>
    <w:rsid w:val="00014AC0"/>
    <w:rsid w:val="000207B3"/>
    <w:rsid w:val="000250C6"/>
    <w:rsid w:val="000303B1"/>
    <w:rsid w:val="00031869"/>
    <w:rsid w:val="0003217A"/>
    <w:rsid w:val="0003317C"/>
    <w:rsid w:val="0003395E"/>
    <w:rsid w:val="00035BB4"/>
    <w:rsid w:val="00053F08"/>
    <w:rsid w:val="0005402C"/>
    <w:rsid w:val="00055425"/>
    <w:rsid w:val="000672BE"/>
    <w:rsid w:val="00073E96"/>
    <w:rsid w:val="00075EA2"/>
    <w:rsid w:val="00077E76"/>
    <w:rsid w:val="000811AE"/>
    <w:rsid w:val="00083DB1"/>
    <w:rsid w:val="000A01F0"/>
    <w:rsid w:val="000A1A46"/>
    <w:rsid w:val="000A1A4E"/>
    <w:rsid w:val="000A204E"/>
    <w:rsid w:val="000A58BF"/>
    <w:rsid w:val="000B0121"/>
    <w:rsid w:val="000B2302"/>
    <w:rsid w:val="000B3DC8"/>
    <w:rsid w:val="000C2454"/>
    <w:rsid w:val="000C6464"/>
    <w:rsid w:val="000C7BDC"/>
    <w:rsid w:val="000D18C1"/>
    <w:rsid w:val="000D2410"/>
    <w:rsid w:val="000E0F62"/>
    <w:rsid w:val="000E44B4"/>
    <w:rsid w:val="000E5CAF"/>
    <w:rsid w:val="000E6183"/>
    <w:rsid w:val="000F4BD8"/>
    <w:rsid w:val="000F518E"/>
    <w:rsid w:val="0012224A"/>
    <w:rsid w:val="0013374D"/>
    <w:rsid w:val="00143A3B"/>
    <w:rsid w:val="001462A9"/>
    <w:rsid w:val="001504D8"/>
    <w:rsid w:val="00154775"/>
    <w:rsid w:val="00154883"/>
    <w:rsid w:val="00156595"/>
    <w:rsid w:val="001602F9"/>
    <w:rsid w:val="00166AF2"/>
    <w:rsid w:val="00167C6A"/>
    <w:rsid w:val="00175252"/>
    <w:rsid w:val="001773E2"/>
    <w:rsid w:val="001809CE"/>
    <w:rsid w:val="00182DDC"/>
    <w:rsid w:val="00187739"/>
    <w:rsid w:val="001911FD"/>
    <w:rsid w:val="00196BBC"/>
    <w:rsid w:val="001A04E8"/>
    <w:rsid w:val="001A0BE5"/>
    <w:rsid w:val="001A1E49"/>
    <w:rsid w:val="001A5302"/>
    <w:rsid w:val="001A6633"/>
    <w:rsid w:val="001B2509"/>
    <w:rsid w:val="001C0D4A"/>
    <w:rsid w:val="001C6FFE"/>
    <w:rsid w:val="001E2D86"/>
    <w:rsid w:val="001E4E30"/>
    <w:rsid w:val="001F0BD5"/>
    <w:rsid w:val="001F0C2F"/>
    <w:rsid w:val="001F2984"/>
    <w:rsid w:val="001F386C"/>
    <w:rsid w:val="001F4C16"/>
    <w:rsid w:val="001F6141"/>
    <w:rsid w:val="00200CE6"/>
    <w:rsid w:val="00202957"/>
    <w:rsid w:val="00202CF8"/>
    <w:rsid w:val="0020746D"/>
    <w:rsid w:val="0021320C"/>
    <w:rsid w:val="00214B0F"/>
    <w:rsid w:val="0021548B"/>
    <w:rsid w:val="00216104"/>
    <w:rsid w:val="0022098B"/>
    <w:rsid w:val="00220D6E"/>
    <w:rsid w:val="00221B2E"/>
    <w:rsid w:val="00242BF2"/>
    <w:rsid w:val="00244C01"/>
    <w:rsid w:val="00255606"/>
    <w:rsid w:val="00257843"/>
    <w:rsid w:val="00263351"/>
    <w:rsid w:val="00263751"/>
    <w:rsid w:val="0027630D"/>
    <w:rsid w:val="00286E20"/>
    <w:rsid w:val="002A00E9"/>
    <w:rsid w:val="002A2825"/>
    <w:rsid w:val="002A38B5"/>
    <w:rsid w:val="002A4E1F"/>
    <w:rsid w:val="002B29C5"/>
    <w:rsid w:val="002C650E"/>
    <w:rsid w:val="002D1202"/>
    <w:rsid w:val="002E29C6"/>
    <w:rsid w:val="002F109B"/>
    <w:rsid w:val="002F29ED"/>
    <w:rsid w:val="002F2F2B"/>
    <w:rsid w:val="0030154B"/>
    <w:rsid w:val="00303716"/>
    <w:rsid w:val="00306292"/>
    <w:rsid w:val="00314866"/>
    <w:rsid w:val="00324BFD"/>
    <w:rsid w:val="00340F37"/>
    <w:rsid w:val="00343708"/>
    <w:rsid w:val="003438DC"/>
    <w:rsid w:val="0034707B"/>
    <w:rsid w:val="0035260F"/>
    <w:rsid w:val="00352C5C"/>
    <w:rsid w:val="0036124C"/>
    <w:rsid w:val="0036132D"/>
    <w:rsid w:val="00370AB2"/>
    <w:rsid w:val="00375714"/>
    <w:rsid w:val="0037648F"/>
    <w:rsid w:val="00386353"/>
    <w:rsid w:val="00392752"/>
    <w:rsid w:val="003948BD"/>
    <w:rsid w:val="003A1A5C"/>
    <w:rsid w:val="003B2C80"/>
    <w:rsid w:val="003B2F9F"/>
    <w:rsid w:val="003B3CBE"/>
    <w:rsid w:val="003B7764"/>
    <w:rsid w:val="003C1ED1"/>
    <w:rsid w:val="003C475A"/>
    <w:rsid w:val="003C4F29"/>
    <w:rsid w:val="003C5998"/>
    <w:rsid w:val="003D6560"/>
    <w:rsid w:val="003E01C4"/>
    <w:rsid w:val="003E036B"/>
    <w:rsid w:val="003E1A94"/>
    <w:rsid w:val="003E30CF"/>
    <w:rsid w:val="003E7BD4"/>
    <w:rsid w:val="00405221"/>
    <w:rsid w:val="00406E12"/>
    <w:rsid w:val="0041021C"/>
    <w:rsid w:val="004137B3"/>
    <w:rsid w:val="00421EB1"/>
    <w:rsid w:val="004306CB"/>
    <w:rsid w:val="00436E87"/>
    <w:rsid w:val="004373F6"/>
    <w:rsid w:val="00446428"/>
    <w:rsid w:val="00450F2A"/>
    <w:rsid w:val="0046086A"/>
    <w:rsid w:val="00462714"/>
    <w:rsid w:val="00467EAA"/>
    <w:rsid w:val="004702DF"/>
    <w:rsid w:val="004718E0"/>
    <w:rsid w:val="004720E8"/>
    <w:rsid w:val="004728A4"/>
    <w:rsid w:val="00476C16"/>
    <w:rsid w:val="00482331"/>
    <w:rsid w:val="004856FC"/>
    <w:rsid w:val="0048682D"/>
    <w:rsid w:val="00496AFC"/>
    <w:rsid w:val="00497AD9"/>
    <w:rsid w:val="004A09D8"/>
    <w:rsid w:val="004A1541"/>
    <w:rsid w:val="004A3E9C"/>
    <w:rsid w:val="004A6389"/>
    <w:rsid w:val="004B097B"/>
    <w:rsid w:val="004B2064"/>
    <w:rsid w:val="004B3BBB"/>
    <w:rsid w:val="004B45DA"/>
    <w:rsid w:val="004B63DD"/>
    <w:rsid w:val="004C2F3A"/>
    <w:rsid w:val="004D2E11"/>
    <w:rsid w:val="004D3F12"/>
    <w:rsid w:val="004D6E09"/>
    <w:rsid w:val="004E08D9"/>
    <w:rsid w:val="004F1EE7"/>
    <w:rsid w:val="004F2E20"/>
    <w:rsid w:val="004F3924"/>
    <w:rsid w:val="004F4F10"/>
    <w:rsid w:val="004F79E1"/>
    <w:rsid w:val="00503D5E"/>
    <w:rsid w:val="00505D55"/>
    <w:rsid w:val="00506EBA"/>
    <w:rsid w:val="00507A88"/>
    <w:rsid w:val="00510B22"/>
    <w:rsid w:val="00514C1B"/>
    <w:rsid w:val="00521BE1"/>
    <w:rsid w:val="00522D92"/>
    <w:rsid w:val="005231A7"/>
    <w:rsid w:val="00525908"/>
    <w:rsid w:val="005259C4"/>
    <w:rsid w:val="005263EE"/>
    <w:rsid w:val="00532882"/>
    <w:rsid w:val="00534D73"/>
    <w:rsid w:val="0053738C"/>
    <w:rsid w:val="00553378"/>
    <w:rsid w:val="00555AF3"/>
    <w:rsid w:val="00560815"/>
    <w:rsid w:val="00570440"/>
    <w:rsid w:val="00572BC3"/>
    <w:rsid w:val="0058415B"/>
    <w:rsid w:val="00587497"/>
    <w:rsid w:val="0059071F"/>
    <w:rsid w:val="005A51A4"/>
    <w:rsid w:val="005B55EA"/>
    <w:rsid w:val="005D71EC"/>
    <w:rsid w:val="005F3E6A"/>
    <w:rsid w:val="006011AF"/>
    <w:rsid w:val="00613162"/>
    <w:rsid w:val="006134B2"/>
    <w:rsid w:val="0061713C"/>
    <w:rsid w:val="006215FA"/>
    <w:rsid w:val="0062566A"/>
    <w:rsid w:val="00645782"/>
    <w:rsid w:val="00647625"/>
    <w:rsid w:val="006551FD"/>
    <w:rsid w:val="00655A3B"/>
    <w:rsid w:val="006562F4"/>
    <w:rsid w:val="00657269"/>
    <w:rsid w:val="00661165"/>
    <w:rsid w:val="00665E15"/>
    <w:rsid w:val="00666138"/>
    <w:rsid w:val="00677D72"/>
    <w:rsid w:val="00686068"/>
    <w:rsid w:val="00687ED3"/>
    <w:rsid w:val="00690C98"/>
    <w:rsid w:val="00693CF6"/>
    <w:rsid w:val="00697761"/>
    <w:rsid w:val="006A443A"/>
    <w:rsid w:val="006A78FA"/>
    <w:rsid w:val="006B13B2"/>
    <w:rsid w:val="006B2ED0"/>
    <w:rsid w:val="006D5AB0"/>
    <w:rsid w:val="006E1D66"/>
    <w:rsid w:val="006E5336"/>
    <w:rsid w:val="006F426D"/>
    <w:rsid w:val="006F7A46"/>
    <w:rsid w:val="00700920"/>
    <w:rsid w:val="00701BB4"/>
    <w:rsid w:val="00703116"/>
    <w:rsid w:val="00703BD8"/>
    <w:rsid w:val="00705C7A"/>
    <w:rsid w:val="00710425"/>
    <w:rsid w:val="00712797"/>
    <w:rsid w:val="00720FE5"/>
    <w:rsid w:val="00725F45"/>
    <w:rsid w:val="00734B67"/>
    <w:rsid w:val="007402A6"/>
    <w:rsid w:val="007538FC"/>
    <w:rsid w:val="0076204E"/>
    <w:rsid w:val="007663DB"/>
    <w:rsid w:val="007743BE"/>
    <w:rsid w:val="00785552"/>
    <w:rsid w:val="00787D51"/>
    <w:rsid w:val="007920DC"/>
    <w:rsid w:val="0079559D"/>
    <w:rsid w:val="007A301E"/>
    <w:rsid w:val="007A4DE8"/>
    <w:rsid w:val="007A57E1"/>
    <w:rsid w:val="007A6F1D"/>
    <w:rsid w:val="007A7E1C"/>
    <w:rsid w:val="007B0A9D"/>
    <w:rsid w:val="007B22CD"/>
    <w:rsid w:val="007B42EB"/>
    <w:rsid w:val="007B5419"/>
    <w:rsid w:val="007C5CB8"/>
    <w:rsid w:val="007D078D"/>
    <w:rsid w:val="007D1FE3"/>
    <w:rsid w:val="007D42D9"/>
    <w:rsid w:val="007D5679"/>
    <w:rsid w:val="007E5693"/>
    <w:rsid w:val="007F0DAB"/>
    <w:rsid w:val="007F1501"/>
    <w:rsid w:val="007F35DE"/>
    <w:rsid w:val="00803051"/>
    <w:rsid w:val="00803995"/>
    <w:rsid w:val="00805457"/>
    <w:rsid w:val="00813C24"/>
    <w:rsid w:val="00830D82"/>
    <w:rsid w:val="008332E6"/>
    <w:rsid w:val="00834FF1"/>
    <w:rsid w:val="0083633B"/>
    <w:rsid w:val="00840005"/>
    <w:rsid w:val="00842666"/>
    <w:rsid w:val="008446DA"/>
    <w:rsid w:val="00845B52"/>
    <w:rsid w:val="00850FB4"/>
    <w:rsid w:val="00851FED"/>
    <w:rsid w:val="00854509"/>
    <w:rsid w:val="00856712"/>
    <w:rsid w:val="00856982"/>
    <w:rsid w:val="0086063D"/>
    <w:rsid w:val="00863389"/>
    <w:rsid w:val="00866A69"/>
    <w:rsid w:val="00867943"/>
    <w:rsid w:val="00870EFF"/>
    <w:rsid w:val="0087346D"/>
    <w:rsid w:val="00875217"/>
    <w:rsid w:val="00875312"/>
    <w:rsid w:val="00875BA7"/>
    <w:rsid w:val="00875C82"/>
    <w:rsid w:val="00876B66"/>
    <w:rsid w:val="0088205B"/>
    <w:rsid w:val="0088228B"/>
    <w:rsid w:val="00884766"/>
    <w:rsid w:val="00884DB1"/>
    <w:rsid w:val="00892109"/>
    <w:rsid w:val="0089325C"/>
    <w:rsid w:val="008966B0"/>
    <w:rsid w:val="008A255D"/>
    <w:rsid w:val="008A6A85"/>
    <w:rsid w:val="008B43D7"/>
    <w:rsid w:val="008B476A"/>
    <w:rsid w:val="008B5F29"/>
    <w:rsid w:val="008C0EB6"/>
    <w:rsid w:val="008C297D"/>
    <w:rsid w:val="008C2C4C"/>
    <w:rsid w:val="008C41B9"/>
    <w:rsid w:val="008D0268"/>
    <w:rsid w:val="008E1737"/>
    <w:rsid w:val="008E5394"/>
    <w:rsid w:val="008F20EE"/>
    <w:rsid w:val="008F2A21"/>
    <w:rsid w:val="008F6B03"/>
    <w:rsid w:val="00904C57"/>
    <w:rsid w:val="00910DE5"/>
    <w:rsid w:val="009111B8"/>
    <w:rsid w:val="009117C6"/>
    <w:rsid w:val="009168C8"/>
    <w:rsid w:val="00922E57"/>
    <w:rsid w:val="00931DAD"/>
    <w:rsid w:val="00935790"/>
    <w:rsid w:val="00946475"/>
    <w:rsid w:val="009475A7"/>
    <w:rsid w:val="00951FEA"/>
    <w:rsid w:val="00965ED7"/>
    <w:rsid w:val="009661EA"/>
    <w:rsid w:val="009744F9"/>
    <w:rsid w:val="00975023"/>
    <w:rsid w:val="0098054F"/>
    <w:rsid w:val="009822EF"/>
    <w:rsid w:val="00987BBA"/>
    <w:rsid w:val="00995E07"/>
    <w:rsid w:val="00996C04"/>
    <w:rsid w:val="00997249"/>
    <w:rsid w:val="009978F8"/>
    <w:rsid w:val="009A3B29"/>
    <w:rsid w:val="009A4DE0"/>
    <w:rsid w:val="009A5AE1"/>
    <w:rsid w:val="009B0653"/>
    <w:rsid w:val="009B0F2E"/>
    <w:rsid w:val="009B12EC"/>
    <w:rsid w:val="009B5C53"/>
    <w:rsid w:val="009B6263"/>
    <w:rsid w:val="009B72C5"/>
    <w:rsid w:val="009C0C24"/>
    <w:rsid w:val="009C4E56"/>
    <w:rsid w:val="009D0B19"/>
    <w:rsid w:val="009D4EA6"/>
    <w:rsid w:val="009E7086"/>
    <w:rsid w:val="009E76E8"/>
    <w:rsid w:val="009E7D6B"/>
    <w:rsid w:val="009E7F09"/>
    <w:rsid w:val="009F1C74"/>
    <w:rsid w:val="009F2266"/>
    <w:rsid w:val="009F304B"/>
    <w:rsid w:val="009F474B"/>
    <w:rsid w:val="009F6F1C"/>
    <w:rsid w:val="009F7E25"/>
    <w:rsid w:val="00A00ACD"/>
    <w:rsid w:val="00A049AC"/>
    <w:rsid w:val="00A07642"/>
    <w:rsid w:val="00A10ACA"/>
    <w:rsid w:val="00A1379E"/>
    <w:rsid w:val="00A17B7B"/>
    <w:rsid w:val="00A2266A"/>
    <w:rsid w:val="00A24E46"/>
    <w:rsid w:val="00A2684A"/>
    <w:rsid w:val="00A30CAA"/>
    <w:rsid w:val="00A30DE3"/>
    <w:rsid w:val="00A40188"/>
    <w:rsid w:val="00A46672"/>
    <w:rsid w:val="00A63FE1"/>
    <w:rsid w:val="00A6731E"/>
    <w:rsid w:val="00A74EF8"/>
    <w:rsid w:val="00A75F40"/>
    <w:rsid w:val="00A82779"/>
    <w:rsid w:val="00A837C9"/>
    <w:rsid w:val="00A83FB5"/>
    <w:rsid w:val="00A84221"/>
    <w:rsid w:val="00A8681D"/>
    <w:rsid w:val="00A872C9"/>
    <w:rsid w:val="00A93840"/>
    <w:rsid w:val="00A94DC2"/>
    <w:rsid w:val="00A95AD4"/>
    <w:rsid w:val="00AA0B66"/>
    <w:rsid w:val="00AA7968"/>
    <w:rsid w:val="00AB7A73"/>
    <w:rsid w:val="00AD5817"/>
    <w:rsid w:val="00AD7912"/>
    <w:rsid w:val="00AD7F99"/>
    <w:rsid w:val="00AE1FC2"/>
    <w:rsid w:val="00AE4752"/>
    <w:rsid w:val="00AE75DB"/>
    <w:rsid w:val="00AF2AE1"/>
    <w:rsid w:val="00AF5078"/>
    <w:rsid w:val="00B21CDD"/>
    <w:rsid w:val="00B23C3A"/>
    <w:rsid w:val="00B31750"/>
    <w:rsid w:val="00B357C8"/>
    <w:rsid w:val="00B36064"/>
    <w:rsid w:val="00B37DDD"/>
    <w:rsid w:val="00B419FA"/>
    <w:rsid w:val="00B444A7"/>
    <w:rsid w:val="00B51DC0"/>
    <w:rsid w:val="00B54807"/>
    <w:rsid w:val="00B54B55"/>
    <w:rsid w:val="00B56525"/>
    <w:rsid w:val="00B5709A"/>
    <w:rsid w:val="00B609E9"/>
    <w:rsid w:val="00B6155E"/>
    <w:rsid w:val="00B61EDC"/>
    <w:rsid w:val="00B67B99"/>
    <w:rsid w:val="00B70EFC"/>
    <w:rsid w:val="00B71FBB"/>
    <w:rsid w:val="00B724B7"/>
    <w:rsid w:val="00B82302"/>
    <w:rsid w:val="00B87B50"/>
    <w:rsid w:val="00B949AD"/>
    <w:rsid w:val="00BA32CA"/>
    <w:rsid w:val="00BA460C"/>
    <w:rsid w:val="00BA65B0"/>
    <w:rsid w:val="00BB1389"/>
    <w:rsid w:val="00BB1588"/>
    <w:rsid w:val="00BB5657"/>
    <w:rsid w:val="00BB6599"/>
    <w:rsid w:val="00BB6970"/>
    <w:rsid w:val="00BB7099"/>
    <w:rsid w:val="00BB7472"/>
    <w:rsid w:val="00BC0085"/>
    <w:rsid w:val="00BC0C0C"/>
    <w:rsid w:val="00BC1F6B"/>
    <w:rsid w:val="00BC2258"/>
    <w:rsid w:val="00BC23F4"/>
    <w:rsid w:val="00BC5183"/>
    <w:rsid w:val="00BC5196"/>
    <w:rsid w:val="00BD7239"/>
    <w:rsid w:val="00BF198E"/>
    <w:rsid w:val="00BF6616"/>
    <w:rsid w:val="00BF6966"/>
    <w:rsid w:val="00C01C73"/>
    <w:rsid w:val="00C05E05"/>
    <w:rsid w:val="00C111E6"/>
    <w:rsid w:val="00C20519"/>
    <w:rsid w:val="00C22A20"/>
    <w:rsid w:val="00C2331F"/>
    <w:rsid w:val="00C2422C"/>
    <w:rsid w:val="00C25D37"/>
    <w:rsid w:val="00C27C97"/>
    <w:rsid w:val="00C30B30"/>
    <w:rsid w:val="00C4036E"/>
    <w:rsid w:val="00C421A6"/>
    <w:rsid w:val="00C42892"/>
    <w:rsid w:val="00C433BD"/>
    <w:rsid w:val="00C44DB2"/>
    <w:rsid w:val="00C604C9"/>
    <w:rsid w:val="00C62059"/>
    <w:rsid w:val="00C66216"/>
    <w:rsid w:val="00C86AB0"/>
    <w:rsid w:val="00C86F91"/>
    <w:rsid w:val="00C87EA4"/>
    <w:rsid w:val="00C92CEF"/>
    <w:rsid w:val="00C9639C"/>
    <w:rsid w:val="00C972E3"/>
    <w:rsid w:val="00CB1093"/>
    <w:rsid w:val="00CB592D"/>
    <w:rsid w:val="00CB64D5"/>
    <w:rsid w:val="00CC014C"/>
    <w:rsid w:val="00CC2DFE"/>
    <w:rsid w:val="00CF08BA"/>
    <w:rsid w:val="00CF1330"/>
    <w:rsid w:val="00CF167F"/>
    <w:rsid w:val="00CF653A"/>
    <w:rsid w:val="00D00893"/>
    <w:rsid w:val="00D019B5"/>
    <w:rsid w:val="00D1467E"/>
    <w:rsid w:val="00D15B8C"/>
    <w:rsid w:val="00D16D3A"/>
    <w:rsid w:val="00D2133B"/>
    <w:rsid w:val="00D3120A"/>
    <w:rsid w:val="00D32E72"/>
    <w:rsid w:val="00D43FD3"/>
    <w:rsid w:val="00D516FD"/>
    <w:rsid w:val="00D51CA5"/>
    <w:rsid w:val="00D5573E"/>
    <w:rsid w:val="00D57392"/>
    <w:rsid w:val="00D57BE3"/>
    <w:rsid w:val="00D636A1"/>
    <w:rsid w:val="00D63BFA"/>
    <w:rsid w:val="00D66C3E"/>
    <w:rsid w:val="00D70DFD"/>
    <w:rsid w:val="00D80E5B"/>
    <w:rsid w:val="00D922BD"/>
    <w:rsid w:val="00D93557"/>
    <w:rsid w:val="00D96E26"/>
    <w:rsid w:val="00D97921"/>
    <w:rsid w:val="00DA38F9"/>
    <w:rsid w:val="00DB00D5"/>
    <w:rsid w:val="00DB1984"/>
    <w:rsid w:val="00DB27BC"/>
    <w:rsid w:val="00DD0131"/>
    <w:rsid w:val="00DD4932"/>
    <w:rsid w:val="00DE760B"/>
    <w:rsid w:val="00DE77A4"/>
    <w:rsid w:val="00DF0E61"/>
    <w:rsid w:val="00DF49E4"/>
    <w:rsid w:val="00DF4D20"/>
    <w:rsid w:val="00DF760F"/>
    <w:rsid w:val="00DF7BE8"/>
    <w:rsid w:val="00E037AE"/>
    <w:rsid w:val="00E04BBC"/>
    <w:rsid w:val="00E15D63"/>
    <w:rsid w:val="00E171C0"/>
    <w:rsid w:val="00E172E2"/>
    <w:rsid w:val="00E17409"/>
    <w:rsid w:val="00E20262"/>
    <w:rsid w:val="00E2294C"/>
    <w:rsid w:val="00E30AD0"/>
    <w:rsid w:val="00E345BB"/>
    <w:rsid w:val="00E35C16"/>
    <w:rsid w:val="00E414A1"/>
    <w:rsid w:val="00E419C2"/>
    <w:rsid w:val="00E503D2"/>
    <w:rsid w:val="00E5702A"/>
    <w:rsid w:val="00E63B82"/>
    <w:rsid w:val="00E65302"/>
    <w:rsid w:val="00E664DB"/>
    <w:rsid w:val="00E66D0D"/>
    <w:rsid w:val="00E76512"/>
    <w:rsid w:val="00E80AB1"/>
    <w:rsid w:val="00E81CA4"/>
    <w:rsid w:val="00E866D9"/>
    <w:rsid w:val="00E92916"/>
    <w:rsid w:val="00EA41C4"/>
    <w:rsid w:val="00EA6DE9"/>
    <w:rsid w:val="00EB3E7E"/>
    <w:rsid w:val="00EB776A"/>
    <w:rsid w:val="00ED0F59"/>
    <w:rsid w:val="00ED15E4"/>
    <w:rsid w:val="00ED55BD"/>
    <w:rsid w:val="00ED6894"/>
    <w:rsid w:val="00EE5875"/>
    <w:rsid w:val="00EE6BDE"/>
    <w:rsid w:val="00EE7820"/>
    <w:rsid w:val="00EE7C68"/>
    <w:rsid w:val="00EF225B"/>
    <w:rsid w:val="00EF62E1"/>
    <w:rsid w:val="00EF6CA0"/>
    <w:rsid w:val="00EF7B39"/>
    <w:rsid w:val="00F01D1E"/>
    <w:rsid w:val="00F03380"/>
    <w:rsid w:val="00F05ECE"/>
    <w:rsid w:val="00F079BB"/>
    <w:rsid w:val="00F204D5"/>
    <w:rsid w:val="00F221ED"/>
    <w:rsid w:val="00F322D8"/>
    <w:rsid w:val="00F327AA"/>
    <w:rsid w:val="00F35449"/>
    <w:rsid w:val="00F369B9"/>
    <w:rsid w:val="00F4650D"/>
    <w:rsid w:val="00F50D9F"/>
    <w:rsid w:val="00F57E5C"/>
    <w:rsid w:val="00F64E37"/>
    <w:rsid w:val="00F67C2E"/>
    <w:rsid w:val="00F77ACF"/>
    <w:rsid w:val="00F80694"/>
    <w:rsid w:val="00F808D3"/>
    <w:rsid w:val="00F80A10"/>
    <w:rsid w:val="00F85728"/>
    <w:rsid w:val="00F95A44"/>
    <w:rsid w:val="00FA08B9"/>
    <w:rsid w:val="00FA0AE1"/>
    <w:rsid w:val="00FA570E"/>
    <w:rsid w:val="00FA5F45"/>
    <w:rsid w:val="00FA6D7A"/>
    <w:rsid w:val="00FB0589"/>
    <w:rsid w:val="00FC262C"/>
    <w:rsid w:val="00FC636A"/>
    <w:rsid w:val="00FD20B6"/>
    <w:rsid w:val="00FD3539"/>
    <w:rsid w:val="00FD46C3"/>
    <w:rsid w:val="00FE5EC2"/>
    <w:rsid w:val="00FE62F0"/>
    <w:rsid w:val="00FE663B"/>
    <w:rsid w:val="00FF3BF6"/>
    <w:rsid w:val="00FF538C"/>
    <w:rsid w:val="00FF5CD9"/>
    <w:rsid w:val="00FF632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6B66"/>
    <w:rPr>
      <w:rFonts w:ascii="Calibri" w:hAnsi="Calibri"/>
    </w:rPr>
  </w:style>
  <w:style w:type="paragraph" w:styleId="Heading1">
    <w:name w:val="heading 1"/>
    <w:basedOn w:val="Normal"/>
    <w:next w:val="BodyText"/>
    <w:link w:val="Heading1Char"/>
    <w:uiPriority w:val="99"/>
    <w:qFormat/>
    <w:rsid w:val="00A74EF8"/>
    <w:pPr>
      <w:keepNext/>
      <w:keepLines/>
      <w:pBdr>
        <w:bottom w:val="single" w:sz="2" w:space="1" w:color="000080"/>
      </w:pBdr>
      <w:spacing w:before="240" w:after="80"/>
      <w:ind w:left="-720"/>
      <w:outlineLvl w:val="0"/>
    </w:pPr>
    <w:rPr>
      <w:rFonts w:ascii="Arial" w:eastAsia="Times New Roman" w:hAnsi="Arial"/>
      <w:bCs/>
      <w:sz w:val="28"/>
      <w:szCs w:val="28"/>
    </w:rPr>
  </w:style>
  <w:style w:type="paragraph" w:styleId="Heading2">
    <w:name w:val="heading 2"/>
    <w:basedOn w:val="Normal"/>
    <w:next w:val="BodyText"/>
    <w:link w:val="Heading2Char"/>
    <w:uiPriority w:val="99"/>
    <w:qFormat/>
    <w:rsid w:val="00A74EF8"/>
    <w:pPr>
      <w:keepNext/>
      <w:keepLines/>
      <w:spacing w:before="240" w:after="80"/>
      <w:ind w:left="-720"/>
      <w:outlineLvl w:val="1"/>
    </w:pPr>
    <w:rPr>
      <w:rFonts w:ascii="Arial" w:eastAsia="Times New Roman" w:hAnsi="Arial"/>
      <w:bCs/>
      <w:sz w:val="26"/>
      <w:szCs w:val="26"/>
    </w:rPr>
  </w:style>
  <w:style w:type="paragraph" w:styleId="Heading3">
    <w:name w:val="heading 3"/>
    <w:basedOn w:val="Normal"/>
    <w:next w:val="BodyText"/>
    <w:link w:val="Heading3Char"/>
    <w:uiPriority w:val="99"/>
    <w:qFormat/>
    <w:rsid w:val="00A74EF8"/>
    <w:pPr>
      <w:keepNext/>
      <w:keepLines/>
      <w:spacing w:before="240" w:after="80"/>
      <w:outlineLvl w:val="2"/>
    </w:pPr>
    <w:rPr>
      <w:rFonts w:ascii="Arial" w:eastAsia="Times New Roman" w:hAnsi="Arial"/>
      <w:bCs/>
      <w:sz w:val="24"/>
    </w:rPr>
  </w:style>
  <w:style w:type="paragraph" w:styleId="Heading4">
    <w:name w:val="heading 4"/>
    <w:basedOn w:val="Normal"/>
    <w:next w:val="BodyText"/>
    <w:link w:val="Heading4Char"/>
    <w:uiPriority w:val="99"/>
    <w:qFormat/>
    <w:rsid w:val="00A74EF8"/>
    <w:pPr>
      <w:keepNext/>
      <w:keepLines/>
      <w:spacing w:before="200" w:after="40"/>
      <w:outlineLvl w:val="3"/>
    </w:pPr>
    <w:rPr>
      <w:rFonts w:ascii="Arial" w:eastAsia="Times New Roman" w:hAnsi="Arial"/>
      <w:b/>
      <w:bCs/>
      <w:iCs/>
      <w:sz w:val="20"/>
    </w:rPr>
  </w:style>
  <w:style w:type="paragraph" w:styleId="Heading5">
    <w:name w:val="heading 5"/>
    <w:basedOn w:val="Normal"/>
    <w:next w:val="BodyText"/>
    <w:link w:val="Heading5Char"/>
    <w:uiPriority w:val="99"/>
    <w:qFormat/>
    <w:rsid w:val="0041021C"/>
    <w:pPr>
      <w:keepNext/>
      <w:keepLines/>
      <w:spacing w:before="200"/>
      <w:outlineLvl w:val="4"/>
    </w:pPr>
    <w:rPr>
      <w:rFonts w:ascii="Arial" w:eastAsia="Times New Roman" w:hAnsi="Arial"/>
      <w:b/>
      <w:color w:val="365F91"/>
      <w:sz w:val="20"/>
    </w:rPr>
  </w:style>
  <w:style w:type="paragraph" w:styleId="Heading6">
    <w:name w:val="heading 6"/>
    <w:basedOn w:val="Normal"/>
    <w:next w:val="Normal"/>
    <w:link w:val="Heading6Char"/>
    <w:uiPriority w:val="99"/>
    <w:qFormat/>
    <w:rsid w:val="0041021C"/>
    <w:pPr>
      <w:keepNext/>
      <w:keepLines/>
      <w:spacing w:before="200"/>
      <w:outlineLvl w:val="5"/>
    </w:pPr>
    <w:rPr>
      <w:rFonts w:ascii="Arial" w:eastAsia="Times New Roman" w:hAnsi="Arial"/>
      <w:b/>
      <w:iCs/>
      <w:color w:val="365F9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4EF8"/>
    <w:rPr>
      <w:rFonts w:ascii="Arial" w:hAnsi="Arial" w:cs="Times New Roman"/>
      <w:bCs/>
      <w:sz w:val="28"/>
      <w:szCs w:val="28"/>
    </w:rPr>
  </w:style>
  <w:style w:type="character" w:customStyle="1" w:styleId="Heading2Char">
    <w:name w:val="Heading 2 Char"/>
    <w:basedOn w:val="DefaultParagraphFont"/>
    <w:link w:val="Heading2"/>
    <w:uiPriority w:val="99"/>
    <w:locked/>
    <w:rsid w:val="00A74EF8"/>
    <w:rPr>
      <w:rFonts w:ascii="Arial" w:hAnsi="Arial" w:cs="Times New Roman"/>
      <w:bCs/>
      <w:sz w:val="26"/>
      <w:szCs w:val="26"/>
    </w:rPr>
  </w:style>
  <w:style w:type="character" w:customStyle="1" w:styleId="Heading3Char">
    <w:name w:val="Heading 3 Char"/>
    <w:basedOn w:val="DefaultParagraphFont"/>
    <w:link w:val="Heading3"/>
    <w:uiPriority w:val="99"/>
    <w:locked/>
    <w:rsid w:val="00A74EF8"/>
    <w:rPr>
      <w:rFonts w:ascii="Arial" w:hAnsi="Arial" w:cs="Times New Roman"/>
      <w:bCs/>
      <w:sz w:val="24"/>
    </w:rPr>
  </w:style>
  <w:style w:type="character" w:customStyle="1" w:styleId="Heading4Char">
    <w:name w:val="Heading 4 Char"/>
    <w:basedOn w:val="DefaultParagraphFont"/>
    <w:link w:val="Heading4"/>
    <w:uiPriority w:val="99"/>
    <w:locked/>
    <w:rsid w:val="00A74EF8"/>
    <w:rPr>
      <w:rFonts w:ascii="Arial" w:hAnsi="Arial" w:cs="Times New Roman"/>
      <w:b/>
      <w:bCs/>
      <w:iCs/>
      <w:sz w:val="20"/>
    </w:rPr>
  </w:style>
  <w:style w:type="character" w:customStyle="1" w:styleId="Heading5Char">
    <w:name w:val="Heading 5 Char"/>
    <w:basedOn w:val="DefaultParagraphFont"/>
    <w:link w:val="Heading5"/>
    <w:uiPriority w:val="99"/>
    <w:locked/>
    <w:rsid w:val="0041021C"/>
    <w:rPr>
      <w:rFonts w:ascii="Arial" w:hAnsi="Arial" w:cs="Times New Roman"/>
      <w:b/>
      <w:color w:val="365F91"/>
      <w:sz w:val="20"/>
    </w:rPr>
  </w:style>
  <w:style w:type="character" w:customStyle="1" w:styleId="Heading6Char">
    <w:name w:val="Heading 6 Char"/>
    <w:basedOn w:val="DefaultParagraphFont"/>
    <w:link w:val="Heading6"/>
    <w:uiPriority w:val="99"/>
    <w:locked/>
    <w:rsid w:val="0041021C"/>
    <w:rPr>
      <w:rFonts w:ascii="Arial" w:hAnsi="Arial" w:cs="Times New Roman"/>
      <w:b/>
      <w:iCs/>
      <w:color w:val="365F91"/>
      <w:sz w:val="20"/>
    </w:rPr>
  </w:style>
  <w:style w:type="paragraph" w:styleId="BodyText">
    <w:name w:val="Body Text"/>
    <w:basedOn w:val="Normal"/>
    <w:link w:val="BodyTextChar"/>
    <w:uiPriority w:val="99"/>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uiPriority w:val="99"/>
    <w:locked/>
    <w:rsid w:val="00077E76"/>
    <w:rPr>
      <w:rFonts w:eastAsia="MS Mincho" w:cs="Arial"/>
      <w:sz w:val="20"/>
      <w:szCs w:val="20"/>
    </w:rPr>
  </w:style>
  <w:style w:type="character" w:customStyle="1" w:styleId="Small">
    <w:name w:val="Small"/>
    <w:basedOn w:val="DefaultParagraphFont"/>
    <w:uiPriority w:val="99"/>
    <w:rsid w:val="00AE4752"/>
    <w:rPr>
      <w:rFonts w:cs="Times New Roman"/>
      <w:sz w:val="18"/>
    </w:rPr>
  </w:style>
  <w:style w:type="paragraph" w:styleId="CommentText">
    <w:name w:val="annotation text"/>
    <w:aliases w:val="ed"/>
    <w:basedOn w:val="Normal"/>
    <w:next w:val="Normal"/>
    <w:link w:val="CommentTextChar"/>
    <w:uiPriority w:val="99"/>
    <w:semiHidden/>
    <w:rsid w:val="00DE77A4"/>
    <w:pPr>
      <w:shd w:val="clear" w:color="auto" w:fill="C0C0C0"/>
    </w:pPr>
    <w:rPr>
      <w:rFonts w:ascii="Arial" w:eastAsia="Times New Roman" w:hAnsi="Arial"/>
      <w:b/>
      <w:color w:val="0000FF"/>
      <w:sz w:val="16"/>
      <w:szCs w:val="20"/>
    </w:rPr>
  </w:style>
  <w:style w:type="character" w:customStyle="1" w:styleId="CommentTextChar">
    <w:name w:val="Comment Text Char"/>
    <w:aliases w:val="ed Char"/>
    <w:basedOn w:val="DefaultParagraphFont"/>
    <w:link w:val="CommentText"/>
    <w:uiPriority w:val="99"/>
    <w:semiHidden/>
    <w:locked/>
    <w:rsid w:val="00DE77A4"/>
    <w:rPr>
      <w:rFonts w:ascii="Arial" w:hAnsi="Arial" w:cs="Times New Roman"/>
      <w:b/>
      <w:color w:val="0000FF"/>
      <w:sz w:val="16"/>
      <w:shd w:val="clear" w:color="auto" w:fill="C0C0C0"/>
      <w:lang w:val="en-US" w:eastAsia="en-US" w:bidi="ar-SA"/>
    </w:rPr>
  </w:style>
  <w:style w:type="paragraph" w:styleId="Title">
    <w:name w:val="Title"/>
    <w:basedOn w:val="Normal"/>
    <w:next w:val="BodyText"/>
    <w:link w:val="TitleChar"/>
    <w:uiPriority w:val="99"/>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uiPriority w:val="99"/>
    <w:locked/>
    <w:rsid w:val="00A6731E"/>
    <w:rPr>
      <w:rFonts w:ascii="Arial" w:eastAsia="MS Mincho" w:hAnsi="Arial" w:cs="Arial"/>
      <w:bCs/>
      <w:kern w:val="28"/>
      <w:sz w:val="48"/>
      <w:szCs w:val="48"/>
      <w:lang w:val="en-US" w:eastAsia="en-US" w:bidi="ar-SA"/>
    </w:rPr>
  </w:style>
  <w:style w:type="paragraph" w:customStyle="1" w:styleId="Procedure">
    <w:name w:val="Procedure"/>
    <w:basedOn w:val="Normal"/>
    <w:next w:val="List"/>
    <w:uiPriority w:val="99"/>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basedOn w:val="Normal"/>
    <w:autoRedefine/>
    <w:uiPriority w:val="39"/>
    <w:rsid w:val="00A6731E"/>
    <w:pPr>
      <w:tabs>
        <w:tab w:val="right" w:leader="dot" w:pos="7680"/>
      </w:tabs>
    </w:pPr>
    <w:rPr>
      <w:rFonts w:eastAsia="Times New Roman"/>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rsid w:val="004D2E11"/>
    <w:rPr>
      <w:rFonts w:ascii="Arial" w:eastAsia="MS Mincho" w:hAnsi="Arial" w:cs="Arial"/>
      <w:i/>
      <w:sz w:val="16"/>
      <w:szCs w:val="16"/>
    </w:rPr>
  </w:style>
  <w:style w:type="paragraph" w:customStyle="1" w:styleId="Version">
    <w:name w:val="Version"/>
    <w:basedOn w:val="Normal"/>
    <w:next w:val="BodyText"/>
    <w:uiPriority w:val="99"/>
    <w:rsid w:val="00D66C3E"/>
    <w:pPr>
      <w:keepLines/>
      <w:spacing w:after="480"/>
    </w:pPr>
    <w:rPr>
      <w:rFonts w:eastAsia="MS Mincho" w:cs="Arial"/>
      <w:noProof/>
      <w:sz w:val="18"/>
      <w:szCs w:val="20"/>
    </w:rPr>
  </w:style>
  <w:style w:type="character" w:styleId="Hyperlink">
    <w:name w:val="Hyperlink"/>
    <w:basedOn w:val="DefaultParagraphFont"/>
    <w:uiPriority w:val="99"/>
    <w:rsid w:val="00DE77A4"/>
    <w:rPr>
      <w:rFonts w:cs="Times New Roman"/>
      <w:color w:val="0000FF"/>
      <w:u w:val="single"/>
    </w:rPr>
  </w:style>
  <w:style w:type="paragraph" w:customStyle="1" w:styleId="BodyTextLink">
    <w:name w:val="Body Text Link"/>
    <w:aliases w:val="ti"/>
    <w:basedOn w:val="BodyText"/>
    <w:next w:val="BulletList"/>
    <w:link w:val="BodyTextLinkChar"/>
    <w:rsid w:val="00DE77A4"/>
    <w:pPr>
      <w:keepNext/>
      <w:keepLines/>
      <w:spacing w:after="80"/>
    </w:pPr>
  </w:style>
  <w:style w:type="character" w:customStyle="1" w:styleId="Editornote">
    <w:name w:val="Editor note"/>
    <w:basedOn w:val="Strong"/>
    <w:uiPriority w:val="99"/>
    <w:rsid w:val="00DE77A4"/>
    <w:rPr>
      <w:rFonts w:ascii="Arial" w:hAnsi="Arial"/>
      <w:color w:val="0000FF"/>
      <w:sz w:val="20"/>
      <w:shd w:val="clear" w:color="auto" w:fill="C0C0C0"/>
    </w:rPr>
  </w:style>
  <w:style w:type="character" w:customStyle="1" w:styleId="Bold">
    <w:name w:val="Bold"/>
    <w:basedOn w:val="DefaultParagraphFont"/>
    <w:rsid w:val="00DE77A4"/>
    <w:rPr>
      <w:rFonts w:cs="Times New Roman"/>
      <w:b/>
    </w:rPr>
  </w:style>
  <w:style w:type="paragraph" w:styleId="List">
    <w:name w:val="List"/>
    <w:basedOn w:val="BodyText"/>
    <w:uiPriority w:val="99"/>
    <w:rsid w:val="002A00E9"/>
    <w:pPr>
      <w:spacing w:after="80"/>
      <w:ind w:left="360" w:hanging="360"/>
    </w:pPr>
  </w:style>
  <w:style w:type="character" w:styleId="Strong">
    <w:name w:val="Strong"/>
    <w:basedOn w:val="DefaultParagraphFont"/>
    <w:uiPriority w:val="99"/>
    <w:qFormat/>
    <w:locked/>
    <w:rsid w:val="00DE77A4"/>
    <w:rPr>
      <w:rFonts w:cs="Times New Roman"/>
      <w:b/>
      <w:bCs/>
    </w:rPr>
  </w:style>
  <w:style w:type="paragraph" w:styleId="Header">
    <w:name w:val="header"/>
    <w:basedOn w:val="BodyText"/>
    <w:link w:val="HeaderChar"/>
    <w:uiPriority w:val="99"/>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uiPriority w:val="99"/>
    <w:locked/>
    <w:rsid w:val="00A6731E"/>
    <w:rPr>
      <w:rFonts w:ascii="Calibri" w:eastAsia="MS Mincho" w:hAnsi="Calibri" w:cs="Arial"/>
      <w:sz w:val="20"/>
      <w:szCs w:val="20"/>
    </w:rPr>
  </w:style>
  <w:style w:type="paragraph" w:styleId="Footer">
    <w:name w:val="footer"/>
    <w:basedOn w:val="Normal"/>
    <w:link w:val="FooterChar"/>
    <w:semiHidden/>
    <w:rsid w:val="00DE77A4"/>
    <w:pPr>
      <w:tabs>
        <w:tab w:val="center" w:pos="4680"/>
        <w:tab w:val="right" w:pos="9360"/>
      </w:tabs>
    </w:pPr>
    <w:rPr>
      <w:sz w:val="16"/>
    </w:rPr>
  </w:style>
  <w:style w:type="character" w:customStyle="1" w:styleId="FooterChar">
    <w:name w:val="Footer Char"/>
    <w:basedOn w:val="DefaultParagraphFont"/>
    <w:link w:val="Footer"/>
    <w:semiHidden/>
    <w:locked/>
    <w:rsid w:val="00DE77A4"/>
    <w:rPr>
      <w:rFonts w:cs="Times New Roman"/>
      <w:sz w:val="16"/>
    </w:rPr>
  </w:style>
  <w:style w:type="paragraph" w:styleId="BalloonText">
    <w:name w:val="Balloon Text"/>
    <w:basedOn w:val="Normal"/>
    <w:link w:val="BalloonTextChar"/>
    <w:uiPriority w:val="99"/>
    <w:semiHidden/>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77A4"/>
    <w:rPr>
      <w:rFonts w:ascii="Tahoma" w:hAnsi="Tahoma" w:cs="Tahoma"/>
      <w:sz w:val="16"/>
      <w:szCs w:val="16"/>
    </w:rPr>
  </w:style>
  <w:style w:type="paragraph" w:styleId="BodyTextIndent">
    <w:name w:val="Body Text Indent"/>
    <w:basedOn w:val="Normal"/>
    <w:link w:val="BodyTextIndentChar"/>
    <w:uiPriority w:val="99"/>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uiPriority w:val="99"/>
    <w:locked/>
    <w:rsid w:val="00875312"/>
    <w:rPr>
      <w:rFonts w:eastAsia="MS Mincho" w:cs="Arial"/>
      <w:sz w:val="20"/>
      <w:szCs w:val="20"/>
    </w:rPr>
  </w:style>
  <w:style w:type="paragraph" w:customStyle="1" w:styleId="BulletList">
    <w:name w:val="Bullet List"/>
    <w:basedOn w:val="Normal"/>
    <w:link w:val="BulletListChar"/>
    <w:rsid w:val="00875312"/>
    <w:pPr>
      <w:numPr>
        <w:numId w:val="1"/>
      </w:numPr>
      <w:tabs>
        <w:tab w:val="clear" w:pos="720"/>
        <w:tab w:val="left" w:pos="360"/>
      </w:tabs>
      <w:spacing w:after="80"/>
      <w:ind w:left="360"/>
    </w:pPr>
    <w:rPr>
      <w:rFonts w:eastAsia="MS Mincho" w:cs="Arial"/>
      <w:szCs w:val="20"/>
    </w:rPr>
  </w:style>
  <w:style w:type="paragraph" w:customStyle="1" w:styleId="BulletList2">
    <w:name w:val="Bullet List 2"/>
    <w:basedOn w:val="BulletList"/>
    <w:uiPriority w:val="99"/>
    <w:rsid w:val="00875312"/>
    <w:pPr>
      <w:tabs>
        <w:tab w:val="clear" w:pos="360"/>
        <w:tab w:val="num" w:pos="720"/>
      </w:tabs>
      <w:ind w:left="720"/>
    </w:pPr>
  </w:style>
  <w:style w:type="paragraph" w:customStyle="1" w:styleId="TableBullet">
    <w:name w:val="Table Bullet"/>
    <w:basedOn w:val="Normal"/>
    <w:uiPriority w:val="99"/>
    <w:rsid w:val="00875312"/>
    <w:pPr>
      <w:numPr>
        <w:numId w:val="2"/>
      </w:numPr>
      <w:spacing w:before="20" w:after="20"/>
    </w:pPr>
    <w:rPr>
      <w:rFonts w:eastAsia="MS Mincho" w:cs="Arial"/>
      <w:sz w:val="18"/>
      <w:szCs w:val="18"/>
    </w:rPr>
  </w:style>
  <w:style w:type="paragraph" w:styleId="PlainText">
    <w:name w:val="Plain Text"/>
    <w:aliases w:val="Code"/>
    <w:basedOn w:val="Normal"/>
    <w:link w:val="PlainTextChar"/>
    <w:uiPriority w:val="99"/>
    <w:rsid w:val="009111B8"/>
    <w:pPr>
      <w:shd w:val="clear" w:color="auto" w:fill="D9D9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uiPriority w:val="99"/>
    <w:locked/>
    <w:rsid w:val="009111B8"/>
    <w:rPr>
      <w:rFonts w:ascii="Lucida Sans Typewriter" w:eastAsia="MS Mincho" w:hAnsi="Lucida Sans Typewriter" w:cs="Courier New"/>
      <w:noProof/>
      <w:color w:val="000000"/>
      <w:sz w:val="18"/>
      <w:shd w:val="clear" w:color="auto" w:fill="D9D9D9"/>
      <w:lang w:val="en-US" w:eastAsia="en-US" w:bidi="ar-SA"/>
    </w:rPr>
  </w:style>
  <w:style w:type="character" w:customStyle="1" w:styleId="EmbeddedCode">
    <w:name w:val="Embedded Code"/>
    <w:basedOn w:val="DefaultParagraphFont"/>
    <w:uiPriority w:val="99"/>
    <w:rsid w:val="00077E76"/>
    <w:rPr>
      <w:rFonts w:ascii="Courier New" w:hAnsi="Courier New" w:cs="Times New Roman"/>
      <w:sz w:val="18"/>
    </w:rPr>
  </w:style>
  <w:style w:type="paragraph" w:customStyle="1" w:styleId="Le">
    <w:name w:val="Le"/>
    <w:aliases w:val="listend (LE),le"/>
    <w:next w:val="BodyText"/>
    <w:rsid w:val="00077E76"/>
    <w:pPr>
      <w:spacing w:line="80" w:lineRule="exact"/>
    </w:pPr>
    <w:rPr>
      <w:rFonts w:ascii="Arial" w:eastAsia="MS Mincho" w:hAnsi="Arial"/>
      <w:color w:val="0070C0"/>
      <w:sz w:val="16"/>
      <w:szCs w:val="24"/>
    </w:rPr>
  </w:style>
  <w:style w:type="paragraph" w:styleId="ListParagraph">
    <w:name w:val="List Paragraph"/>
    <w:basedOn w:val="Normal"/>
    <w:uiPriority w:val="99"/>
    <w:qFormat/>
    <w:locked/>
    <w:rsid w:val="002A00E9"/>
    <w:pPr>
      <w:spacing w:after="80"/>
      <w:ind w:left="360" w:hanging="360"/>
    </w:pPr>
  </w:style>
  <w:style w:type="paragraph" w:customStyle="1" w:styleId="Contents">
    <w:name w:val="Contents"/>
    <w:basedOn w:val="Normal"/>
    <w:uiPriority w:val="99"/>
    <w:semiHidden/>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qFormat/>
    <w:locked/>
    <w:rsid w:val="00BA32CA"/>
    <w:pPr>
      <w:ind w:left="360"/>
    </w:pPr>
    <w:rPr>
      <w:iCs/>
      <w:color w:val="000000"/>
    </w:rPr>
  </w:style>
  <w:style w:type="character" w:customStyle="1" w:styleId="QuoteChar">
    <w:name w:val="Quote Char"/>
    <w:basedOn w:val="DefaultParagraphFont"/>
    <w:link w:val="Quote"/>
    <w:uiPriority w:val="99"/>
    <w:semiHidden/>
    <w:locked/>
    <w:rsid w:val="009A3B29"/>
    <w:rPr>
      <w:rFonts w:ascii="Calibri" w:hAnsi="Calibri" w:cs="Times New Roman"/>
      <w:iCs/>
      <w:color w:val="000000"/>
    </w:rPr>
  </w:style>
  <w:style w:type="paragraph" w:styleId="Subtitle">
    <w:name w:val="Subtitle"/>
    <w:basedOn w:val="Normal"/>
    <w:next w:val="Normal"/>
    <w:link w:val="SubtitleChar"/>
    <w:uiPriority w:val="99"/>
    <w:qFormat/>
    <w:rsid w:val="00A74EF8"/>
    <w:pPr>
      <w:numPr>
        <w:ilvl w:val="1"/>
      </w:numPr>
      <w:spacing w:after="480"/>
    </w:pPr>
    <w:rPr>
      <w:rFonts w:ascii="Arial" w:eastAsia="Times New Roman" w:hAnsi="Arial"/>
      <w:iCs/>
      <w:spacing w:val="15"/>
      <w:sz w:val="32"/>
      <w:szCs w:val="24"/>
    </w:rPr>
  </w:style>
  <w:style w:type="character" w:customStyle="1" w:styleId="SubtitleChar">
    <w:name w:val="Subtitle Char"/>
    <w:basedOn w:val="DefaultParagraphFont"/>
    <w:link w:val="Subtitle"/>
    <w:uiPriority w:val="99"/>
    <w:locked/>
    <w:rsid w:val="00A74EF8"/>
    <w:rPr>
      <w:rFonts w:ascii="Arial" w:hAnsi="Arial" w:cs="Times New Roman"/>
      <w:iCs/>
      <w:spacing w:val="15"/>
      <w:sz w:val="24"/>
      <w:szCs w:val="24"/>
    </w:rPr>
  </w:style>
  <w:style w:type="paragraph" w:customStyle="1" w:styleId="FigCap">
    <w:name w:val="FigCap"/>
    <w:basedOn w:val="Normal"/>
    <w:next w:val="BodyText"/>
    <w:autoRedefine/>
    <w:uiPriority w:val="99"/>
    <w:rsid w:val="003C475A"/>
    <w:pPr>
      <w:spacing w:before="160" w:after="240"/>
    </w:pPr>
    <w:rPr>
      <w:rFonts w:ascii="Arial" w:eastAsia="MS Mincho" w:hAnsi="Arial" w:cs="Arial"/>
      <w:b/>
      <w:sz w:val="18"/>
      <w:szCs w:val="18"/>
    </w:rPr>
  </w:style>
  <w:style w:type="character" w:customStyle="1" w:styleId="Red">
    <w:name w:val="Red"/>
    <w:basedOn w:val="BodyTextChar"/>
    <w:uiPriority w:val="99"/>
    <w:rsid w:val="009A3B29"/>
    <w:rPr>
      <w:b/>
      <w:color w:val="FF0000"/>
    </w:rPr>
  </w:style>
  <w:style w:type="paragraph" w:styleId="TOC2">
    <w:name w:val="toc 2"/>
    <w:basedOn w:val="Normal"/>
    <w:next w:val="Normal"/>
    <w:autoRedefine/>
    <w:uiPriority w:val="39"/>
    <w:rsid w:val="00A6731E"/>
    <w:pPr>
      <w:tabs>
        <w:tab w:val="right" w:leader="dot" w:pos="7680"/>
      </w:tabs>
      <w:ind w:left="240"/>
    </w:pPr>
    <w:rPr>
      <w:noProof/>
    </w:rPr>
  </w:style>
  <w:style w:type="paragraph" w:styleId="TOC3">
    <w:name w:val="toc 3"/>
    <w:basedOn w:val="Normal"/>
    <w:next w:val="Normal"/>
    <w:autoRedefine/>
    <w:uiPriority w:val="99"/>
    <w:rsid w:val="00A6731E"/>
    <w:pPr>
      <w:tabs>
        <w:tab w:val="right" w:leader="dot" w:pos="7680"/>
      </w:tabs>
      <w:ind w:left="480"/>
    </w:pPr>
    <w:rPr>
      <w:noProof/>
    </w:rPr>
  </w:style>
  <w:style w:type="paragraph" w:customStyle="1" w:styleId="DT">
    <w:name w:val="DT"/>
    <w:aliases w:val="Term1"/>
    <w:basedOn w:val="Normal"/>
    <w:next w:val="DL"/>
    <w:uiPriority w:val="99"/>
    <w:rsid w:val="00A84221"/>
    <w:pPr>
      <w:keepNext/>
      <w:ind w:left="180"/>
    </w:pPr>
    <w:rPr>
      <w:rFonts w:eastAsia="MS Mincho" w:cs="Arial"/>
      <w:b/>
      <w:szCs w:val="20"/>
    </w:rPr>
  </w:style>
  <w:style w:type="paragraph" w:customStyle="1" w:styleId="DL">
    <w:name w:val="DL"/>
    <w:aliases w:val="Def1"/>
    <w:basedOn w:val="Normal"/>
    <w:next w:val="DT"/>
    <w:link w:val="DLChar"/>
    <w:uiPriority w:val="99"/>
    <w:rsid w:val="00A84221"/>
    <w:pPr>
      <w:keepLines/>
      <w:spacing w:after="80"/>
      <w:ind w:left="360"/>
    </w:pPr>
    <w:rPr>
      <w:rFonts w:eastAsia="MS Mincho" w:cs="Arial"/>
      <w:szCs w:val="20"/>
    </w:rPr>
  </w:style>
  <w:style w:type="character" w:customStyle="1" w:styleId="DLChar">
    <w:name w:val="DL Char"/>
    <w:aliases w:val="Def1 Char"/>
    <w:basedOn w:val="DefaultParagraphFont"/>
    <w:link w:val="DL"/>
    <w:uiPriority w:val="99"/>
    <w:locked/>
    <w:rsid w:val="00A84221"/>
    <w:rPr>
      <w:rFonts w:ascii="Calibri" w:eastAsia="MS Mincho" w:hAnsi="Calibri" w:cs="Arial"/>
      <w:sz w:val="20"/>
      <w:szCs w:val="20"/>
    </w:rPr>
  </w:style>
  <w:style w:type="table" w:customStyle="1" w:styleId="Tablerowcell">
    <w:name w:val="Table row cell"/>
    <w:uiPriority w:val="99"/>
    <w:rsid w:val="00BB7099"/>
    <w:rPr>
      <w:rFonts w:ascii="Calibri" w:hAnsi="Calibri"/>
      <w:sz w:val="20"/>
      <w:szCs w:val="20"/>
      <w:lang w:eastAsia="zh-TW"/>
    </w:rPr>
    <w:tblPr>
      <w:tblInd w:w="0" w:type="dxa"/>
      <w:tblBorders>
        <w:top w:val="single" w:sz="4" w:space="0" w:color="auto"/>
        <w:bottom w:val="single" w:sz="4" w:space="0" w:color="auto"/>
        <w:insideH w:val="single" w:sz="4" w:space="0" w:color="BFBFBF"/>
        <w:insideV w:val="single" w:sz="4" w:space="0" w:color="BFBFBF"/>
      </w:tblBorders>
      <w:tblCellMar>
        <w:top w:w="0" w:type="dxa"/>
        <w:left w:w="108" w:type="dxa"/>
        <w:bottom w:w="0" w:type="dxa"/>
        <w:right w:w="108" w:type="dxa"/>
      </w:tblCellMar>
    </w:tblPr>
    <w:trPr>
      <w:cantSplit/>
    </w:trPr>
    <w:tblStylePr w:type="firstRow">
      <w:rPr>
        <w:rFonts w:ascii="Calibri" w:hAnsi="Calibri" w:cs="Times New Roman"/>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cPr>
    </w:tblStylePr>
  </w:style>
  <w:style w:type="character" w:styleId="FollowedHyperlink">
    <w:name w:val="FollowedHyperlink"/>
    <w:basedOn w:val="DefaultParagraphFont"/>
    <w:uiPriority w:val="99"/>
    <w:semiHidden/>
    <w:rsid w:val="006A78FA"/>
    <w:rPr>
      <w:rFonts w:cs="Times New Roman"/>
      <w:color w:val="800080"/>
      <w:u w:val="single"/>
    </w:rPr>
  </w:style>
  <w:style w:type="paragraph" w:customStyle="1" w:styleId="Bodytextindent0">
    <w:name w:val="Body text indent"/>
    <w:basedOn w:val="BodyTextIndent"/>
    <w:link w:val="BodytextindentChar0"/>
    <w:qFormat/>
    <w:rsid w:val="00666138"/>
  </w:style>
  <w:style w:type="character" w:customStyle="1" w:styleId="BodytextindentChar0">
    <w:name w:val="Body text indent Char"/>
    <w:basedOn w:val="BodyTextIndentChar"/>
    <w:link w:val="Bodytextindent0"/>
    <w:rsid w:val="00666138"/>
    <w:rPr>
      <w:rFonts w:ascii="Calibri" w:hAnsi="Calibri"/>
    </w:rPr>
  </w:style>
  <w:style w:type="character" w:customStyle="1" w:styleId="BulletListChar">
    <w:name w:val="Bullet List Char"/>
    <w:basedOn w:val="DefaultParagraphFont"/>
    <w:link w:val="BulletList"/>
    <w:rsid w:val="00666138"/>
    <w:rPr>
      <w:rFonts w:ascii="Calibri" w:eastAsia="MS Mincho" w:hAnsi="Calibri" w:cs="Arial"/>
      <w:szCs w:val="20"/>
    </w:rPr>
  </w:style>
  <w:style w:type="character" w:styleId="CommentReference">
    <w:name w:val="annotation reference"/>
    <w:basedOn w:val="DefaultParagraphFont"/>
    <w:uiPriority w:val="99"/>
    <w:semiHidden/>
    <w:unhideWhenUsed/>
    <w:rsid w:val="00693CF6"/>
    <w:rPr>
      <w:sz w:val="16"/>
      <w:szCs w:val="16"/>
    </w:rPr>
  </w:style>
  <w:style w:type="paragraph" w:styleId="CommentSubject">
    <w:name w:val="annotation subject"/>
    <w:basedOn w:val="CommentText"/>
    <w:next w:val="CommentText"/>
    <w:link w:val="CommentSubjectChar"/>
    <w:uiPriority w:val="99"/>
    <w:semiHidden/>
    <w:unhideWhenUsed/>
    <w:rsid w:val="00693CF6"/>
    <w:pPr>
      <w:shd w:val="clear" w:color="auto" w:fill="auto"/>
    </w:pPr>
    <w:rPr>
      <w:rFonts w:ascii="Calibri" w:eastAsia="Calibri" w:hAnsi="Calibri"/>
      <w:bCs/>
      <w:color w:val="auto"/>
      <w:sz w:val="20"/>
    </w:rPr>
  </w:style>
  <w:style w:type="character" w:customStyle="1" w:styleId="CommentSubjectChar">
    <w:name w:val="Comment Subject Char"/>
    <w:basedOn w:val="CommentTextChar"/>
    <w:link w:val="CommentSubject"/>
    <w:uiPriority w:val="99"/>
    <w:semiHidden/>
    <w:rsid w:val="00693CF6"/>
    <w:rPr>
      <w:rFonts w:ascii="Calibri" w:hAnsi="Calibri"/>
      <w:b/>
      <w:bCs/>
      <w:sz w:val="20"/>
      <w:szCs w:val="20"/>
    </w:rPr>
  </w:style>
  <w:style w:type="paragraph" w:customStyle="1" w:styleId="bulletlist0">
    <w:name w:val="bullet list"/>
    <w:basedOn w:val="BulletList"/>
    <w:link w:val="bulletlistChar0"/>
    <w:qFormat/>
    <w:rsid w:val="0088228B"/>
  </w:style>
  <w:style w:type="character" w:customStyle="1" w:styleId="bulletlistChar0">
    <w:name w:val="bullet list Char"/>
    <w:basedOn w:val="BulletListChar"/>
    <w:link w:val="bulletlist0"/>
    <w:rsid w:val="0088228B"/>
  </w:style>
  <w:style w:type="paragraph" w:styleId="TOCHeading">
    <w:name w:val="TOC Heading"/>
    <w:basedOn w:val="Heading1"/>
    <w:next w:val="Normal"/>
    <w:uiPriority w:val="39"/>
    <w:semiHidden/>
    <w:unhideWhenUsed/>
    <w:qFormat/>
    <w:rsid w:val="00C66216"/>
    <w:pPr>
      <w:pBdr>
        <w:bottom w:val="none" w:sz="0" w:space="0" w:color="auto"/>
      </w:pBdr>
      <w:spacing w:before="480" w:after="0" w:line="276" w:lineRule="auto"/>
      <w:ind w:left="0"/>
      <w:outlineLvl w:val="9"/>
    </w:pPr>
    <w:rPr>
      <w:rFonts w:asciiTheme="majorHAnsi" w:eastAsiaTheme="majorEastAsia" w:hAnsiTheme="majorHAnsi" w:cstheme="majorBidi"/>
      <w:b/>
      <w:color w:val="365F91" w:themeColor="accent1" w:themeShade="BF"/>
    </w:rPr>
  </w:style>
  <w:style w:type="paragraph" w:styleId="FootnoteText">
    <w:name w:val="footnote text"/>
    <w:basedOn w:val="Normal"/>
    <w:link w:val="FootnoteTextChar"/>
    <w:uiPriority w:val="99"/>
    <w:semiHidden/>
    <w:unhideWhenUsed/>
    <w:rsid w:val="00B51DC0"/>
    <w:rPr>
      <w:sz w:val="20"/>
      <w:szCs w:val="20"/>
    </w:rPr>
  </w:style>
  <w:style w:type="character" w:customStyle="1" w:styleId="FootnoteTextChar">
    <w:name w:val="Footnote Text Char"/>
    <w:basedOn w:val="DefaultParagraphFont"/>
    <w:link w:val="FootnoteText"/>
    <w:uiPriority w:val="99"/>
    <w:semiHidden/>
    <w:rsid w:val="00B51DC0"/>
    <w:rPr>
      <w:rFonts w:ascii="Calibri" w:hAnsi="Calibri"/>
      <w:sz w:val="20"/>
      <w:szCs w:val="20"/>
    </w:rPr>
  </w:style>
  <w:style w:type="character" w:styleId="FootnoteReference">
    <w:name w:val="footnote reference"/>
    <w:basedOn w:val="DefaultParagraphFont"/>
    <w:uiPriority w:val="99"/>
    <w:semiHidden/>
    <w:unhideWhenUsed/>
    <w:rsid w:val="00B51DC0"/>
    <w:rPr>
      <w:vertAlign w:val="superscript"/>
    </w:rPr>
  </w:style>
  <w:style w:type="character" w:customStyle="1" w:styleId="BodyTextLinkChar">
    <w:name w:val="Body Text Link Char"/>
    <w:aliases w:val="ti Char"/>
    <w:basedOn w:val="DefaultParagraphFont"/>
    <w:link w:val="BodyTextLink"/>
    <w:rsid w:val="007663DB"/>
    <w:rPr>
      <w:rFonts w:ascii="Calibri" w:eastAsia="MS Mincho" w:hAnsi="Calibri" w:cs="Arial"/>
      <w:szCs w:val="20"/>
    </w:rPr>
  </w:style>
  <w:style w:type="character" w:customStyle="1" w:styleId="Quotefont">
    <w:name w:val="Quote font"/>
    <w:basedOn w:val="BodyTextChar"/>
    <w:uiPriority w:val="1"/>
    <w:qFormat/>
    <w:rsid w:val="007663DB"/>
    <w:rPr>
      <w:rFonts w:ascii="Calibri" w:hAnsi="Calibri"/>
      <w:color w:val="009A46"/>
      <w:sz w:val="22"/>
    </w:rPr>
  </w:style>
</w:styles>
</file>

<file path=word/webSettings.xml><?xml version="1.0" encoding="utf-8"?>
<w:webSettings xmlns:r="http://schemas.openxmlformats.org/officeDocument/2006/relationships" xmlns:w="http://schemas.openxmlformats.org/wordprocessingml/2006/main">
  <w:divs>
    <w:div w:id="262999890">
      <w:bodyDiv w:val="1"/>
      <w:marLeft w:val="0"/>
      <w:marRight w:val="0"/>
      <w:marTop w:val="0"/>
      <w:marBottom w:val="0"/>
      <w:divBdr>
        <w:top w:val="none" w:sz="0" w:space="0" w:color="auto"/>
        <w:left w:val="none" w:sz="0" w:space="0" w:color="auto"/>
        <w:bottom w:val="none" w:sz="0" w:space="0" w:color="auto"/>
        <w:right w:val="none" w:sz="0" w:space="0" w:color="auto"/>
      </w:divBdr>
    </w:div>
    <w:div w:id="770202209">
      <w:bodyDiv w:val="1"/>
      <w:marLeft w:val="0"/>
      <w:marRight w:val="0"/>
      <w:marTop w:val="0"/>
      <w:marBottom w:val="0"/>
      <w:divBdr>
        <w:top w:val="none" w:sz="0" w:space="0" w:color="auto"/>
        <w:left w:val="none" w:sz="0" w:space="0" w:color="auto"/>
        <w:bottom w:val="none" w:sz="0" w:space="0" w:color="auto"/>
        <w:right w:val="none" w:sz="0" w:space="0" w:color="auto"/>
      </w:divBdr>
    </w:div>
    <w:div w:id="807357747">
      <w:bodyDiv w:val="1"/>
      <w:marLeft w:val="0"/>
      <w:marRight w:val="0"/>
      <w:marTop w:val="0"/>
      <w:marBottom w:val="0"/>
      <w:divBdr>
        <w:top w:val="none" w:sz="0" w:space="0" w:color="auto"/>
        <w:left w:val="none" w:sz="0" w:space="0" w:color="auto"/>
        <w:bottom w:val="none" w:sz="0" w:space="0" w:color="auto"/>
        <w:right w:val="none" w:sz="0" w:space="0" w:color="auto"/>
      </w:divBdr>
    </w:div>
    <w:div w:id="906232353">
      <w:bodyDiv w:val="1"/>
      <w:marLeft w:val="0"/>
      <w:marRight w:val="0"/>
      <w:marTop w:val="0"/>
      <w:marBottom w:val="0"/>
      <w:divBdr>
        <w:top w:val="none" w:sz="0" w:space="0" w:color="auto"/>
        <w:left w:val="none" w:sz="0" w:space="0" w:color="auto"/>
        <w:bottom w:val="none" w:sz="0" w:space="0" w:color="auto"/>
        <w:right w:val="none" w:sz="0" w:space="0" w:color="auto"/>
      </w:divBdr>
      <w:divsChild>
        <w:div w:id="653215463">
          <w:marLeft w:val="0"/>
          <w:marRight w:val="0"/>
          <w:marTop w:val="0"/>
          <w:marBottom w:val="0"/>
          <w:divBdr>
            <w:top w:val="none" w:sz="0" w:space="0" w:color="auto"/>
            <w:left w:val="none" w:sz="0" w:space="0" w:color="auto"/>
            <w:bottom w:val="none" w:sz="0" w:space="0" w:color="auto"/>
            <w:right w:val="none" w:sz="0" w:space="0" w:color="auto"/>
          </w:divBdr>
          <w:divsChild>
            <w:div w:id="1562903386">
              <w:marLeft w:val="0"/>
              <w:marRight w:val="0"/>
              <w:marTop w:val="0"/>
              <w:marBottom w:val="0"/>
              <w:divBdr>
                <w:top w:val="none" w:sz="0" w:space="0" w:color="auto"/>
                <w:left w:val="none" w:sz="0" w:space="0" w:color="auto"/>
                <w:bottom w:val="none" w:sz="0" w:space="0" w:color="auto"/>
                <w:right w:val="none" w:sz="0" w:space="0" w:color="auto"/>
              </w:divBdr>
              <w:divsChild>
                <w:div w:id="1008559230">
                  <w:marLeft w:val="0"/>
                  <w:marRight w:val="0"/>
                  <w:marTop w:val="0"/>
                  <w:marBottom w:val="0"/>
                  <w:divBdr>
                    <w:top w:val="none" w:sz="0" w:space="0" w:color="auto"/>
                    <w:left w:val="none" w:sz="0" w:space="0" w:color="auto"/>
                    <w:bottom w:val="none" w:sz="0" w:space="0" w:color="auto"/>
                    <w:right w:val="none" w:sz="0" w:space="0" w:color="auto"/>
                  </w:divBdr>
                  <w:divsChild>
                    <w:div w:id="1187938151">
                      <w:marLeft w:val="0"/>
                      <w:marRight w:val="0"/>
                      <w:marTop w:val="0"/>
                      <w:marBottom w:val="0"/>
                      <w:divBdr>
                        <w:top w:val="none" w:sz="0" w:space="0" w:color="auto"/>
                        <w:left w:val="none" w:sz="0" w:space="0" w:color="auto"/>
                        <w:bottom w:val="none" w:sz="0" w:space="0" w:color="auto"/>
                        <w:right w:val="none" w:sz="0" w:space="0" w:color="auto"/>
                      </w:divBdr>
                      <w:divsChild>
                        <w:div w:id="904147726">
                          <w:marLeft w:val="0"/>
                          <w:marRight w:val="0"/>
                          <w:marTop w:val="0"/>
                          <w:marBottom w:val="0"/>
                          <w:divBdr>
                            <w:top w:val="none" w:sz="0" w:space="0" w:color="auto"/>
                            <w:left w:val="none" w:sz="0" w:space="0" w:color="auto"/>
                            <w:bottom w:val="none" w:sz="0" w:space="0" w:color="auto"/>
                            <w:right w:val="none" w:sz="0" w:space="0" w:color="auto"/>
                          </w:divBdr>
                          <w:divsChild>
                            <w:div w:id="1735196727">
                              <w:marLeft w:val="0"/>
                              <w:marRight w:val="0"/>
                              <w:marTop w:val="0"/>
                              <w:marBottom w:val="0"/>
                              <w:divBdr>
                                <w:top w:val="none" w:sz="0" w:space="0" w:color="auto"/>
                                <w:left w:val="none" w:sz="0" w:space="0" w:color="auto"/>
                                <w:bottom w:val="none" w:sz="0" w:space="0" w:color="auto"/>
                                <w:right w:val="none" w:sz="0" w:space="0" w:color="auto"/>
                              </w:divBdr>
                              <w:divsChild>
                                <w:div w:id="95154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803512">
      <w:bodyDiv w:val="1"/>
      <w:marLeft w:val="0"/>
      <w:marRight w:val="0"/>
      <w:marTop w:val="0"/>
      <w:marBottom w:val="0"/>
      <w:divBdr>
        <w:top w:val="none" w:sz="0" w:space="0" w:color="auto"/>
        <w:left w:val="none" w:sz="0" w:space="0" w:color="auto"/>
        <w:bottom w:val="none" w:sz="0" w:space="0" w:color="auto"/>
        <w:right w:val="none" w:sz="0" w:space="0" w:color="auto"/>
      </w:divBdr>
    </w:div>
    <w:div w:id="144658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go.microsoft.com/fwlink/?LinkID=132083" TargetMode="External"/><Relationship Id="rId18" Type="http://schemas.openxmlformats.org/officeDocument/2006/relationships/hyperlink" Target="http://go.microsoft.com/fwlink/?LinkID=132080"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microsoft.com/whdc/" TargetMode="External"/><Relationship Id="rId12" Type="http://schemas.openxmlformats.org/officeDocument/2006/relationships/hyperlink" Target="http://go.microsoft.com/fwlink/?LinkID=131592" TargetMode="External"/><Relationship Id="rId17" Type="http://schemas.openxmlformats.org/officeDocument/2006/relationships/hyperlink" Target="http://go.microsoft.com/fwlink/?LinkID=131592" TargetMode="External"/><Relationship Id="rId2" Type="http://schemas.openxmlformats.org/officeDocument/2006/relationships/styles" Target="styles.xml"/><Relationship Id="rId16" Type="http://schemas.openxmlformats.org/officeDocument/2006/relationships/hyperlink" Target="http://go.microsoft.com/fwlink/?LinkID=13208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132080" TargetMode="External"/><Relationship Id="rId5" Type="http://schemas.openxmlformats.org/officeDocument/2006/relationships/footnotes" Target="footnotes.xml"/><Relationship Id="rId15" Type="http://schemas.openxmlformats.org/officeDocument/2006/relationships/hyperlink" Target="http://go.microsoft.com/fwlink/?LinkID=132085"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team/sites/sideshow/Pressready%20images2/Remote_front_closed.jpg" TargetMode="External"/><Relationship Id="rId14" Type="http://schemas.openxmlformats.org/officeDocument/2006/relationships/hyperlink" Target="http://go.microsoft.com/fwlink/?LinkID=13208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1769</Words>
  <Characters>10088</Characters>
  <Application>Microsoft Office Word</Application>
  <DocSecurity>0</DocSecurity>
  <Lines>84</Lines>
  <Paragraphs>23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Windows Sideshow and Televisions and Set-top Boxes</vt:lpstr>
      <vt:lpstr>    </vt:lpstr>
      <vt:lpstr>Compelling Television and Set-Top Box Solutions</vt:lpstr>
      <vt:lpstr>    SideShow-Compatible Television </vt:lpstr>
      <vt:lpstr>    SideShow-Compatible Set-Top Box </vt:lpstr>
      <vt:lpstr>    SideShow-Compatible Remote Control </vt:lpstr>
      <vt:lpstr>The User and the Market for SideShow-Compatible Televisions and Set-Top Boxes</vt:lpstr>
      <vt:lpstr>Components for Televisions and Set-Top Boxes</vt:lpstr>
      <vt:lpstr>Resources</vt:lpstr>
    </vt:vector>
  </TitlesOfParts>
  <LinksUpToDate>false</LinksUpToDate>
  <CharactersWithSpaces>11834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2008-11-04T16:21:00Z</dcterms:created>
  <dcterms:modified xsi:type="dcterms:W3CDTF">2008-11-04T16:21:00Z</dcterms:modified>
  <cp:category/>
  <cp:contentType/>
</cp:coreProperties>
</file>