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22A5" w:rsidRDefault="00D02A78" w:rsidP="00D91F9E">
      <w:pPr>
        <w:pStyle w:val="Heading1"/>
      </w:pPr>
      <w:r>
        <w:t>A solution for Small and midsize organizations</w:t>
      </w:r>
    </w:p>
    <w:p w:rsidR="00D02A78" w:rsidRPr="008E36C9" w:rsidRDefault="00D02A78" w:rsidP="00D02A78">
      <w:pPr>
        <w:spacing w:after="240"/>
      </w:pPr>
      <w:r w:rsidRPr="0059431B">
        <w:rPr>
          <w:noProof/>
          <w:kern w:val="32"/>
        </w:rPr>
        <w:t>The Microsoft</w:t>
      </w:r>
      <w:r w:rsidRPr="000760E5">
        <w:rPr>
          <w:noProof/>
          <w:kern w:val="32"/>
          <w:sz w:val="16"/>
          <w:szCs w:val="16"/>
        </w:rPr>
        <w:t>®</w:t>
      </w:r>
      <w:r w:rsidRPr="0059431B">
        <w:rPr>
          <w:noProof/>
          <w:kern w:val="32"/>
        </w:rPr>
        <w:t xml:space="preserve"> Open Value program is for small to midsize </w:t>
      </w:r>
      <w:r>
        <w:rPr>
          <w:noProof/>
          <w:kern w:val="32"/>
        </w:rPr>
        <w:t xml:space="preserve">commercial and government </w:t>
      </w:r>
      <w:r w:rsidRPr="0059431B">
        <w:rPr>
          <w:noProof/>
          <w:kern w:val="32"/>
        </w:rPr>
        <w:t>organizations</w:t>
      </w:r>
      <w:r w:rsidRPr="0059431B">
        <w:rPr>
          <w:noProof/>
          <w:kern w:val="32"/>
          <w:vertAlign w:val="superscript"/>
        </w:rPr>
        <w:footnoteReference w:id="2"/>
      </w:r>
      <w:r w:rsidRPr="0059431B">
        <w:rPr>
          <w:noProof/>
          <w:kern w:val="32"/>
        </w:rPr>
        <w:t xml:space="preserve"> </w:t>
      </w:r>
      <w:r>
        <w:rPr>
          <w:noProof/>
          <w:kern w:val="32"/>
        </w:rPr>
        <w:t>that want to acquire licenses for</w:t>
      </w:r>
      <w:r w:rsidRPr="0059431B">
        <w:rPr>
          <w:noProof/>
          <w:kern w:val="32"/>
        </w:rPr>
        <w:t xml:space="preserve"> five or more desktop PCs </w:t>
      </w:r>
      <w:r>
        <w:rPr>
          <w:noProof/>
          <w:kern w:val="32"/>
        </w:rPr>
        <w:t>and</w:t>
      </w:r>
      <w:r w:rsidRPr="0059431B">
        <w:rPr>
          <w:noProof/>
          <w:kern w:val="32"/>
        </w:rPr>
        <w:t xml:space="preserve"> want simplified license management and better control of their licensed product costs and investment.</w:t>
      </w:r>
      <w:r w:rsidRPr="00EB1BFD">
        <w:t xml:space="preserve"> </w:t>
      </w:r>
      <w:r w:rsidRPr="008E36C9">
        <w:t xml:space="preserve">Open Value provides flexibility to acquire </w:t>
      </w:r>
      <w:r>
        <w:t xml:space="preserve">and add product </w:t>
      </w:r>
      <w:r w:rsidRPr="008E36C9">
        <w:t xml:space="preserve">licenses as needed. Additional cost savings are available when standardizing </w:t>
      </w:r>
      <w:r>
        <w:t>on Microsoft products across your organization</w:t>
      </w:r>
      <w:r w:rsidRPr="008E36C9">
        <w:t>.</w:t>
      </w:r>
    </w:p>
    <w:p w:rsidR="00D02A78" w:rsidRPr="0074282A" w:rsidRDefault="00D02A78" w:rsidP="00D02A78">
      <w:pPr>
        <w:autoSpaceDE w:val="0"/>
        <w:autoSpaceDN w:val="0"/>
        <w:adjustRightInd w:val="0"/>
        <w:rPr>
          <w:rFonts w:cs="Arial"/>
          <w:color w:val="C5CDB3"/>
          <w:szCs w:val="22"/>
        </w:rPr>
      </w:pPr>
      <w:r>
        <w:rPr>
          <w:noProof/>
          <w:kern w:val="32"/>
        </w:rPr>
        <w:t xml:space="preserve">Microsoft </w:t>
      </w:r>
      <w:r w:rsidRPr="0059431B">
        <w:rPr>
          <w:noProof/>
          <w:kern w:val="32"/>
        </w:rPr>
        <w:t xml:space="preserve">Software Assurance </w:t>
      </w:r>
      <w:r>
        <w:rPr>
          <w:noProof/>
          <w:kern w:val="32"/>
        </w:rPr>
        <w:t xml:space="preserve">for Volume Licensing </w:t>
      </w:r>
      <w:r w:rsidRPr="0059431B">
        <w:rPr>
          <w:noProof/>
          <w:kern w:val="32"/>
        </w:rPr>
        <w:t xml:space="preserve">is also included with Open Value so  you </w:t>
      </w:r>
      <w:r>
        <w:rPr>
          <w:noProof/>
          <w:kern w:val="32"/>
        </w:rPr>
        <w:t xml:space="preserve">have access to a </w:t>
      </w:r>
      <w:r w:rsidRPr="000A6B9E">
        <w:rPr>
          <w:noProof/>
          <w:kern w:val="32"/>
        </w:rPr>
        <w:t>broad range of value-added benefits to help you manage costs, get the most out of new technologies, and improve employee and organizational productivity.</w:t>
      </w:r>
    </w:p>
    <w:p w:rsidR="00D02A78" w:rsidRPr="0059431B" w:rsidRDefault="00D02A78" w:rsidP="00D02A78">
      <w:pPr>
        <w:pStyle w:val="Heading2"/>
        <w:rPr>
          <w:noProof/>
          <w:kern w:val="32"/>
        </w:rPr>
      </w:pPr>
      <w:r w:rsidRPr="0059431B">
        <w:rPr>
          <w:noProof/>
          <w:kern w:val="32"/>
        </w:rPr>
        <w:t>Better Management of Your Software Costs</w:t>
      </w:r>
    </w:p>
    <w:p w:rsidR="00D02A78" w:rsidRPr="0059431B" w:rsidRDefault="00D02A78" w:rsidP="00D02A78">
      <w:pPr>
        <w:rPr>
          <w:noProof/>
          <w:kern w:val="32"/>
        </w:rPr>
      </w:pPr>
      <w:r w:rsidRPr="0059431B">
        <w:rPr>
          <w:noProof/>
          <w:kern w:val="32"/>
        </w:rPr>
        <w:t>Open Value helps you to plan and manage your licensed product budget with even more certainty.</w:t>
      </w:r>
    </w:p>
    <w:p w:rsidR="00D02A78" w:rsidRPr="0059431B" w:rsidRDefault="00D02A78" w:rsidP="00D02A78">
      <w:pPr>
        <w:pStyle w:val="ListParagraph"/>
        <w:numPr>
          <w:ilvl w:val="0"/>
          <w:numId w:val="9"/>
        </w:numPr>
        <w:spacing w:after="120"/>
        <w:contextualSpacing w:val="0"/>
        <w:rPr>
          <w:noProof/>
          <w:kern w:val="32"/>
        </w:rPr>
      </w:pPr>
      <w:r>
        <w:rPr>
          <w:noProof/>
          <w:kern w:val="32"/>
        </w:rPr>
        <w:t>The Software Assurance Spread Payments benefit enables you to s</w:t>
      </w:r>
      <w:r w:rsidRPr="0059431B">
        <w:rPr>
          <w:noProof/>
          <w:kern w:val="32"/>
        </w:rPr>
        <w:t xml:space="preserve">pread payments </w:t>
      </w:r>
      <w:r>
        <w:rPr>
          <w:noProof/>
          <w:kern w:val="32"/>
        </w:rPr>
        <w:t xml:space="preserve">which </w:t>
      </w:r>
      <w:r w:rsidRPr="0059431B">
        <w:rPr>
          <w:noProof/>
          <w:kern w:val="32"/>
        </w:rPr>
        <w:t xml:space="preserve">reduces up-front costs and helps </w:t>
      </w:r>
      <w:r>
        <w:rPr>
          <w:noProof/>
          <w:kern w:val="32"/>
        </w:rPr>
        <w:t>forecast annual budget requirements with predictable annual payments</w:t>
      </w:r>
      <w:r w:rsidRPr="0059431B">
        <w:rPr>
          <w:noProof/>
          <w:kern w:val="32"/>
        </w:rPr>
        <w:t>.</w:t>
      </w:r>
    </w:p>
    <w:p w:rsidR="00D02A78" w:rsidRDefault="00D02A78" w:rsidP="00D02A78">
      <w:pPr>
        <w:pStyle w:val="ListParagraph"/>
        <w:numPr>
          <w:ilvl w:val="0"/>
          <w:numId w:val="9"/>
        </w:numPr>
        <w:spacing w:after="120"/>
        <w:contextualSpacing w:val="0"/>
        <w:rPr>
          <w:noProof/>
          <w:kern w:val="32"/>
        </w:rPr>
      </w:pPr>
      <w:r>
        <w:rPr>
          <w:noProof/>
          <w:kern w:val="32"/>
        </w:rPr>
        <w:t>Software Assurance also includes New Version Rights, which means you have rights to new software version releases to help you lower the costs associated with software acquisition while simplifying procurement and forecasting.</w:t>
      </w:r>
      <w:r w:rsidRPr="0059431B">
        <w:rPr>
          <w:noProof/>
          <w:kern w:val="32"/>
        </w:rPr>
        <w:t>The Company-wide option helps provide additional savings.</w:t>
      </w:r>
    </w:p>
    <w:p w:rsidR="00D02A78" w:rsidRPr="0059431B" w:rsidRDefault="00D02A78" w:rsidP="00D02A78">
      <w:pPr>
        <w:pStyle w:val="ListParagraph"/>
        <w:numPr>
          <w:ilvl w:val="0"/>
          <w:numId w:val="9"/>
        </w:numPr>
        <w:rPr>
          <w:noProof/>
          <w:kern w:val="32"/>
        </w:rPr>
      </w:pPr>
      <w:r w:rsidRPr="00B649A4">
        <w:rPr>
          <w:noProof/>
          <w:kern w:val="32"/>
        </w:rPr>
        <w:t>Open Value Subscription</w:t>
      </w:r>
      <w:r>
        <w:rPr>
          <w:noProof/>
          <w:kern w:val="32"/>
        </w:rPr>
        <w:t xml:space="preserve"> offers significant discounts when standardizing across the organization.</w:t>
      </w:r>
    </w:p>
    <w:p w:rsidR="00D02A78" w:rsidRPr="0059431B" w:rsidRDefault="00D02A78" w:rsidP="00D02A78">
      <w:pPr>
        <w:pStyle w:val="Heading2"/>
        <w:rPr>
          <w:noProof/>
          <w:kern w:val="32"/>
        </w:rPr>
      </w:pPr>
      <w:r w:rsidRPr="0059431B">
        <w:rPr>
          <w:noProof/>
          <w:kern w:val="32"/>
        </w:rPr>
        <w:t>Simplified License Management</w:t>
      </w:r>
    </w:p>
    <w:p w:rsidR="00D02A78" w:rsidRPr="0059431B" w:rsidRDefault="00D02A78" w:rsidP="00D02A78">
      <w:pPr>
        <w:rPr>
          <w:noProof/>
          <w:kern w:val="32"/>
        </w:rPr>
      </w:pPr>
      <w:r w:rsidRPr="0059431B">
        <w:rPr>
          <w:noProof/>
          <w:kern w:val="32"/>
        </w:rPr>
        <w:t>Open Value helps make it easier and less time-consuming to track your licenses. You can be confident that you are not over- or under-licensed.</w:t>
      </w:r>
    </w:p>
    <w:p w:rsidR="00D02A78" w:rsidRPr="0059431B" w:rsidRDefault="00D02A78" w:rsidP="00D02A78">
      <w:pPr>
        <w:pStyle w:val="ListParagraph"/>
        <w:numPr>
          <w:ilvl w:val="0"/>
          <w:numId w:val="10"/>
        </w:numPr>
        <w:spacing w:after="240"/>
        <w:contextualSpacing w:val="0"/>
        <w:rPr>
          <w:noProof/>
          <w:kern w:val="32"/>
        </w:rPr>
      </w:pPr>
      <w:r w:rsidRPr="0059431B">
        <w:rPr>
          <w:noProof/>
          <w:kern w:val="32"/>
        </w:rPr>
        <w:t>One agreement for all Microsoft licensed product in your organization, including qualified affiliates in other regions.</w:t>
      </w:r>
    </w:p>
    <w:p w:rsidR="00D02A78" w:rsidRPr="0059431B" w:rsidRDefault="00D02A78" w:rsidP="00D02A78">
      <w:pPr>
        <w:pStyle w:val="ListParagraph"/>
        <w:numPr>
          <w:ilvl w:val="0"/>
          <w:numId w:val="10"/>
        </w:numPr>
        <w:rPr>
          <w:noProof/>
          <w:kern w:val="32"/>
        </w:rPr>
      </w:pPr>
      <w:r w:rsidRPr="0059431B">
        <w:rPr>
          <w:noProof/>
          <w:kern w:val="32"/>
        </w:rPr>
        <w:t xml:space="preserve">Upgrade any time—no need to track versions or open new agreements. Microsoft Volume License Services (MVLS) helps make it easy for you to </w:t>
      </w:r>
      <w:r>
        <w:rPr>
          <w:noProof/>
          <w:kern w:val="32"/>
        </w:rPr>
        <w:t xml:space="preserve">download licensed products and </w:t>
      </w:r>
      <w:r w:rsidRPr="0059431B">
        <w:rPr>
          <w:noProof/>
          <w:kern w:val="32"/>
        </w:rPr>
        <w:t xml:space="preserve">quickly track and manage your licenses online. </w:t>
      </w:r>
    </w:p>
    <w:p w:rsidR="00D02A78" w:rsidRPr="0059431B" w:rsidRDefault="00822BC9" w:rsidP="00D02A78">
      <w:pPr>
        <w:pStyle w:val="Heading2"/>
        <w:rPr>
          <w:noProof/>
          <w:kern w:val="32"/>
        </w:rPr>
      </w:pPr>
      <w:r w:rsidRPr="005B3421">
        <w:br w:type="page"/>
      </w:r>
      <w:r w:rsidR="00D02A78" w:rsidRPr="0059431B">
        <w:rPr>
          <w:noProof/>
          <w:kern w:val="32"/>
        </w:rPr>
        <w:lastRenderedPageBreak/>
        <w:t>Ability to Take Control of Your Investment</w:t>
      </w:r>
    </w:p>
    <w:p w:rsidR="00D02A78" w:rsidRPr="0059431B" w:rsidRDefault="00D02A78" w:rsidP="00D02A78">
      <w:pPr>
        <w:rPr>
          <w:noProof/>
          <w:kern w:val="32"/>
        </w:rPr>
      </w:pPr>
      <w:r w:rsidRPr="0059431B">
        <w:rPr>
          <w:noProof/>
          <w:kern w:val="32"/>
        </w:rPr>
        <w:t>Immediate access to upgrades and new versions means you can keep your IT infrastructure current, helping to make it more secure and easier to support.</w:t>
      </w:r>
    </w:p>
    <w:p w:rsidR="00D02A78" w:rsidRPr="00EB1BFD" w:rsidRDefault="00D02A78" w:rsidP="00D02A78">
      <w:pPr>
        <w:pStyle w:val="ListParagraph"/>
        <w:numPr>
          <w:ilvl w:val="0"/>
          <w:numId w:val="13"/>
        </w:numPr>
        <w:spacing w:after="120"/>
        <w:contextualSpacing w:val="0"/>
        <w:rPr>
          <w:noProof/>
          <w:kern w:val="32"/>
        </w:rPr>
      </w:pPr>
      <w:r w:rsidRPr="00E605A7">
        <w:rPr>
          <w:noProof/>
          <w:kern w:val="32"/>
        </w:rPr>
        <w:t xml:space="preserve">The </w:t>
      </w:r>
      <w:r>
        <w:rPr>
          <w:noProof/>
          <w:kern w:val="32"/>
        </w:rPr>
        <w:t xml:space="preserve">single </w:t>
      </w:r>
      <w:r w:rsidRPr="00E605A7">
        <w:rPr>
          <w:noProof/>
          <w:kern w:val="32"/>
        </w:rPr>
        <w:t xml:space="preserve">platform </w:t>
      </w:r>
      <w:r>
        <w:rPr>
          <w:noProof/>
          <w:kern w:val="32"/>
        </w:rPr>
        <w:t>option offers the flexibility to</w:t>
      </w:r>
      <w:r w:rsidRPr="00E605A7">
        <w:rPr>
          <w:noProof/>
          <w:kern w:val="32"/>
        </w:rPr>
        <w:t xml:space="preserve"> choose components from the Windows </w:t>
      </w:r>
      <w:r w:rsidRPr="00EB1BFD">
        <w:rPr>
          <w:noProof/>
          <w:kern w:val="32"/>
        </w:rPr>
        <w:t>Desktop Operating System, Microsoft Office, and Client Access Licenses (CALs), to ensure you have the techno</w:t>
      </w:r>
      <w:r>
        <w:rPr>
          <w:noProof/>
          <w:kern w:val="32"/>
        </w:rPr>
        <w:t>logy you need to meet your business requirements.</w:t>
      </w:r>
    </w:p>
    <w:p w:rsidR="00D02A78" w:rsidRDefault="00D02A78" w:rsidP="00D02A78">
      <w:pPr>
        <w:pStyle w:val="ListParagraph"/>
        <w:numPr>
          <w:ilvl w:val="0"/>
          <w:numId w:val="11"/>
        </w:numPr>
        <w:spacing w:after="240"/>
        <w:contextualSpacing w:val="0"/>
        <w:rPr>
          <w:noProof/>
          <w:kern w:val="32"/>
        </w:rPr>
      </w:pPr>
      <w:r>
        <w:rPr>
          <w:noProof/>
          <w:kern w:val="32"/>
        </w:rPr>
        <w:t>With the Software Assurance New Version Rights benefit, rights to new versions of licensed products are available to deploy at your convenience.</w:t>
      </w:r>
    </w:p>
    <w:p w:rsidR="00D02A78" w:rsidRPr="00EB1BFD" w:rsidRDefault="00D02A78" w:rsidP="00D02A78">
      <w:pPr>
        <w:pStyle w:val="ListParagraph"/>
        <w:numPr>
          <w:ilvl w:val="0"/>
          <w:numId w:val="11"/>
        </w:numPr>
        <w:spacing w:after="240"/>
        <w:contextualSpacing w:val="0"/>
        <w:rPr>
          <w:noProof/>
          <w:kern w:val="32"/>
        </w:rPr>
      </w:pPr>
      <w:r>
        <w:rPr>
          <w:noProof/>
          <w:kern w:val="32"/>
        </w:rPr>
        <w:t>Plus, Software Assurance offers benefits such as Packaged Services, Training Vouchers and 24x7 Problem Resolution Support so you can take advantage of consulting services, training and support to help with the deployment of new software.</w:t>
      </w:r>
    </w:p>
    <w:p w:rsidR="00D02A78" w:rsidRPr="00077856" w:rsidRDefault="00D02A78" w:rsidP="00D02A78">
      <w:pPr>
        <w:pStyle w:val="ListParagraph"/>
        <w:numPr>
          <w:ilvl w:val="0"/>
          <w:numId w:val="11"/>
        </w:numPr>
        <w:rPr>
          <w:noProof/>
          <w:kern w:val="32"/>
        </w:rPr>
      </w:pPr>
      <w:r>
        <w:rPr>
          <w:noProof/>
          <w:kern w:val="32"/>
        </w:rPr>
        <w:t>Upgrade licensed product ac</w:t>
      </w:r>
      <w:r w:rsidRPr="00077856">
        <w:rPr>
          <w:noProof/>
          <w:kern w:val="32"/>
        </w:rPr>
        <w:t xml:space="preserve">ross your organization while staying within budget. </w:t>
      </w:r>
    </w:p>
    <w:p w:rsidR="00D02A78" w:rsidRPr="0059431B" w:rsidRDefault="00D02A78" w:rsidP="00D02A78">
      <w:pPr>
        <w:spacing w:before="240"/>
        <w:rPr>
          <w:rFonts w:cs="Arial"/>
          <w:b/>
          <w:bCs/>
          <w:noProof/>
          <w:color w:val="4596D2"/>
          <w:kern w:val="32"/>
          <w:sz w:val="32"/>
          <w:szCs w:val="32"/>
        </w:rPr>
      </w:pPr>
      <w:r w:rsidRPr="0059431B">
        <w:rPr>
          <w:rFonts w:cs="Arial"/>
          <w:b/>
          <w:bCs/>
          <w:noProof/>
          <w:color w:val="4596D2"/>
          <w:kern w:val="32"/>
          <w:sz w:val="32"/>
          <w:szCs w:val="32"/>
        </w:rPr>
        <w:t>Open Value Licensing Options At-A-Glance</w:t>
      </w:r>
    </w:p>
    <w:p w:rsidR="00D02A78" w:rsidRPr="0059431B" w:rsidRDefault="00D02A78" w:rsidP="00D02A78">
      <w:pPr>
        <w:rPr>
          <w:noProof/>
          <w:kern w:val="32"/>
        </w:rPr>
      </w:pPr>
      <w:r w:rsidRPr="0059431B">
        <w:rPr>
          <w:noProof/>
          <w:kern w:val="32"/>
        </w:rPr>
        <w:t xml:space="preserve">The Open Value program offers three options to choose from: Company-wide, Non-Company-wide, and Subscription. </w:t>
      </w:r>
    </w:p>
    <w:p w:rsidR="00D02A78" w:rsidRPr="0059431B" w:rsidRDefault="00D02A78" w:rsidP="00D02A78">
      <w:pPr>
        <w:pStyle w:val="Heading2"/>
        <w:rPr>
          <w:noProof/>
          <w:kern w:val="32"/>
        </w:rPr>
      </w:pPr>
      <w:r w:rsidRPr="0059431B">
        <w:rPr>
          <w:noProof/>
          <w:kern w:val="32"/>
        </w:rPr>
        <w:t>Company-Wide Option</w:t>
      </w:r>
    </w:p>
    <w:p w:rsidR="00D02A78" w:rsidRPr="0059431B" w:rsidRDefault="00D02A78" w:rsidP="00D02A78">
      <w:pPr>
        <w:rPr>
          <w:noProof/>
          <w:kern w:val="32"/>
        </w:rPr>
      </w:pPr>
      <w:r w:rsidRPr="0059431B">
        <w:rPr>
          <w:noProof/>
          <w:kern w:val="32"/>
        </w:rPr>
        <w:t>Open Value Company-wide option offers predictable annual payments, low long-term costs, and a simple way to manage licenses. Features include:</w:t>
      </w:r>
    </w:p>
    <w:p w:rsidR="00D02A78" w:rsidRPr="00077856" w:rsidRDefault="00D02A78" w:rsidP="00D02A78">
      <w:pPr>
        <w:pStyle w:val="ListParagraph"/>
        <w:numPr>
          <w:ilvl w:val="0"/>
          <w:numId w:val="12"/>
        </w:numPr>
        <w:spacing w:after="120"/>
        <w:contextualSpacing w:val="0"/>
        <w:rPr>
          <w:noProof/>
          <w:kern w:val="32"/>
        </w:rPr>
      </w:pPr>
      <w:r w:rsidRPr="00077856">
        <w:rPr>
          <w:noProof/>
          <w:kern w:val="32"/>
        </w:rPr>
        <w:t>Additional savings on company-wide licenses.</w:t>
      </w:r>
    </w:p>
    <w:p w:rsidR="00D02A78" w:rsidRPr="00077856" w:rsidRDefault="00D02A78" w:rsidP="00D02A78">
      <w:pPr>
        <w:pStyle w:val="ListParagraph"/>
        <w:numPr>
          <w:ilvl w:val="0"/>
          <w:numId w:val="12"/>
        </w:numPr>
        <w:spacing w:after="120"/>
        <w:contextualSpacing w:val="0"/>
        <w:rPr>
          <w:noProof/>
          <w:kern w:val="32"/>
        </w:rPr>
      </w:pPr>
      <w:r w:rsidRPr="00077856">
        <w:rPr>
          <w:noProof/>
          <w:kern w:val="32"/>
        </w:rPr>
        <w:t xml:space="preserve">Desktop PC count at the beginning of your agreement determines your annual cost. </w:t>
      </w:r>
    </w:p>
    <w:p w:rsidR="00D02A78" w:rsidRPr="00077856" w:rsidRDefault="00D02A78" w:rsidP="00D02A78">
      <w:pPr>
        <w:pStyle w:val="ListParagraph"/>
        <w:numPr>
          <w:ilvl w:val="0"/>
          <w:numId w:val="12"/>
        </w:numPr>
        <w:spacing w:after="120"/>
        <w:contextualSpacing w:val="0"/>
        <w:rPr>
          <w:noProof/>
          <w:kern w:val="32"/>
        </w:rPr>
      </w:pPr>
      <w:r w:rsidRPr="00077856">
        <w:rPr>
          <w:noProof/>
          <w:kern w:val="32"/>
        </w:rPr>
        <w:t>Add software products at any time and pay for it in the month of installation. Spread out the costs over the remaining years of your agreement.</w:t>
      </w:r>
    </w:p>
    <w:p w:rsidR="00D02A78" w:rsidRPr="00077856" w:rsidRDefault="00D02A78" w:rsidP="00D02A78">
      <w:pPr>
        <w:pStyle w:val="ListParagraph"/>
        <w:numPr>
          <w:ilvl w:val="0"/>
          <w:numId w:val="12"/>
        </w:numPr>
        <w:spacing w:after="120"/>
        <w:contextualSpacing w:val="0"/>
        <w:rPr>
          <w:noProof/>
          <w:kern w:val="32"/>
        </w:rPr>
      </w:pPr>
      <w:r w:rsidRPr="00077856">
        <w:rPr>
          <w:noProof/>
          <w:kern w:val="32"/>
        </w:rPr>
        <w:t>Original equipment manufacturer (OEM) licenses can be transitioned onto your Open Value agreement by purchasing Software Assurance.</w:t>
      </w:r>
    </w:p>
    <w:p w:rsidR="00D02A78" w:rsidRDefault="00D02A78" w:rsidP="000760E5">
      <w:pPr>
        <w:rPr>
          <w:noProof/>
          <w:kern w:val="32"/>
        </w:rPr>
      </w:pPr>
    </w:p>
    <w:p w:rsidR="000760E5" w:rsidRPr="000760E5" w:rsidRDefault="000760E5" w:rsidP="000760E5">
      <w:pPr>
        <w:rPr>
          <w:noProof/>
          <w:kern w:val="32"/>
        </w:rPr>
        <w:sectPr w:rsidR="000760E5" w:rsidRPr="000760E5" w:rsidSect="00786036">
          <w:headerReference w:type="even" r:id="rId7"/>
          <w:headerReference w:type="default" r:id="rId8"/>
          <w:footerReference w:type="even" r:id="rId9"/>
          <w:footerReference w:type="default" r:id="rId10"/>
          <w:headerReference w:type="first" r:id="rId11"/>
          <w:footerReference w:type="first" r:id="rId12"/>
          <w:type w:val="continuous"/>
          <w:pgSz w:w="12240" w:h="15840"/>
          <w:pgMar w:top="2796" w:right="1620" w:bottom="1350" w:left="1440" w:header="720" w:footer="720" w:gutter="0"/>
          <w:cols w:space="720"/>
          <w:docGrid w:linePitch="360"/>
        </w:sectPr>
      </w:pPr>
    </w:p>
    <w:p w:rsidR="00D02A78" w:rsidRPr="0059431B" w:rsidRDefault="00D02A78" w:rsidP="00D02A78">
      <w:pPr>
        <w:rPr>
          <w:noProof/>
          <w:kern w:val="32"/>
        </w:rPr>
      </w:pPr>
    </w:p>
    <w:p w:rsidR="000760E5" w:rsidRDefault="000760E5" w:rsidP="00D02A78">
      <w:pPr>
        <w:rPr>
          <w:noProof/>
          <w:kern w:val="32"/>
        </w:rPr>
      </w:pPr>
    </w:p>
    <w:p w:rsidR="000760E5" w:rsidRDefault="000760E5" w:rsidP="00D02A78">
      <w:pPr>
        <w:rPr>
          <w:noProof/>
          <w:kern w:val="32"/>
        </w:rPr>
      </w:pPr>
    </w:p>
    <w:p w:rsidR="00D02A78" w:rsidRPr="0059431B" w:rsidRDefault="00D02A78" w:rsidP="00D02A78">
      <w:pPr>
        <w:rPr>
          <w:noProof/>
          <w:kern w:val="32"/>
        </w:rPr>
      </w:pPr>
      <w:r w:rsidRPr="0059431B">
        <w:rPr>
          <w:noProof/>
          <w:kern w:val="32"/>
        </w:rPr>
        <w:lastRenderedPageBreak/>
        <w:drawing>
          <wp:inline distT="0" distB="0" distL="0" distR="0">
            <wp:extent cx="2819400" cy="1666875"/>
            <wp:effectExtent l="19050" t="0" r="0" b="0"/>
            <wp:docPr id="11" name="Picture 1" descr="chart_FACTSHEET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art_FACTSHEET_2"/>
                    <pic:cNvPicPr>
                      <a:picLocks noChangeAspect="1" noChangeArrowheads="1"/>
                    </pic:cNvPicPr>
                  </pic:nvPicPr>
                  <pic:blipFill>
                    <a:blip r:embed="rId13"/>
                    <a:srcRect/>
                    <a:stretch>
                      <a:fillRect/>
                    </a:stretch>
                  </pic:blipFill>
                  <pic:spPr bwMode="auto">
                    <a:xfrm>
                      <a:off x="0" y="0"/>
                      <a:ext cx="2819400" cy="1666875"/>
                    </a:xfrm>
                    <a:prstGeom prst="rect">
                      <a:avLst/>
                    </a:prstGeom>
                    <a:noFill/>
                    <a:ln w="9525">
                      <a:noFill/>
                      <a:miter lim="800000"/>
                      <a:headEnd/>
                      <a:tailEnd/>
                    </a:ln>
                  </pic:spPr>
                </pic:pic>
              </a:graphicData>
            </a:graphic>
          </wp:inline>
        </w:drawing>
      </w:r>
    </w:p>
    <w:p w:rsidR="00D02A78" w:rsidRPr="0059431B" w:rsidRDefault="00D02A78" w:rsidP="00D02A78">
      <w:pPr>
        <w:rPr>
          <w:noProof/>
          <w:kern w:val="32"/>
        </w:rPr>
      </w:pPr>
      <w:r w:rsidRPr="0059431B">
        <w:rPr>
          <w:noProof/>
          <w:kern w:val="32"/>
        </w:rPr>
        <w:br w:type="column"/>
      </w:r>
    </w:p>
    <w:p w:rsidR="00D02A78" w:rsidRPr="0059431B" w:rsidRDefault="00D02A78" w:rsidP="00D02A78">
      <w:pPr>
        <w:rPr>
          <w:noProof/>
          <w:kern w:val="32"/>
        </w:rPr>
      </w:pPr>
      <w:r w:rsidRPr="0059431B">
        <w:rPr>
          <w:noProof/>
          <w:kern w:val="32"/>
        </w:rPr>
        <w:t>At the end of the three-year agreement, you have two options: 1) Renew for another three years, paying only for Software Assurance, with continued rights to the latest licensed product versions and other benefits. 2) End your agreement and own the licenses for the most current product versions.</w:t>
      </w:r>
    </w:p>
    <w:p w:rsidR="00D02A78" w:rsidRPr="0059431B" w:rsidRDefault="00D02A78" w:rsidP="00D02A78">
      <w:pPr>
        <w:rPr>
          <w:rFonts w:cs="Arial"/>
          <w:b/>
          <w:bCs/>
          <w:iCs/>
          <w:noProof/>
          <w:color w:val="4596D2"/>
          <w:kern w:val="32"/>
          <w:sz w:val="32"/>
          <w:szCs w:val="32"/>
        </w:rPr>
        <w:sectPr w:rsidR="00D02A78" w:rsidRPr="0059431B" w:rsidSect="00F45589">
          <w:type w:val="continuous"/>
          <w:pgSz w:w="12240" w:h="15840"/>
          <w:pgMar w:top="1656" w:right="1800" w:bottom="1440" w:left="1440" w:header="720" w:footer="720" w:gutter="0"/>
          <w:cols w:num="2" w:space="720" w:equalWidth="0">
            <w:col w:w="4140" w:space="720"/>
            <w:col w:w="4140"/>
          </w:cols>
          <w:docGrid w:linePitch="360"/>
        </w:sectPr>
      </w:pPr>
    </w:p>
    <w:p w:rsidR="00D02A78" w:rsidRPr="0059431B" w:rsidRDefault="00D02A78" w:rsidP="00D02A78">
      <w:pPr>
        <w:pStyle w:val="Heading2"/>
        <w:rPr>
          <w:noProof/>
          <w:kern w:val="32"/>
        </w:rPr>
      </w:pPr>
      <w:r w:rsidRPr="0059431B">
        <w:rPr>
          <w:noProof/>
          <w:kern w:val="32"/>
        </w:rPr>
        <w:lastRenderedPageBreak/>
        <w:t xml:space="preserve">Non-Company-Wide Option </w:t>
      </w:r>
    </w:p>
    <w:p w:rsidR="00D02A78" w:rsidRPr="0059431B" w:rsidRDefault="00D02A78" w:rsidP="00D02A78">
      <w:pPr>
        <w:rPr>
          <w:noProof/>
          <w:kern w:val="32"/>
        </w:rPr>
      </w:pPr>
      <w:r w:rsidRPr="0059431B">
        <w:rPr>
          <w:noProof/>
          <w:kern w:val="32"/>
        </w:rPr>
        <w:t>Open Value Non</w:t>
      </w:r>
      <w:r>
        <w:rPr>
          <w:rFonts w:cs="Arial"/>
          <w:noProof/>
          <w:kern w:val="32"/>
        </w:rPr>
        <w:t>–</w:t>
      </w:r>
      <w:r w:rsidRPr="0059431B">
        <w:rPr>
          <w:noProof/>
          <w:kern w:val="32"/>
        </w:rPr>
        <w:t>Company-wide option is available for any licensed product purchases. If you need licenses for servers, or for just some of your desktop PCs, you can open a Non-</w:t>
      </w:r>
      <w:r w:rsidRPr="00D02A78">
        <w:rPr>
          <w:noProof/>
          <w:kern w:val="32"/>
        </w:rPr>
        <w:t xml:space="preserve"> </w:t>
      </w:r>
      <w:r w:rsidRPr="0059431B">
        <w:rPr>
          <w:noProof/>
          <w:kern w:val="32"/>
        </w:rPr>
        <w:t>Company-wide agreement. You cannot track all of your licenses under one agreement; however, you can open a Company-wide or Subscription agreement, and then add Non</w:t>
      </w:r>
      <w:r>
        <w:rPr>
          <w:rFonts w:cs="Arial"/>
          <w:noProof/>
          <w:kern w:val="32"/>
        </w:rPr>
        <w:t>–</w:t>
      </w:r>
      <w:r w:rsidRPr="0059431B">
        <w:rPr>
          <w:noProof/>
          <w:kern w:val="32"/>
        </w:rPr>
        <w:t xml:space="preserve">Company-wide licenses to that agreement. </w:t>
      </w:r>
    </w:p>
    <w:p w:rsidR="00D02A78" w:rsidRPr="0059431B" w:rsidRDefault="00D02A78" w:rsidP="00D02A78">
      <w:pPr>
        <w:pStyle w:val="Heading2"/>
        <w:rPr>
          <w:noProof/>
          <w:kern w:val="32"/>
        </w:rPr>
      </w:pPr>
      <w:r w:rsidRPr="0059431B">
        <w:rPr>
          <w:noProof/>
          <w:kern w:val="32"/>
        </w:rPr>
        <w:t>Subscription Option</w:t>
      </w:r>
    </w:p>
    <w:p w:rsidR="00D02A78" w:rsidRPr="0059431B" w:rsidRDefault="00D02A78" w:rsidP="00D02A78">
      <w:pPr>
        <w:rPr>
          <w:noProof/>
          <w:kern w:val="32"/>
        </w:rPr>
      </w:pPr>
      <w:r w:rsidRPr="0059431B">
        <w:rPr>
          <w:noProof/>
          <w:kern w:val="32"/>
        </w:rPr>
        <w:t>Open Value Subscription can help provide the lowest up-front costs</w:t>
      </w:r>
      <w:r>
        <w:rPr>
          <w:noProof/>
          <w:kern w:val="32"/>
        </w:rPr>
        <w:t xml:space="preserve"> of the Open Value options</w:t>
      </w:r>
      <w:r w:rsidRPr="0059431B">
        <w:rPr>
          <w:noProof/>
          <w:kern w:val="32"/>
        </w:rPr>
        <w:t>, annual payments, and the ability to track all licenses on a single agreement. Features include:</w:t>
      </w:r>
    </w:p>
    <w:p w:rsidR="00D02A78" w:rsidRPr="00A02F76" w:rsidRDefault="00D02A78" w:rsidP="00D02A78">
      <w:pPr>
        <w:pStyle w:val="ListParagraph"/>
        <w:numPr>
          <w:ilvl w:val="0"/>
          <w:numId w:val="14"/>
        </w:numPr>
        <w:spacing w:after="120"/>
        <w:contextualSpacing w:val="0"/>
        <w:rPr>
          <w:color w:val="1F497D"/>
        </w:rPr>
      </w:pPr>
      <w:r>
        <w:t>Customers with existing OEM, FPP (Retail), or Volume Licenses can receive a discount of up to 50</w:t>
      </w:r>
      <w:r w:rsidR="009C4E6D">
        <w:t xml:space="preserve"> percent</w:t>
      </w:r>
      <w:r w:rsidRPr="00FB6F6B">
        <w:rPr>
          <w:vertAlign w:val="superscript"/>
        </w:rPr>
        <w:t>2</w:t>
      </w:r>
      <w:r>
        <w:t xml:space="preserve"> off their year one payment when signing an Open Value Subscription Agreement with the Up-to-Date discount.</w:t>
      </w:r>
    </w:p>
    <w:p w:rsidR="00D02A78" w:rsidRPr="00077856" w:rsidRDefault="00D02A78" w:rsidP="00D02A78">
      <w:pPr>
        <w:pStyle w:val="ListParagraph"/>
        <w:numPr>
          <w:ilvl w:val="0"/>
          <w:numId w:val="14"/>
        </w:numPr>
        <w:spacing w:after="120"/>
        <w:contextualSpacing w:val="0"/>
        <w:rPr>
          <w:noProof/>
          <w:kern w:val="32"/>
        </w:rPr>
      </w:pPr>
      <w:r w:rsidRPr="00077856">
        <w:rPr>
          <w:noProof/>
          <w:kern w:val="32"/>
        </w:rPr>
        <w:t>Your total licensing costs can decline in years when your desktop PC count declines.</w:t>
      </w:r>
    </w:p>
    <w:p w:rsidR="00D02A78" w:rsidRPr="00077856" w:rsidRDefault="00D02A78" w:rsidP="00D02A78">
      <w:pPr>
        <w:pStyle w:val="ListParagraph"/>
        <w:numPr>
          <w:ilvl w:val="0"/>
          <w:numId w:val="14"/>
        </w:numPr>
        <w:spacing w:after="120"/>
        <w:contextualSpacing w:val="0"/>
        <w:rPr>
          <w:noProof/>
          <w:kern w:val="32"/>
        </w:rPr>
      </w:pPr>
      <w:r w:rsidRPr="00077856">
        <w:rPr>
          <w:noProof/>
          <w:kern w:val="32"/>
        </w:rPr>
        <w:t>Add the company-wide licensed products you have selected on new desktop PCs during the year with no additional cost that year.</w:t>
      </w:r>
    </w:p>
    <w:p w:rsidR="00D02A78" w:rsidRPr="00077856" w:rsidRDefault="00D02A78" w:rsidP="00D02A78">
      <w:pPr>
        <w:pStyle w:val="ListParagraph"/>
        <w:numPr>
          <w:ilvl w:val="0"/>
          <w:numId w:val="14"/>
        </w:numPr>
        <w:spacing w:after="120"/>
        <w:contextualSpacing w:val="0"/>
        <w:rPr>
          <w:noProof/>
          <w:kern w:val="32"/>
        </w:rPr>
      </w:pPr>
      <w:r w:rsidRPr="00077856">
        <w:rPr>
          <w:noProof/>
          <w:kern w:val="32"/>
        </w:rPr>
        <w:t>Annual payment made based on your desktop PC count for that year.</w:t>
      </w:r>
    </w:p>
    <w:p w:rsidR="000760E5" w:rsidRPr="000760E5" w:rsidRDefault="000760E5" w:rsidP="000760E5">
      <w:pPr>
        <w:spacing w:before="240" w:after="240"/>
        <w:rPr>
          <w:rFonts w:cs="Arial"/>
          <w:bCs/>
          <w:noProof/>
          <w:kern w:val="32"/>
          <w:sz w:val="16"/>
          <w:szCs w:val="20"/>
        </w:rPr>
      </w:pPr>
      <w:r w:rsidRPr="000760E5">
        <w:rPr>
          <w:rFonts w:cs="Arial"/>
          <w:bCs/>
          <w:noProof/>
          <w:kern w:val="32"/>
          <w:sz w:val="16"/>
          <w:szCs w:val="20"/>
          <w:vertAlign w:val="superscript"/>
        </w:rPr>
        <w:t xml:space="preserve">2 </w:t>
      </w:r>
      <w:r w:rsidRPr="000760E5">
        <w:rPr>
          <w:rFonts w:cs="Arial"/>
          <w:bCs/>
          <w:noProof/>
          <w:kern w:val="32"/>
          <w:sz w:val="16"/>
          <w:szCs w:val="20"/>
        </w:rPr>
        <w:t>Resellers set customer prices, which may vary. Must have the current product version or one version back to qualify.</w:t>
      </w:r>
    </w:p>
    <w:p w:rsidR="00D02A78" w:rsidRPr="0059431B" w:rsidRDefault="00D02A78" w:rsidP="00D02A78">
      <w:pPr>
        <w:rPr>
          <w:noProof/>
          <w:kern w:val="32"/>
        </w:rPr>
        <w:sectPr w:rsidR="00D02A78" w:rsidRPr="0059431B" w:rsidSect="000760E5">
          <w:type w:val="continuous"/>
          <w:pgSz w:w="12240" w:h="15840"/>
          <w:pgMar w:top="1656" w:right="1800" w:bottom="1260" w:left="1440" w:header="720" w:footer="720" w:gutter="0"/>
          <w:cols w:space="720"/>
          <w:docGrid w:linePitch="360"/>
        </w:sectPr>
      </w:pPr>
    </w:p>
    <w:p w:rsidR="00D02A78" w:rsidRPr="0059431B" w:rsidRDefault="00D02A78" w:rsidP="00D02A78">
      <w:pPr>
        <w:rPr>
          <w:noProof/>
          <w:kern w:val="32"/>
        </w:rPr>
      </w:pPr>
      <w:r w:rsidRPr="0059431B">
        <w:rPr>
          <w:noProof/>
          <w:kern w:val="32"/>
        </w:rPr>
        <w:lastRenderedPageBreak/>
        <w:drawing>
          <wp:inline distT="0" distB="0" distL="0" distR="0">
            <wp:extent cx="2819400" cy="1666875"/>
            <wp:effectExtent l="19050" t="0" r="0" b="0"/>
            <wp:docPr id="19" name="Picture 2" descr="chart_FACTSHEET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hart_FACTSHEET_1"/>
                    <pic:cNvPicPr>
                      <a:picLocks noChangeAspect="1" noChangeArrowheads="1"/>
                    </pic:cNvPicPr>
                  </pic:nvPicPr>
                  <pic:blipFill>
                    <a:blip r:embed="rId14"/>
                    <a:srcRect/>
                    <a:stretch>
                      <a:fillRect/>
                    </a:stretch>
                  </pic:blipFill>
                  <pic:spPr bwMode="auto">
                    <a:xfrm>
                      <a:off x="0" y="0"/>
                      <a:ext cx="2819400" cy="1666875"/>
                    </a:xfrm>
                    <a:prstGeom prst="rect">
                      <a:avLst/>
                    </a:prstGeom>
                    <a:noFill/>
                    <a:ln w="9525">
                      <a:noFill/>
                      <a:miter lim="800000"/>
                      <a:headEnd/>
                      <a:tailEnd/>
                    </a:ln>
                  </pic:spPr>
                </pic:pic>
              </a:graphicData>
            </a:graphic>
          </wp:inline>
        </w:drawing>
      </w:r>
    </w:p>
    <w:p w:rsidR="00D02A78" w:rsidRPr="0059431B" w:rsidRDefault="00D02A78" w:rsidP="00D02A78">
      <w:pPr>
        <w:rPr>
          <w:noProof/>
          <w:kern w:val="32"/>
        </w:rPr>
      </w:pPr>
    </w:p>
    <w:p w:rsidR="00D02A78" w:rsidRPr="0059431B" w:rsidRDefault="00D02A78" w:rsidP="00D02A78">
      <w:pPr>
        <w:rPr>
          <w:noProof/>
          <w:kern w:val="32"/>
        </w:rPr>
      </w:pPr>
    </w:p>
    <w:p w:rsidR="000760E5" w:rsidRDefault="00D02A78" w:rsidP="00D02A78">
      <w:pPr>
        <w:rPr>
          <w:noProof/>
          <w:kern w:val="32"/>
        </w:rPr>
      </w:pPr>
      <w:r w:rsidRPr="0059431B">
        <w:rPr>
          <w:noProof/>
          <w:kern w:val="32"/>
        </w:rPr>
        <w:t>At the end of your three-year agreem</w:t>
      </w:r>
      <w:r w:rsidR="000760E5">
        <w:rPr>
          <w:noProof/>
          <w:kern w:val="32"/>
        </w:rPr>
        <w:t>e</w:t>
      </w:r>
      <w:r w:rsidRPr="0059431B">
        <w:rPr>
          <w:noProof/>
          <w:kern w:val="32"/>
        </w:rPr>
        <w:t xml:space="preserve">nt, you can renew for another three years or make a final buyout payment and own the licenses for the latest product version. </w:t>
      </w:r>
    </w:p>
    <w:p w:rsidR="000760E5" w:rsidRPr="0059431B" w:rsidRDefault="000760E5" w:rsidP="00D02A78">
      <w:pPr>
        <w:rPr>
          <w:noProof/>
          <w:kern w:val="32"/>
        </w:rPr>
        <w:sectPr w:rsidR="000760E5" w:rsidRPr="0059431B" w:rsidSect="000760E5">
          <w:type w:val="continuous"/>
          <w:pgSz w:w="12240" w:h="15840"/>
          <w:pgMar w:top="1656" w:right="1800" w:bottom="1260" w:left="1440" w:header="720" w:footer="720" w:gutter="0"/>
          <w:cols w:num="2" w:space="720" w:equalWidth="0">
            <w:col w:w="4140" w:space="720"/>
            <w:col w:w="4140"/>
          </w:cols>
          <w:docGrid w:linePitch="360"/>
        </w:sectPr>
      </w:pPr>
    </w:p>
    <w:p w:rsidR="00D02A78" w:rsidRPr="0059431B" w:rsidRDefault="00D02A78" w:rsidP="00D02A78">
      <w:pPr>
        <w:pStyle w:val="Heading2"/>
        <w:spacing w:after="120"/>
        <w:rPr>
          <w:noProof/>
          <w:kern w:val="32"/>
        </w:rPr>
      </w:pPr>
      <w:r w:rsidRPr="0059431B">
        <w:rPr>
          <w:noProof/>
          <w:kern w:val="32"/>
        </w:rPr>
        <w:lastRenderedPageBreak/>
        <w:t xml:space="preserve">Standardize your desktop PCs and save money by adding </w:t>
      </w:r>
      <w:r>
        <w:rPr>
          <w:noProof/>
          <w:kern w:val="32"/>
        </w:rPr>
        <w:t xml:space="preserve">the </w:t>
      </w:r>
      <w:r w:rsidRPr="0059431B">
        <w:rPr>
          <w:noProof/>
          <w:kern w:val="32"/>
        </w:rPr>
        <w:t>platform option</w:t>
      </w:r>
    </w:p>
    <w:p w:rsidR="00D02A78" w:rsidRDefault="00D02A78" w:rsidP="00D02A78">
      <w:r w:rsidRPr="0059431B">
        <w:rPr>
          <w:noProof/>
          <w:kern w:val="32"/>
        </w:rPr>
        <w:t>With both Open Value Subscription and Open Value Company-wide options, choose to standardize desktop PC licensed product</w:t>
      </w:r>
      <w:r>
        <w:rPr>
          <w:noProof/>
          <w:kern w:val="32"/>
        </w:rPr>
        <w:t>s</w:t>
      </w:r>
      <w:r w:rsidRPr="0059431B">
        <w:rPr>
          <w:noProof/>
          <w:kern w:val="32"/>
        </w:rPr>
        <w:t xml:space="preserve"> </w:t>
      </w:r>
      <w:r>
        <w:rPr>
          <w:noProof/>
          <w:kern w:val="32"/>
        </w:rPr>
        <w:t xml:space="preserve">across your organization on all three components on the platform </w:t>
      </w:r>
      <w:r w:rsidRPr="0059431B">
        <w:rPr>
          <w:noProof/>
          <w:kern w:val="32"/>
        </w:rPr>
        <w:t xml:space="preserve">and receive additional savings. </w:t>
      </w:r>
      <w:bookmarkStart w:id="0" w:name="_Toc139969151"/>
      <w:bookmarkStart w:id="1" w:name="_Toc140033825"/>
      <w:bookmarkStart w:id="2" w:name="_Toc140036159"/>
      <w:bookmarkStart w:id="3" w:name="_Toc178751060"/>
      <w:bookmarkStart w:id="4" w:name="_Toc181427398"/>
      <w:r>
        <w:rPr>
          <w:lang w:eastAsia="ja-JP"/>
        </w:rPr>
        <w:t>The</w:t>
      </w:r>
      <w:bookmarkEnd w:id="0"/>
      <w:bookmarkEnd w:id="1"/>
      <w:bookmarkEnd w:id="2"/>
      <w:bookmarkEnd w:id="3"/>
      <w:bookmarkEnd w:id="4"/>
      <w:r>
        <w:rPr>
          <w:lang w:eastAsia="ja-JP"/>
        </w:rPr>
        <w:t xml:space="preserve"> single platform model allows you to choose components from the Windows Desktop Operating System, Microsoft Office, and Client Access Licenses </w:t>
      </w:r>
      <w:r>
        <w:t xml:space="preserve">(CALs). </w:t>
      </w:r>
    </w:p>
    <w:p w:rsidR="00D02A78" w:rsidRPr="0059431B" w:rsidRDefault="00D02A78" w:rsidP="00D02A78">
      <w:pPr>
        <w:rPr>
          <w:noProof/>
          <w:kern w:val="32"/>
        </w:rPr>
      </w:pPr>
      <w:r w:rsidRPr="00E13BA7">
        <w:rPr>
          <w:bCs/>
          <w:noProof/>
          <w:kern w:val="32"/>
        </w:rPr>
        <w:t xml:space="preserve">The custom platform option allows customers with the </w:t>
      </w:r>
      <w:r>
        <w:rPr>
          <w:bCs/>
          <w:noProof/>
          <w:kern w:val="32"/>
        </w:rPr>
        <w:t>C</w:t>
      </w:r>
      <w:r w:rsidRPr="00E13BA7">
        <w:rPr>
          <w:bCs/>
          <w:noProof/>
          <w:kern w:val="32"/>
        </w:rPr>
        <w:t>ompany</w:t>
      </w:r>
      <w:r>
        <w:rPr>
          <w:bCs/>
          <w:noProof/>
          <w:kern w:val="32"/>
        </w:rPr>
        <w:t>-</w:t>
      </w:r>
      <w:r w:rsidRPr="00E13BA7">
        <w:rPr>
          <w:bCs/>
          <w:noProof/>
          <w:kern w:val="32"/>
        </w:rPr>
        <w:t>wide option to continue Software Assurance coverage on multiple product versions rather than only on the latest version.</w:t>
      </w:r>
      <w:r w:rsidRPr="00E13BA7">
        <w:rPr>
          <w:rFonts w:cs="Arial"/>
          <w:bCs/>
          <w:color w:val="000000"/>
          <w:sz w:val="18"/>
          <w:szCs w:val="18"/>
        </w:rPr>
        <w:t xml:space="preserve"> </w:t>
      </w:r>
      <w:r w:rsidRPr="00E13BA7">
        <w:rPr>
          <w:bCs/>
          <w:noProof/>
          <w:kern w:val="32"/>
        </w:rPr>
        <w:t xml:space="preserve">The custom platform option </w:t>
      </w:r>
      <w:r>
        <w:rPr>
          <w:bCs/>
          <w:noProof/>
          <w:kern w:val="32"/>
        </w:rPr>
        <w:t xml:space="preserve">also </w:t>
      </w:r>
      <w:r w:rsidRPr="00E13BA7">
        <w:rPr>
          <w:bCs/>
          <w:noProof/>
          <w:kern w:val="32"/>
        </w:rPr>
        <w:t>allows you to purchase additional Client Access Licenses (CALs) to cover Mobile Clients.</w:t>
      </w:r>
    </w:p>
    <w:p w:rsidR="00D02A78" w:rsidRPr="0059431B" w:rsidRDefault="00D02A78" w:rsidP="00D02A78">
      <w:pPr>
        <w:spacing w:before="240"/>
        <w:rPr>
          <w:rFonts w:cs="Arial"/>
          <w:b/>
          <w:bCs/>
          <w:noProof/>
          <w:color w:val="4596D2"/>
          <w:kern w:val="32"/>
          <w:sz w:val="32"/>
          <w:szCs w:val="32"/>
        </w:rPr>
      </w:pPr>
      <w:r w:rsidRPr="0059431B">
        <w:rPr>
          <w:rFonts w:cs="Arial"/>
          <w:b/>
          <w:bCs/>
          <w:noProof/>
          <w:color w:val="4596D2"/>
          <w:kern w:val="32"/>
          <w:sz w:val="32"/>
          <w:szCs w:val="32"/>
        </w:rPr>
        <w:t>See How Option Benefits Stack Up</w:t>
      </w:r>
    </w:p>
    <w:p w:rsidR="00D02A78" w:rsidRPr="0059431B" w:rsidRDefault="00D02A78" w:rsidP="00D02A78">
      <w:pPr>
        <w:spacing w:after="240"/>
        <w:rPr>
          <w:noProof/>
          <w:kern w:val="32"/>
        </w:rPr>
      </w:pPr>
      <w:r w:rsidRPr="0059431B">
        <w:rPr>
          <w:noProof/>
          <w:kern w:val="32"/>
        </w:rPr>
        <w:t>Compare the benefits of the Open Value</w:t>
      </w:r>
      <w:r>
        <w:rPr>
          <w:noProof/>
          <w:kern w:val="32"/>
        </w:rPr>
        <w:t xml:space="preserve">, Open Value Subscription option, and Open License </w:t>
      </w:r>
      <w:r w:rsidRPr="0059431B">
        <w:rPr>
          <w:noProof/>
          <w:kern w:val="32"/>
        </w:rPr>
        <w:t>program</w:t>
      </w:r>
      <w:r>
        <w:rPr>
          <w:noProof/>
          <w:kern w:val="32"/>
        </w:rPr>
        <w:t xml:space="preserve">s. </w:t>
      </w:r>
    </w:p>
    <w:tbl>
      <w:tblPr>
        <w:tblW w:w="91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95"/>
        <w:gridCol w:w="2237"/>
        <w:gridCol w:w="2238"/>
        <w:gridCol w:w="2238"/>
      </w:tblGrid>
      <w:tr w:rsidR="00D02A78" w:rsidRPr="0059431B" w:rsidTr="003C34B8">
        <w:trPr>
          <w:tblHeader/>
        </w:trPr>
        <w:tc>
          <w:tcPr>
            <w:tcW w:w="2395" w:type="dxa"/>
            <w:tcBorders>
              <w:bottom w:val="single" w:sz="4" w:space="0" w:color="auto"/>
            </w:tcBorders>
            <w:shd w:val="pct10" w:color="auto" w:fill="112E58"/>
            <w:vAlign w:val="center"/>
          </w:tcPr>
          <w:p w:rsidR="00D02A78" w:rsidRPr="0059431B" w:rsidRDefault="00D02A78" w:rsidP="003C34B8">
            <w:pPr>
              <w:rPr>
                <w:rFonts w:cs="Arial"/>
                <w:b/>
                <w:bCs/>
                <w:noProof/>
                <w:color w:val="4596D2"/>
                <w:kern w:val="32"/>
                <w:sz w:val="32"/>
                <w:szCs w:val="32"/>
              </w:rPr>
            </w:pPr>
          </w:p>
        </w:tc>
        <w:tc>
          <w:tcPr>
            <w:tcW w:w="2237" w:type="dxa"/>
            <w:tcBorders>
              <w:bottom w:val="single" w:sz="4" w:space="0" w:color="auto"/>
            </w:tcBorders>
            <w:shd w:val="pct10" w:color="auto" w:fill="112E58"/>
          </w:tcPr>
          <w:p w:rsidR="00D02A78" w:rsidRPr="0059431B" w:rsidRDefault="00D02A78" w:rsidP="003C34B8">
            <w:pPr>
              <w:rPr>
                <w:rFonts w:cs="Arial"/>
                <w:b/>
                <w:bCs/>
                <w:noProof/>
                <w:color w:val="4596D2"/>
                <w:kern w:val="32"/>
                <w:szCs w:val="32"/>
              </w:rPr>
            </w:pPr>
            <w:r>
              <w:rPr>
                <w:rFonts w:cs="Arial"/>
                <w:b/>
                <w:bCs/>
                <w:noProof/>
                <w:color w:val="4596D2"/>
                <w:kern w:val="32"/>
                <w:szCs w:val="32"/>
              </w:rPr>
              <w:t>Open Value Subscription</w:t>
            </w:r>
          </w:p>
        </w:tc>
        <w:tc>
          <w:tcPr>
            <w:tcW w:w="2238" w:type="dxa"/>
            <w:tcBorders>
              <w:bottom w:val="single" w:sz="4" w:space="0" w:color="auto"/>
            </w:tcBorders>
            <w:shd w:val="pct10" w:color="auto" w:fill="112E58"/>
            <w:vAlign w:val="center"/>
          </w:tcPr>
          <w:p w:rsidR="00D02A78" w:rsidRPr="0059431B" w:rsidRDefault="00D02A78" w:rsidP="003C34B8">
            <w:pPr>
              <w:rPr>
                <w:rFonts w:cs="Arial"/>
                <w:b/>
                <w:bCs/>
                <w:noProof/>
                <w:color w:val="4596D2"/>
                <w:kern w:val="32"/>
                <w:szCs w:val="32"/>
              </w:rPr>
            </w:pPr>
            <w:r w:rsidRPr="0059431B">
              <w:rPr>
                <w:rFonts w:cs="Arial"/>
                <w:b/>
                <w:bCs/>
                <w:noProof/>
                <w:color w:val="4596D2"/>
                <w:kern w:val="32"/>
                <w:szCs w:val="32"/>
              </w:rPr>
              <w:t xml:space="preserve">Open Value </w:t>
            </w:r>
          </w:p>
        </w:tc>
        <w:tc>
          <w:tcPr>
            <w:tcW w:w="2238" w:type="dxa"/>
            <w:tcBorders>
              <w:bottom w:val="single" w:sz="4" w:space="0" w:color="auto"/>
            </w:tcBorders>
            <w:shd w:val="pct10" w:color="auto" w:fill="112E58"/>
            <w:vAlign w:val="center"/>
          </w:tcPr>
          <w:p w:rsidR="00D02A78" w:rsidRPr="0059431B" w:rsidRDefault="00D02A78" w:rsidP="003C34B8">
            <w:pPr>
              <w:rPr>
                <w:rFonts w:cs="Arial"/>
                <w:b/>
                <w:bCs/>
                <w:noProof/>
                <w:color w:val="4596D2"/>
                <w:kern w:val="32"/>
                <w:szCs w:val="32"/>
              </w:rPr>
            </w:pPr>
            <w:r w:rsidRPr="0059431B">
              <w:rPr>
                <w:rFonts w:cs="Arial"/>
                <w:b/>
                <w:bCs/>
                <w:noProof/>
                <w:color w:val="4596D2"/>
                <w:kern w:val="32"/>
                <w:szCs w:val="32"/>
              </w:rPr>
              <w:t xml:space="preserve">Open </w:t>
            </w:r>
            <w:r>
              <w:rPr>
                <w:rFonts w:cs="Arial"/>
                <w:b/>
                <w:bCs/>
                <w:noProof/>
                <w:color w:val="4596D2"/>
                <w:kern w:val="32"/>
                <w:szCs w:val="32"/>
              </w:rPr>
              <w:t>License</w:t>
            </w:r>
            <w:r w:rsidRPr="0059431B">
              <w:rPr>
                <w:rFonts w:cs="Arial"/>
                <w:b/>
                <w:bCs/>
                <w:noProof/>
                <w:color w:val="4596D2"/>
                <w:kern w:val="32"/>
                <w:szCs w:val="32"/>
              </w:rPr>
              <w:t xml:space="preserve"> </w:t>
            </w:r>
          </w:p>
        </w:tc>
      </w:tr>
      <w:tr w:rsidR="00D02A78" w:rsidRPr="0059431B" w:rsidTr="003C34B8">
        <w:tc>
          <w:tcPr>
            <w:tcW w:w="2395" w:type="dxa"/>
            <w:tcBorders>
              <w:bottom w:val="single" w:sz="4" w:space="0" w:color="auto"/>
            </w:tcBorders>
            <w:shd w:val="clear" w:color="auto" w:fill="C0E3EA"/>
            <w:vAlign w:val="center"/>
          </w:tcPr>
          <w:p w:rsidR="00D02A78" w:rsidRPr="0059431B" w:rsidRDefault="00D02A78" w:rsidP="003C34B8">
            <w:pPr>
              <w:rPr>
                <w:noProof/>
                <w:kern w:val="32"/>
              </w:rPr>
            </w:pPr>
            <w:r w:rsidRPr="0059431B">
              <w:rPr>
                <w:noProof/>
                <w:kern w:val="32"/>
              </w:rPr>
              <w:t>Initial purchase</w:t>
            </w:r>
          </w:p>
        </w:tc>
        <w:tc>
          <w:tcPr>
            <w:tcW w:w="2237" w:type="dxa"/>
            <w:tcBorders>
              <w:bottom w:val="single" w:sz="4" w:space="0" w:color="auto"/>
            </w:tcBorders>
            <w:shd w:val="clear" w:color="auto" w:fill="C0E3EA"/>
          </w:tcPr>
          <w:p w:rsidR="00D02A78" w:rsidRPr="0059431B" w:rsidRDefault="007B021F" w:rsidP="003C34B8">
            <w:pPr>
              <w:rPr>
                <w:noProof/>
                <w:kern w:val="32"/>
              </w:rPr>
            </w:pPr>
            <w:r>
              <w:rPr>
                <w:noProof/>
                <w:kern w:val="32"/>
              </w:rPr>
              <w:t>More than five</w:t>
            </w:r>
            <w:r w:rsidR="00D02A78" w:rsidRPr="0059431B">
              <w:rPr>
                <w:noProof/>
                <w:kern w:val="32"/>
              </w:rPr>
              <w:t xml:space="preserve"> licenses</w:t>
            </w:r>
            <w:r w:rsidR="00D02A78">
              <w:rPr>
                <w:noProof/>
                <w:kern w:val="32"/>
              </w:rPr>
              <w:t xml:space="preserve"> with Software Assurance</w:t>
            </w:r>
          </w:p>
        </w:tc>
        <w:tc>
          <w:tcPr>
            <w:tcW w:w="2238" w:type="dxa"/>
            <w:tcBorders>
              <w:bottom w:val="single" w:sz="4" w:space="0" w:color="auto"/>
            </w:tcBorders>
            <w:shd w:val="clear" w:color="auto" w:fill="C0E3EA"/>
            <w:vAlign w:val="center"/>
          </w:tcPr>
          <w:p w:rsidR="00D02A78" w:rsidRPr="0059431B" w:rsidRDefault="007B021F" w:rsidP="003C34B8">
            <w:pPr>
              <w:rPr>
                <w:noProof/>
                <w:kern w:val="32"/>
              </w:rPr>
            </w:pPr>
            <w:r>
              <w:rPr>
                <w:noProof/>
                <w:kern w:val="32"/>
              </w:rPr>
              <w:t>More than five</w:t>
            </w:r>
            <w:r w:rsidR="00D02A78" w:rsidRPr="0059431B">
              <w:rPr>
                <w:noProof/>
                <w:kern w:val="32"/>
              </w:rPr>
              <w:t xml:space="preserve"> licenses</w:t>
            </w:r>
            <w:r w:rsidR="00D02A78">
              <w:rPr>
                <w:noProof/>
                <w:kern w:val="32"/>
              </w:rPr>
              <w:t xml:space="preserve"> with Software Assurance</w:t>
            </w:r>
          </w:p>
        </w:tc>
        <w:tc>
          <w:tcPr>
            <w:tcW w:w="2238" w:type="dxa"/>
            <w:tcBorders>
              <w:bottom w:val="single" w:sz="4" w:space="0" w:color="auto"/>
            </w:tcBorders>
            <w:shd w:val="clear" w:color="auto" w:fill="C0E3EA"/>
            <w:vAlign w:val="center"/>
          </w:tcPr>
          <w:p w:rsidR="00D02A78" w:rsidRPr="0059431B" w:rsidRDefault="007B021F" w:rsidP="003C34B8">
            <w:pPr>
              <w:rPr>
                <w:noProof/>
                <w:kern w:val="32"/>
              </w:rPr>
            </w:pPr>
            <w:r>
              <w:rPr>
                <w:noProof/>
                <w:kern w:val="32"/>
              </w:rPr>
              <w:t>More than five</w:t>
            </w:r>
            <w:r w:rsidR="00D02A78" w:rsidRPr="0059431B">
              <w:rPr>
                <w:noProof/>
                <w:kern w:val="32"/>
              </w:rPr>
              <w:t xml:space="preserve"> licenses</w:t>
            </w:r>
          </w:p>
        </w:tc>
      </w:tr>
      <w:tr w:rsidR="00D02A78" w:rsidRPr="0059431B" w:rsidTr="003C34B8">
        <w:tc>
          <w:tcPr>
            <w:tcW w:w="2395" w:type="dxa"/>
            <w:tcBorders>
              <w:bottom w:val="single" w:sz="4" w:space="0" w:color="auto"/>
            </w:tcBorders>
            <w:shd w:val="clear" w:color="auto" w:fill="9DCACF"/>
            <w:vAlign w:val="center"/>
          </w:tcPr>
          <w:p w:rsidR="00D02A78" w:rsidRPr="0059431B" w:rsidRDefault="00D02A78" w:rsidP="003C34B8">
            <w:pPr>
              <w:rPr>
                <w:noProof/>
                <w:kern w:val="32"/>
              </w:rPr>
            </w:pPr>
            <w:r w:rsidRPr="0059431B">
              <w:rPr>
                <w:noProof/>
                <w:kern w:val="32"/>
              </w:rPr>
              <w:t>Agreement term</w:t>
            </w:r>
          </w:p>
        </w:tc>
        <w:tc>
          <w:tcPr>
            <w:tcW w:w="2237" w:type="dxa"/>
            <w:tcBorders>
              <w:bottom w:val="single" w:sz="4" w:space="0" w:color="auto"/>
            </w:tcBorders>
            <w:shd w:val="clear" w:color="auto" w:fill="9DCACF"/>
          </w:tcPr>
          <w:p w:rsidR="00D02A78" w:rsidRDefault="009C4E6D" w:rsidP="003C34B8">
            <w:pPr>
              <w:ind w:left="17" w:hanging="17"/>
              <w:rPr>
                <w:noProof/>
                <w:kern w:val="32"/>
              </w:rPr>
            </w:pPr>
            <w:r>
              <w:rPr>
                <w:noProof/>
                <w:kern w:val="32"/>
              </w:rPr>
              <w:t>Three year</w:t>
            </w:r>
            <w:r w:rsidR="00D02A78" w:rsidRPr="0059431B">
              <w:rPr>
                <w:noProof/>
                <w:kern w:val="32"/>
              </w:rPr>
              <w:t>s</w:t>
            </w:r>
            <w:r w:rsidR="00D02A78">
              <w:rPr>
                <w:noProof/>
                <w:kern w:val="32"/>
              </w:rPr>
              <w:t>, non-perpetual;</w:t>
            </w:r>
          </w:p>
          <w:p w:rsidR="00D02A78" w:rsidRPr="00A0795D" w:rsidRDefault="009C4E6D" w:rsidP="003C34B8">
            <w:pPr>
              <w:ind w:left="17" w:hanging="17"/>
              <w:rPr>
                <w:szCs w:val="22"/>
              </w:rPr>
            </w:pPr>
            <w:r>
              <w:rPr>
                <w:szCs w:val="22"/>
              </w:rPr>
              <w:t>One-year</w:t>
            </w:r>
            <w:r w:rsidRPr="00665F41">
              <w:rPr>
                <w:szCs w:val="22"/>
              </w:rPr>
              <w:t xml:space="preserve"> option for government</w:t>
            </w:r>
          </w:p>
        </w:tc>
        <w:tc>
          <w:tcPr>
            <w:tcW w:w="2238" w:type="dxa"/>
            <w:tcBorders>
              <w:bottom w:val="single" w:sz="4" w:space="0" w:color="auto"/>
            </w:tcBorders>
            <w:shd w:val="clear" w:color="auto" w:fill="9DCACF"/>
            <w:vAlign w:val="center"/>
          </w:tcPr>
          <w:p w:rsidR="00D02A78" w:rsidRDefault="009C4E6D" w:rsidP="003C34B8">
            <w:pPr>
              <w:rPr>
                <w:noProof/>
                <w:kern w:val="32"/>
              </w:rPr>
            </w:pPr>
            <w:r>
              <w:rPr>
                <w:noProof/>
                <w:kern w:val="32"/>
              </w:rPr>
              <w:t>Three year</w:t>
            </w:r>
            <w:r w:rsidR="00D02A78" w:rsidRPr="0059431B">
              <w:rPr>
                <w:noProof/>
                <w:kern w:val="32"/>
              </w:rPr>
              <w:t>s</w:t>
            </w:r>
            <w:r w:rsidR="00D02A78">
              <w:rPr>
                <w:noProof/>
                <w:kern w:val="32"/>
              </w:rPr>
              <w:t>;</w:t>
            </w:r>
          </w:p>
          <w:p w:rsidR="00D02A78" w:rsidRPr="0059431B" w:rsidRDefault="007B021F" w:rsidP="003C34B8">
            <w:pPr>
              <w:rPr>
                <w:noProof/>
                <w:kern w:val="32"/>
              </w:rPr>
            </w:pPr>
            <w:r>
              <w:rPr>
                <w:noProof/>
                <w:kern w:val="32"/>
              </w:rPr>
              <w:t>One year</w:t>
            </w:r>
            <w:r w:rsidR="00D02A78">
              <w:rPr>
                <w:noProof/>
                <w:kern w:val="32"/>
              </w:rPr>
              <w:t xml:space="preserve"> option for government</w:t>
            </w:r>
          </w:p>
        </w:tc>
        <w:tc>
          <w:tcPr>
            <w:tcW w:w="2238" w:type="dxa"/>
            <w:tcBorders>
              <w:bottom w:val="single" w:sz="4" w:space="0" w:color="auto"/>
            </w:tcBorders>
            <w:shd w:val="clear" w:color="auto" w:fill="9DCACF"/>
            <w:vAlign w:val="center"/>
          </w:tcPr>
          <w:p w:rsidR="00D02A78" w:rsidRPr="0059431B" w:rsidRDefault="009C4E6D" w:rsidP="003C34B8">
            <w:pPr>
              <w:rPr>
                <w:noProof/>
                <w:kern w:val="32"/>
              </w:rPr>
            </w:pPr>
            <w:r>
              <w:rPr>
                <w:noProof/>
                <w:kern w:val="32"/>
              </w:rPr>
              <w:t>Two year</w:t>
            </w:r>
            <w:r w:rsidR="00D02A78" w:rsidRPr="0059431B">
              <w:rPr>
                <w:noProof/>
                <w:kern w:val="32"/>
              </w:rPr>
              <w:t>s</w:t>
            </w:r>
          </w:p>
        </w:tc>
      </w:tr>
      <w:tr w:rsidR="00D02A78" w:rsidRPr="0059431B" w:rsidTr="003C34B8">
        <w:tc>
          <w:tcPr>
            <w:tcW w:w="2395" w:type="dxa"/>
            <w:tcBorders>
              <w:bottom w:val="single" w:sz="4" w:space="0" w:color="auto"/>
            </w:tcBorders>
            <w:shd w:val="clear" w:color="auto" w:fill="C0E3EA"/>
            <w:vAlign w:val="center"/>
          </w:tcPr>
          <w:p w:rsidR="00D02A78" w:rsidRPr="0059431B" w:rsidRDefault="00D02A78" w:rsidP="003C34B8">
            <w:pPr>
              <w:rPr>
                <w:noProof/>
                <w:kern w:val="32"/>
              </w:rPr>
            </w:pPr>
            <w:r w:rsidRPr="0059431B">
              <w:rPr>
                <w:noProof/>
                <w:kern w:val="32"/>
              </w:rPr>
              <w:t>Payment options</w:t>
            </w:r>
          </w:p>
        </w:tc>
        <w:tc>
          <w:tcPr>
            <w:tcW w:w="2237" w:type="dxa"/>
            <w:tcBorders>
              <w:bottom w:val="single" w:sz="4" w:space="0" w:color="auto"/>
            </w:tcBorders>
            <w:shd w:val="clear" w:color="auto" w:fill="C0E3EA"/>
            <w:vAlign w:val="center"/>
          </w:tcPr>
          <w:p w:rsidR="00D02A78" w:rsidRPr="0059431B" w:rsidRDefault="00D02A78" w:rsidP="003C34B8">
            <w:pPr>
              <w:rPr>
                <w:noProof/>
                <w:kern w:val="32"/>
              </w:rPr>
            </w:pPr>
            <w:r>
              <w:rPr>
                <w:noProof/>
                <w:kern w:val="32"/>
              </w:rPr>
              <w:t>Spread anually</w:t>
            </w:r>
          </w:p>
        </w:tc>
        <w:tc>
          <w:tcPr>
            <w:tcW w:w="2238" w:type="dxa"/>
            <w:tcBorders>
              <w:bottom w:val="single" w:sz="4" w:space="0" w:color="auto"/>
            </w:tcBorders>
            <w:shd w:val="clear" w:color="auto" w:fill="C0E3EA"/>
            <w:vAlign w:val="center"/>
          </w:tcPr>
          <w:p w:rsidR="00D02A78" w:rsidRPr="0059431B" w:rsidRDefault="00D02A78" w:rsidP="003C34B8">
            <w:pPr>
              <w:rPr>
                <w:noProof/>
                <w:kern w:val="32"/>
              </w:rPr>
            </w:pPr>
            <w:r w:rsidRPr="0059431B">
              <w:rPr>
                <w:noProof/>
                <w:kern w:val="32"/>
              </w:rPr>
              <w:t>Spread annually or up-front</w:t>
            </w:r>
          </w:p>
        </w:tc>
        <w:tc>
          <w:tcPr>
            <w:tcW w:w="2238" w:type="dxa"/>
            <w:tcBorders>
              <w:bottom w:val="single" w:sz="4" w:space="0" w:color="auto"/>
            </w:tcBorders>
            <w:shd w:val="clear" w:color="auto" w:fill="C0E3EA"/>
            <w:vAlign w:val="center"/>
          </w:tcPr>
          <w:p w:rsidR="00D02A78" w:rsidRPr="0059431B" w:rsidRDefault="00D02A78" w:rsidP="003C34B8">
            <w:pPr>
              <w:rPr>
                <w:noProof/>
                <w:kern w:val="32"/>
              </w:rPr>
            </w:pPr>
            <w:r w:rsidRPr="0059431B">
              <w:rPr>
                <w:noProof/>
                <w:kern w:val="32"/>
              </w:rPr>
              <w:t>Up-front</w:t>
            </w:r>
          </w:p>
        </w:tc>
      </w:tr>
      <w:tr w:rsidR="00D02A78" w:rsidRPr="0059431B" w:rsidTr="003C34B8">
        <w:tc>
          <w:tcPr>
            <w:tcW w:w="2395" w:type="dxa"/>
            <w:tcBorders>
              <w:bottom w:val="single" w:sz="4" w:space="0" w:color="auto"/>
            </w:tcBorders>
            <w:shd w:val="clear" w:color="auto" w:fill="9DCACF"/>
            <w:vAlign w:val="center"/>
          </w:tcPr>
          <w:p w:rsidR="00D02A78" w:rsidRPr="0059431B" w:rsidRDefault="00D02A78" w:rsidP="003C34B8">
            <w:pPr>
              <w:rPr>
                <w:noProof/>
                <w:kern w:val="32"/>
              </w:rPr>
            </w:pPr>
            <w:r w:rsidRPr="0059431B">
              <w:rPr>
                <w:noProof/>
                <w:kern w:val="32"/>
              </w:rPr>
              <w:t>Single agreement for multiple entities</w:t>
            </w:r>
          </w:p>
        </w:tc>
        <w:tc>
          <w:tcPr>
            <w:tcW w:w="2237" w:type="dxa"/>
            <w:tcBorders>
              <w:bottom w:val="single" w:sz="4" w:space="0" w:color="auto"/>
            </w:tcBorders>
            <w:shd w:val="clear" w:color="auto" w:fill="9DCACF"/>
            <w:vAlign w:val="center"/>
          </w:tcPr>
          <w:p w:rsidR="00D02A78" w:rsidRPr="0059431B" w:rsidRDefault="00D02A78" w:rsidP="003C34B8">
            <w:pPr>
              <w:rPr>
                <w:noProof/>
                <w:kern w:val="32"/>
              </w:rPr>
            </w:pPr>
            <w:r>
              <w:rPr>
                <w:noProof/>
                <w:kern w:val="32"/>
              </w:rPr>
              <w:t>Yes</w:t>
            </w:r>
          </w:p>
        </w:tc>
        <w:tc>
          <w:tcPr>
            <w:tcW w:w="2238" w:type="dxa"/>
            <w:tcBorders>
              <w:bottom w:val="single" w:sz="4" w:space="0" w:color="auto"/>
            </w:tcBorders>
            <w:shd w:val="clear" w:color="auto" w:fill="9DCACF"/>
            <w:vAlign w:val="center"/>
          </w:tcPr>
          <w:p w:rsidR="00D02A78" w:rsidRPr="0059431B" w:rsidRDefault="00D02A78" w:rsidP="003C34B8">
            <w:pPr>
              <w:rPr>
                <w:noProof/>
                <w:kern w:val="32"/>
              </w:rPr>
            </w:pPr>
            <w:r w:rsidRPr="0059431B">
              <w:rPr>
                <w:noProof/>
                <w:kern w:val="32"/>
              </w:rPr>
              <w:t>Yes</w:t>
            </w:r>
          </w:p>
        </w:tc>
        <w:tc>
          <w:tcPr>
            <w:tcW w:w="2238" w:type="dxa"/>
            <w:tcBorders>
              <w:bottom w:val="single" w:sz="4" w:space="0" w:color="auto"/>
            </w:tcBorders>
            <w:shd w:val="clear" w:color="auto" w:fill="9DCACF"/>
            <w:vAlign w:val="center"/>
          </w:tcPr>
          <w:p w:rsidR="00D02A78" w:rsidRPr="0059431B" w:rsidRDefault="00D02A78" w:rsidP="003C34B8">
            <w:pPr>
              <w:rPr>
                <w:noProof/>
                <w:kern w:val="32"/>
              </w:rPr>
            </w:pPr>
            <w:r w:rsidRPr="0059431B">
              <w:rPr>
                <w:noProof/>
                <w:kern w:val="32"/>
              </w:rPr>
              <w:t>No</w:t>
            </w:r>
          </w:p>
        </w:tc>
      </w:tr>
      <w:tr w:rsidR="00D02A78" w:rsidRPr="0059431B" w:rsidTr="003C34B8">
        <w:tc>
          <w:tcPr>
            <w:tcW w:w="2395" w:type="dxa"/>
            <w:tcBorders>
              <w:bottom w:val="single" w:sz="4" w:space="0" w:color="auto"/>
            </w:tcBorders>
            <w:shd w:val="clear" w:color="auto" w:fill="C0E3EA"/>
            <w:vAlign w:val="center"/>
          </w:tcPr>
          <w:p w:rsidR="00D02A78" w:rsidRPr="0059431B" w:rsidRDefault="00D02A78" w:rsidP="003C34B8">
            <w:pPr>
              <w:rPr>
                <w:noProof/>
                <w:kern w:val="32"/>
              </w:rPr>
            </w:pPr>
            <w:r w:rsidRPr="0059431B">
              <w:rPr>
                <w:noProof/>
                <w:kern w:val="32"/>
              </w:rPr>
              <w:t>Reordering</w:t>
            </w:r>
          </w:p>
        </w:tc>
        <w:tc>
          <w:tcPr>
            <w:tcW w:w="2237" w:type="dxa"/>
            <w:tcBorders>
              <w:bottom w:val="single" w:sz="4" w:space="0" w:color="auto"/>
            </w:tcBorders>
            <w:shd w:val="clear" w:color="auto" w:fill="C0E3EA"/>
            <w:vAlign w:val="center"/>
          </w:tcPr>
          <w:p w:rsidR="00D02A78" w:rsidRPr="0059431B" w:rsidRDefault="00D02A78" w:rsidP="003C34B8">
            <w:pPr>
              <w:rPr>
                <w:noProof/>
                <w:kern w:val="32"/>
              </w:rPr>
            </w:pPr>
            <w:r w:rsidRPr="0059431B">
              <w:rPr>
                <w:noProof/>
                <w:kern w:val="32"/>
              </w:rPr>
              <w:t xml:space="preserve">Yes, until </w:t>
            </w:r>
            <w:r w:rsidR="009C4E6D">
              <w:rPr>
                <w:noProof/>
                <w:kern w:val="32"/>
              </w:rPr>
              <w:t>three year</w:t>
            </w:r>
            <w:r w:rsidRPr="0059431B">
              <w:rPr>
                <w:noProof/>
                <w:kern w:val="32"/>
              </w:rPr>
              <w:t>s after initial agreement</w:t>
            </w:r>
          </w:p>
        </w:tc>
        <w:tc>
          <w:tcPr>
            <w:tcW w:w="2238" w:type="dxa"/>
            <w:tcBorders>
              <w:bottom w:val="single" w:sz="4" w:space="0" w:color="auto"/>
            </w:tcBorders>
            <w:shd w:val="clear" w:color="auto" w:fill="C0E3EA"/>
            <w:vAlign w:val="center"/>
          </w:tcPr>
          <w:p w:rsidR="00D02A78" w:rsidRPr="0059431B" w:rsidRDefault="00D02A78" w:rsidP="003C34B8">
            <w:pPr>
              <w:rPr>
                <w:noProof/>
                <w:kern w:val="32"/>
              </w:rPr>
            </w:pPr>
            <w:r w:rsidRPr="0059431B">
              <w:rPr>
                <w:noProof/>
                <w:kern w:val="32"/>
              </w:rPr>
              <w:t xml:space="preserve">Yes, until </w:t>
            </w:r>
            <w:r w:rsidR="009C4E6D">
              <w:rPr>
                <w:noProof/>
                <w:kern w:val="32"/>
              </w:rPr>
              <w:t>three year</w:t>
            </w:r>
            <w:r w:rsidRPr="0059431B">
              <w:rPr>
                <w:noProof/>
                <w:kern w:val="32"/>
              </w:rPr>
              <w:t>s after initial agreement</w:t>
            </w:r>
          </w:p>
        </w:tc>
        <w:tc>
          <w:tcPr>
            <w:tcW w:w="2238" w:type="dxa"/>
            <w:tcBorders>
              <w:bottom w:val="single" w:sz="4" w:space="0" w:color="auto"/>
            </w:tcBorders>
            <w:shd w:val="clear" w:color="auto" w:fill="C0E3EA"/>
            <w:vAlign w:val="center"/>
          </w:tcPr>
          <w:p w:rsidR="00D02A78" w:rsidRPr="0059431B" w:rsidRDefault="00D02A78" w:rsidP="003C34B8">
            <w:pPr>
              <w:rPr>
                <w:noProof/>
                <w:kern w:val="32"/>
              </w:rPr>
            </w:pPr>
            <w:r w:rsidRPr="0059431B">
              <w:rPr>
                <w:noProof/>
                <w:kern w:val="32"/>
              </w:rPr>
              <w:t xml:space="preserve">Yes, until </w:t>
            </w:r>
            <w:r w:rsidR="009C4E6D">
              <w:rPr>
                <w:noProof/>
                <w:kern w:val="32"/>
              </w:rPr>
              <w:t>two year</w:t>
            </w:r>
            <w:r w:rsidRPr="0059431B">
              <w:rPr>
                <w:noProof/>
                <w:kern w:val="32"/>
              </w:rPr>
              <w:t>s after initial agreement</w:t>
            </w:r>
          </w:p>
        </w:tc>
      </w:tr>
      <w:tr w:rsidR="00D02A78" w:rsidRPr="0059431B" w:rsidTr="003C34B8">
        <w:tc>
          <w:tcPr>
            <w:tcW w:w="2395" w:type="dxa"/>
            <w:tcBorders>
              <w:bottom w:val="single" w:sz="4" w:space="0" w:color="auto"/>
            </w:tcBorders>
            <w:shd w:val="clear" w:color="auto" w:fill="9DCACF"/>
            <w:vAlign w:val="center"/>
          </w:tcPr>
          <w:p w:rsidR="00D02A78" w:rsidRPr="0059431B" w:rsidRDefault="00D02A78" w:rsidP="003C34B8">
            <w:pPr>
              <w:rPr>
                <w:noProof/>
                <w:kern w:val="32"/>
              </w:rPr>
            </w:pPr>
            <w:r w:rsidRPr="0059431B">
              <w:rPr>
                <w:noProof/>
                <w:kern w:val="32"/>
              </w:rPr>
              <w:t>Products offered</w:t>
            </w:r>
          </w:p>
        </w:tc>
        <w:tc>
          <w:tcPr>
            <w:tcW w:w="2237" w:type="dxa"/>
            <w:tcBorders>
              <w:bottom w:val="single" w:sz="4" w:space="0" w:color="auto"/>
            </w:tcBorders>
            <w:shd w:val="clear" w:color="auto" w:fill="9DCACF"/>
          </w:tcPr>
          <w:p w:rsidR="00D02A78" w:rsidRPr="0059431B" w:rsidRDefault="00D02A78" w:rsidP="003C34B8">
            <w:pPr>
              <w:rPr>
                <w:noProof/>
                <w:kern w:val="32"/>
              </w:rPr>
            </w:pPr>
            <w:r w:rsidRPr="0059431B">
              <w:rPr>
                <w:noProof/>
                <w:kern w:val="32"/>
              </w:rPr>
              <w:t>Nearly all business-related products</w:t>
            </w:r>
          </w:p>
        </w:tc>
        <w:tc>
          <w:tcPr>
            <w:tcW w:w="2238" w:type="dxa"/>
            <w:tcBorders>
              <w:bottom w:val="single" w:sz="4" w:space="0" w:color="auto"/>
            </w:tcBorders>
            <w:shd w:val="clear" w:color="auto" w:fill="9DCACF"/>
            <w:vAlign w:val="center"/>
          </w:tcPr>
          <w:p w:rsidR="00D02A78" w:rsidRPr="0059431B" w:rsidRDefault="00D02A78" w:rsidP="003C34B8">
            <w:pPr>
              <w:rPr>
                <w:noProof/>
                <w:kern w:val="32"/>
              </w:rPr>
            </w:pPr>
            <w:r w:rsidRPr="0059431B">
              <w:rPr>
                <w:noProof/>
                <w:kern w:val="32"/>
              </w:rPr>
              <w:t>Nearly all business-related products</w:t>
            </w:r>
          </w:p>
        </w:tc>
        <w:tc>
          <w:tcPr>
            <w:tcW w:w="2238" w:type="dxa"/>
            <w:tcBorders>
              <w:bottom w:val="single" w:sz="4" w:space="0" w:color="auto"/>
            </w:tcBorders>
            <w:shd w:val="clear" w:color="auto" w:fill="9DCACF"/>
            <w:vAlign w:val="center"/>
          </w:tcPr>
          <w:p w:rsidR="00D02A78" w:rsidRPr="0059431B" w:rsidRDefault="00D02A78" w:rsidP="003C34B8">
            <w:pPr>
              <w:rPr>
                <w:noProof/>
                <w:kern w:val="32"/>
              </w:rPr>
            </w:pPr>
            <w:r w:rsidRPr="0059431B">
              <w:rPr>
                <w:noProof/>
                <w:kern w:val="32"/>
              </w:rPr>
              <w:t>Nearly all business-related products</w:t>
            </w:r>
          </w:p>
        </w:tc>
      </w:tr>
      <w:tr w:rsidR="00D02A78" w:rsidRPr="0059431B" w:rsidTr="003C34B8">
        <w:tc>
          <w:tcPr>
            <w:tcW w:w="2395" w:type="dxa"/>
            <w:tcBorders>
              <w:bottom w:val="single" w:sz="4" w:space="0" w:color="auto"/>
            </w:tcBorders>
            <w:shd w:val="clear" w:color="auto" w:fill="C0E3EA"/>
            <w:vAlign w:val="center"/>
          </w:tcPr>
          <w:p w:rsidR="00D02A78" w:rsidRPr="0059431B" w:rsidRDefault="00D02A78" w:rsidP="003C34B8">
            <w:pPr>
              <w:rPr>
                <w:noProof/>
                <w:kern w:val="32"/>
              </w:rPr>
            </w:pPr>
            <w:r w:rsidRPr="0059431B">
              <w:rPr>
                <w:noProof/>
                <w:kern w:val="32"/>
              </w:rPr>
              <w:t>Software Assurance</w:t>
            </w:r>
          </w:p>
        </w:tc>
        <w:tc>
          <w:tcPr>
            <w:tcW w:w="2237" w:type="dxa"/>
            <w:tcBorders>
              <w:bottom w:val="single" w:sz="4" w:space="0" w:color="auto"/>
            </w:tcBorders>
            <w:shd w:val="clear" w:color="auto" w:fill="C0E3EA"/>
          </w:tcPr>
          <w:p w:rsidR="00D02A78" w:rsidRPr="0059431B" w:rsidRDefault="00D02A78" w:rsidP="003C34B8">
            <w:pPr>
              <w:rPr>
                <w:noProof/>
                <w:kern w:val="32"/>
              </w:rPr>
            </w:pPr>
            <w:r w:rsidRPr="0059431B">
              <w:rPr>
                <w:noProof/>
                <w:kern w:val="32"/>
              </w:rPr>
              <w:t>Included (premier benefits)</w:t>
            </w:r>
          </w:p>
        </w:tc>
        <w:tc>
          <w:tcPr>
            <w:tcW w:w="2238" w:type="dxa"/>
            <w:tcBorders>
              <w:bottom w:val="single" w:sz="4" w:space="0" w:color="auto"/>
            </w:tcBorders>
            <w:shd w:val="clear" w:color="auto" w:fill="C0E3EA"/>
            <w:vAlign w:val="center"/>
          </w:tcPr>
          <w:p w:rsidR="00D02A78" w:rsidRPr="0059431B" w:rsidRDefault="00D02A78" w:rsidP="003C34B8">
            <w:pPr>
              <w:rPr>
                <w:noProof/>
                <w:kern w:val="32"/>
              </w:rPr>
            </w:pPr>
            <w:r w:rsidRPr="0059431B">
              <w:rPr>
                <w:noProof/>
                <w:kern w:val="32"/>
              </w:rPr>
              <w:t>Included (premier benefits)</w:t>
            </w:r>
          </w:p>
        </w:tc>
        <w:tc>
          <w:tcPr>
            <w:tcW w:w="2238" w:type="dxa"/>
            <w:tcBorders>
              <w:bottom w:val="single" w:sz="4" w:space="0" w:color="auto"/>
            </w:tcBorders>
            <w:shd w:val="clear" w:color="auto" w:fill="C0E3EA"/>
            <w:vAlign w:val="center"/>
          </w:tcPr>
          <w:p w:rsidR="00D02A78" w:rsidRPr="0059431B" w:rsidRDefault="00D02A78" w:rsidP="003C34B8">
            <w:pPr>
              <w:rPr>
                <w:noProof/>
                <w:kern w:val="32"/>
              </w:rPr>
            </w:pPr>
            <w:r w:rsidRPr="0059431B">
              <w:rPr>
                <w:noProof/>
                <w:kern w:val="32"/>
              </w:rPr>
              <w:t>Optional (basic benefits)</w:t>
            </w:r>
          </w:p>
        </w:tc>
      </w:tr>
      <w:tr w:rsidR="00D02A78" w:rsidRPr="0059431B" w:rsidTr="003C34B8">
        <w:tc>
          <w:tcPr>
            <w:tcW w:w="2395" w:type="dxa"/>
            <w:tcBorders>
              <w:bottom w:val="single" w:sz="4" w:space="0" w:color="auto"/>
            </w:tcBorders>
            <w:shd w:val="clear" w:color="auto" w:fill="9DCACF"/>
            <w:vAlign w:val="center"/>
          </w:tcPr>
          <w:p w:rsidR="00D02A78" w:rsidRPr="0059431B" w:rsidRDefault="00D02A78" w:rsidP="003C34B8">
            <w:pPr>
              <w:rPr>
                <w:noProof/>
                <w:kern w:val="32"/>
              </w:rPr>
            </w:pPr>
            <w:r w:rsidRPr="0059431B">
              <w:rPr>
                <w:noProof/>
                <w:kern w:val="32"/>
              </w:rPr>
              <w:t>Downgrade rights</w:t>
            </w:r>
          </w:p>
        </w:tc>
        <w:tc>
          <w:tcPr>
            <w:tcW w:w="2237" w:type="dxa"/>
            <w:tcBorders>
              <w:bottom w:val="single" w:sz="4" w:space="0" w:color="auto"/>
            </w:tcBorders>
            <w:shd w:val="clear" w:color="auto" w:fill="9DCACF"/>
          </w:tcPr>
          <w:p w:rsidR="00D02A78" w:rsidRPr="0059431B" w:rsidRDefault="00D02A78" w:rsidP="003C34B8">
            <w:pPr>
              <w:rPr>
                <w:noProof/>
                <w:kern w:val="32"/>
              </w:rPr>
            </w:pPr>
            <w:r>
              <w:rPr>
                <w:noProof/>
                <w:kern w:val="32"/>
              </w:rPr>
              <w:t>Yes</w:t>
            </w:r>
          </w:p>
        </w:tc>
        <w:tc>
          <w:tcPr>
            <w:tcW w:w="2238" w:type="dxa"/>
            <w:tcBorders>
              <w:bottom w:val="single" w:sz="4" w:space="0" w:color="auto"/>
            </w:tcBorders>
            <w:shd w:val="clear" w:color="auto" w:fill="9DCACF"/>
            <w:vAlign w:val="center"/>
          </w:tcPr>
          <w:p w:rsidR="00D02A78" w:rsidRPr="0059431B" w:rsidRDefault="00D02A78" w:rsidP="003C34B8">
            <w:pPr>
              <w:rPr>
                <w:noProof/>
                <w:kern w:val="32"/>
              </w:rPr>
            </w:pPr>
            <w:r w:rsidRPr="0059431B">
              <w:rPr>
                <w:noProof/>
                <w:kern w:val="32"/>
              </w:rPr>
              <w:t>Yes</w:t>
            </w:r>
          </w:p>
        </w:tc>
        <w:tc>
          <w:tcPr>
            <w:tcW w:w="2238" w:type="dxa"/>
            <w:tcBorders>
              <w:bottom w:val="single" w:sz="4" w:space="0" w:color="auto"/>
            </w:tcBorders>
            <w:shd w:val="clear" w:color="auto" w:fill="9DCACF"/>
            <w:vAlign w:val="center"/>
          </w:tcPr>
          <w:p w:rsidR="00D02A78" w:rsidRPr="0059431B" w:rsidRDefault="00D02A78" w:rsidP="003C34B8">
            <w:pPr>
              <w:rPr>
                <w:noProof/>
                <w:kern w:val="32"/>
              </w:rPr>
            </w:pPr>
            <w:r w:rsidRPr="0059431B">
              <w:rPr>
                <w:noProof/>
                <w:kern w:val="32"/>
              </w:rPr>
              <w:t>Yes</w:t>
            </w:r>
          </w:p>
        </w:tc>
      </w:tr>
      <w:tr w:rsidR="00D02A78" w:rsidRPr="0059431B" w:rsidTr="003C34B8">
        <w:tc>
          <w:tcPr>
            <w:tcW w:w="2395" w:type="dxa"/>
            <w:tcBorders>
              <w:bottom w:val="single" w:sz="4" w:space="0" w:color="auto"/>
            </w:tcBorders>
            <w:shd w:val="clear" w:color="auto" w:fill="C0E3EA"/>
            <w:vAlign w:val="center"/>
          </w:tcPr>
          <w:p w:rsidR="00D02A78" w:rsidRPr="0059431B" w:rsidRDefault="00D02A78" w:rsidP="003C34B8">
            <w:pPr>
              <w:rPr>
                <w:noProof/>
                <w:kern w:val="32"/>
              </w:rPr>
            </w:pPr>
            <w:r w:rsidRPr="0059431B">
              <w:rPr>
                <w:noProof/>
                <w:kern w:val="32"/>
              </w:rPr>
              <w:lastRenderedPageBreak/>
              <w:t>Subscription</w:t>
            </w:r>
          </w:p>
        </w:tc>
        <w:tc>
          <w:tcPr>
            <w:tcW w:w="2237" w:type="dxa"/>
            <w:tcBorders>
              <w:bottom w:val="single" w:sz="4" w:space="0" w:color="auto"/>
            </w:tcBorders>
            <w:shd w:val="clear" w:color="auto" w:fill="C0E3EA"/>
          </w:tcPr>
          <w:p w:rsidR="00D02A78" w:rsidRPr="0059431B" w:rsidRDefault="00D02A78" w:rsidP="003C34B8">
            <w:pPr>
              <w:rPr>
                <w:noProof/>
                <w:kern w:val="32"/>
              </w:rPr>
            </w:pPr>
            <w:r>
              <w:rPr>
                <w:noProof/>
                <w:kern w:val="32"/>
              </w:rPr>
              <w:t>Yes</w:t>
            </w:r>
          </w:p>
        </w:tc>
        <w:tc>
          <w:tcPr>
            <w:tcW w:w="2238" w:type="dxa"/>
            <w:tcBorders>
              <w:bottom w:val="single" w:sz="4" w:space="0" w:color="auto"/>
            </w:tcBorders>
            <w:shd w:val="clear" w:color="auto" w:fill="C0E3EA"/>
            <w:vAlign w:val="center"/>
          </w:tcPr>
          <w:p w:rsidR="00D02A78" w:rsidRPr="0059431B" w:rsidRDefault="00D02A78" w:rsidP="003C34B8">
            <w:pPr>
              <w:rPr>
                <w:noProof/>
                <w:kern w:val="32"/>
              </w:rPr>
            </w:pPr>
            <w:r w:rsidRPr="0059431B">
              <w:rPr>
                <w:noProof/>
                <w:kern w:val="32"/>
              </w:rPr>
              <w:t>Optional</w:t>
            </w:r>
          </w:p>
        </w:tc>
        <w:tc>
          <w:tcPr>
            <w:tcW w:w="2238" w:type="dxa"/>
            <w:tcBorders>
              <w:bottom w:val="single" w:sz="4" w:space="0" w:color="auto"/>
            </w:tcBorders>
            <w:shd w:val="clear" w:color="auto" w:fill="C0E3EA"/>
            <w:vAlign w:val="center"/>
          </w:tcPr>
          <w:p w:rsidR="00D02A78" w:rsidRPr="0059431B" w:rsidRDefault="00D02A78" w:rsidP="003C34B8">
            <w:pPr>
              <w:rPr>
                <w:noProof/>
                <w:kern w:val="32"/>
              </w:rPr>
            </w:pPr>
            <w:r w:rsidRPr="0059431B">
              <w:rPr>
                <w:noProof/>
                <w:kern w:val="32"/>
              </w:rPr>
              <w:t>No</w:t>
            </w:r>
          </w:p>
        </w:tc>
      </w:tr>
      <w:tr w:rsidR="00D02A78" w:rsidRPr="0059431B" w:rsidTr="003C34B8">
        <w:tc>
          <w:tcPr>
            <w:tcW w:w="2395" w:type="dxa"/>
            <w:tcBorders>
              <w:bottom w:val="single" w:sz="4" w:space="0" w:color="auto"/>
            </w:tcBorders>
            <w:shd w:val="clear" w:color="auto" w:fill="9DCACF"/>
            <w:vAlign w:val="center"/>
          </w:tcPr>
          <w:p w:rsidR="00D02A78" w:rsidRPr="0059431B" w:rsidRDefault="00D02A78" w:rsidP="003C34B8">
            <w:pPr>
              <w:rPr>
                <w:noProof/>
                <w:kern w:val="32"/>
              </w:rPr>
            </w:pPr>
            <w:r w:rsidRPr="0059431B">
              <w:rPr>
                <w:noProof/>
                <w:kern w:val="32"/>
              </w:rPr>
              <w:t>Spread payments</w:t>
            </w:r>
          </w:p>
        </w:tc>
        <w:tc>
          <w:tcPr>
            <w:tcW w:w="2237" w:type="dxa"/>
            <w:tcBorders>
              <w:bottom w:val="single" w:sz="4" w:space="0" w:color="auto"/>
            </w:tcBorders>
            <w:shd w:val="clear" w:color="auto" w:fill="9DCACF"/>
          </w:tcPr>
          <w:p w:rsidR="00D02A78" w:rsidRPr="0059431B" w:rsidRDefault="00D02A78" w:rsidP="003C34B8">
            <w:pPr>
              <w:rPr>
                <w:noProof/>
                <w:kern w:val="32"/>
              </w:rPr>
            </w:pPr>
            <w:r>
              <w:rPr>
                <w:noProof/>
                <w:kern w:val="32"/>
              </w:rPr>
              <w:t>Yes, optional</w:t>
            </w:r>
          </w:p>
        </w:tc>
        <w:tc>
          <w:tcPr>
            <w:tcW w:w="2238" w:type="dxa"/>
            <w:tcBorders>
              <w:bottom w:val="single" w:sz="4" w:space="0" w:color="auto"/>
            </w:tcBorders>
            <w:shd w:val="clear" w:color="auto" w:fill="9DCACF"/>
            <w:vAlign w:val="center"/>
          </w:tcPr>
          <w:p w:rsidR="00D02A78" w:rsidRPr="0059431B" w:rsidRDefault="00D02A78" w:rsidP="003C34B8">
            <w:pPr>
              <w:rPr>
                <w:noProof/>
                <w:kern w:val="32"/>
              </w:rPr>
            </w:pPr>
            <w:r w:rsidRPr="0059431B">
              <w:rPr>
                <w:noProof/>
                <w:kern w:val="32"/>
              </w:rPr>
              <w:t>Yes, optional</w:t>
            </w:r>
          </w:p>
        </w:tc>
        <w:tc>
          <w:tcPr>
            <w:tcW w:w="2238" w:type="dxa"/>
            <w:tcBorders>
              <w:bottom w:val="single" w:sz="4" w:space="0" w:color="auto"/>
            </w:tcBorders>
            <w:shd w:val="clear" w:color="auto" w:fill="9DCACF"/>
            <w:vAlign w:val="center"/>
          </w:tcPr>
          <w:p w:rsidR="00D02A78" w:rsidRPr="0059431B" w:rsidRDefault="00D02A78" w:rsidP="003C34B8">
            <w:pPr>
              <w:rPr>
                <w:noProof/>
                <w:kern w:val="32"/>
              </w:rPr>
            </w:pPr>
            <w:r w:rsidRPr="0059431B">
              <w:rPr>
                <w:noProof/>
                <w:kern w:val="32"/>
              </w:rPr>
              <w:t>No</w:t>
            </w:r>
          </w:p>
        </w:tc>
      </w:tr>
      <w:tr w:rsidR="00D02A78" w:rsidRPr="0059431B" w:rsidDel="00C970E5" w:rsidTr="003C34B8">
        <w:tc>
          <w:tcPr>
            <w:tcW w:w="2395" w:type="dxa"/>
            <w:tcBorders>
              <w:bottom w:val="single" w:sz="4" w:space="0" w:color="auto"/>
            </w:tcBorders>
            <w:shd w:val="clear" w:color="auto" w:fill="C0E3EA"/>
            <w:vAlign w:val="center"/>
          </w:tcPr>
          <w:p w:rsidR="00D02A78" w:rsidRPr="0059431B" w:rsidDel="00C970E5" w:rsidRDefault="00D02A78" w:rsidP="003C34B8">
            <w:pPr>
              <w:rPr>
                <w:noProof/>
                <w:kern w:val="32"/>
              </w:rPr>
            </w:pPr>
            <w:r w:rsidRPr="0059431B">
              <w:rPr>
                <w:noProof/>
                <w:kern w:val="32"/>
              </w:rPr>
              <w:t>Price protection</w:t>
            </w:r>
          </w:p>
        </w:tc>
        <w:tc>
          <w:tcPr>
            <w:tcW w:w="2237" w:type="dxa"/>
            <w:tcBorders>
              <w:bottom w:val="single" w:sz="4" w:space="0" w:color="auto"/>
            </w:tcBorders>
            <w:shd w:val="clear" w:color="auto" w:fill="C0E3EA"/>
          </w:tcPr>
          <w:p w:rsidR="00D02A78" w:rsidRPr="0059431B" w:rsidRDefault="00D02A78" w:rsidP="003C34B8">
            <w:pPr>
              <w:rPr>
                <w:noProof/>
                <w:kern w:val="32"/>
              </w:rPr>
            </w:pPr>
            <w:r>
              <w:rPr>
                <w:noProof/>
                <w:kern w:val="32"/>
              </w:rPr>
              <w:t>Yes</w:t>
            </w:r>
          </w:p>
        </w:tc>
        <w:tc>
          <w:tcPr>
            <w:tcW w:w="2238" w:type="dxa"/>
            <w:tcBorders>
              <w:bottom w:val="single" w:sz="4" w:space="0" w:color="auto"/>
            </w:tcBorders>
            <w:shd w:val="clear" w:color="auto" w:fill="C0E3EA"/>
            <w:vAlign w:val="center"/>
          </w:tcPr>
          <w:p w:rsidR="00D02A78" w:rsidRPr="0059431B" w:rsidDel="00C970E5" w:rsidRDefault="00D02A78" w:rsidP="003C34B8">
            <w:pPr>
              <w:rPr>
                <w:noProof/>
                <w:kern w:val="32"/>
              </w:rPr>
            </w:pPr>
            <w:r w:rsidRPr="0059431B">
              <w:rPr>
                <w:noProof/>
                <w:kern w:val="32"/>
              </w:rPr>
              <w:t>Yes</w:t>
            </w:r>
          </w:p>
        </w:tc>
        <w:tc>
          <w:tcPr>
            <w:tcW w:w="2238" w:type="dxa"/>
            <w:tcBorders>
              <w:bottom w:val="single" w:sz="4" w:space="0" w:color="auto"/>
            </w:tcBorders>
            <w:shd w:val="clear" w:color="auto" w:fill="C0E3EA"/>
            <w:vAlign w:val="center"/>
          </w:tcPr>
          <w:p w:rsidR="00D02A78" w:rsidRPr="0059431B" w:rsidDel="00C970E5" w:rsidRDefault="00D02A78" w:rsidP="003C34B8">
            <w:pPr>
              <w:rPr>
                <w:noProof/>
                <w:kern w:val="32"/>
              </w:rPr>
            </w:pPr>
            <w:r w:rsidRPr="0059431B">
              <w:rPr>
                <w:noProof/>
                <w:kern w:val="32"/>
              </w:rPr>
              <w:t>No</w:t>
            </w:r>
          </w:p>
        </w:tc>
      </w:tr>
      <w:tr w:rsidR="00D02A78" w:rsidRPr="0059431B" w:rsidTr="003C34B8">
        <w:tc>
          <w:tcPr>
            <w:tcW w:w="2395" w:type="dxa"/>
            <w:tcBorders>
              <w:bottom w:val="single" w:sz="4" w:space="0" w:color="auto"/>
            </w:tcBorders>
            <w:shd w:val="clear" w:color="auto" w:fill="9DCACF"/>
            <w:vAlign w:val="center"/>
          </w:tcPr>
          <w:p w:rsidR="00D02A78" w:rsidRPr="0059431B" w:rsidRDefault="00D02A78" w:rsidP="003C34B8">
            <w:pPr>
              <w:rPr>
                <w:noProof/>
                <w:kern w:val="32"/>
              </w:rPr>
            </w:pPr>
            <w:r w:rsidRPr="0059431B">
              <w:rPr>
                <w:noProof/>
                <w:kern w:val="32"/>
              </w:rPr>
              <w:t>Standardization benefits</w:t>
            </w:r>
          </w:p>
        </w:tc>
        <w:tc>
          <w:tcPr>
            <w:tcW w:w="2237" w:type="dxa"/>
            <w:tcBorders>
              <w:bottom w:val="single" w:sz="4" w:space="0" w:color="auto"/>
            </w:tcBorders>
            <w:shd w:val="clear" w:color="auto" w:fill="9DCACF"/>
            <w:vAlign w:val="center"/>
          </w:tcPr>
          <w:p w:rsidR="00D02A78" w:rsidRPr="0059431B" w:rsidRDefault="00D02A78" w:rsidP="003C34B8">
            <w:pPr>
              <w:rPr>
                <w:noProof/>
                <w:kern w:val="32"/>
              </w:rPr>
            </w:pPr>
            <w:r>
              <w:rPr>
                <w:noProof/>
                <w:kern w:val="32"/>
              </w:rPr>
              <w:t>Yes, including reduced pricing,  annual payments, and Software Assurance benefits</w:t>
            </w:r>
          </w:p>
        </w:tc>
        <w:tc>
          <w:tcPr>
            <w:tcW w:w="2238" w:type="dxa"/>
            <w:tcBorders>
              <w:bottom w:val="single" w:sz="4" w:space="0" w:color="auto"/>
            </w:tcBorders>
            <w:shd w:val="clear" w:color="auto" w:fill="9DCACF"/>
            <w:vAlign w:val="center"/>
          </w:tcPr>
          <w:p w:rsidR="00D02A78" w:rsidRPr="0059431B" w:rsidRDefault="00D02A78" w:rsidP="003C34B8">
            <w:pPr>
              <w:rPr>
                <w:noProof/>
                <w:kern w:val="32"/>
              </w:rPr>
            </w:pPr>
            <w:r w:rsidRPr="0059431B">
              <w:rPr>
                <w:noProof/>
                <w:kern w:val="32"/>
              </w:rPr>
              <w:t>Yes, including reduced pricing, price protection, and Software Assurance benefits</w:t>
            </w:r>
          </w:p>
        </w:tc>
        <w:tc>
          <w:tcPr>
            <w:tcW w:w="2238" w:type="dxa"/>
            <w:tcBorders>
              <w:bottom w:val="single" w:sz="4" w:space="0" w:color="auto"/>
            </w:tcBorders>
            <w:shd w:val="clear" w:color="auto" w:fill="9DCACF"/>
            <w:vAlign w:val="center"/>
          </w:tcPr>
          <w:p w:rsidR="00D02A78" w:rsidRPr="0059431B" w:rsidRDefault="00D02A78" w:rsidP="003C34B8">
            <w:pPr>
              <w:rPr>
                <w:noProof/>
                <w:kern w:val="32"/>
              </w:rPr>
            </w:pPr>
            <w:r w:rsidRPr="0059431B">
              <w:rPr>
                <w:noProof/>
                <w:kern w:val="32"/>
              </w:rPr>
              <w:t>No</w:t>
            </w:r>
          </w:p>
        </w:tc>
      </w:tr>
      <w:tr w:rsidR="00D02A78" w:rsidRPr="0059431B" w:rsidTr="003C34B8">
        <w:tc>
          <w:tcPr>
            <w:tcW w:w="2395" w:type="dxa"/>
            <w:tcBorders>
              <w:bottom w:val="single" w:sz="4" w:space="0" w:color="auto"/>
            </w:tcBorders>
            <w:shd w:val="clear" w:color="auto" w:fill="C0E3EA"/>
            <w:vAlign w:val="center"/>
          </w:tcPr>
          <w:p w:rsidR="00D02A78" w:rsidRPr="0059431B" w:rsidRDefault="00D02A78" w:rsidP="003C34B8">
            <w:pPr>
              <w:rPr>
                <w:noProof/>
                <w:kern w:val="32"/>
              </w:rPr>
            </w:pPr>
            <w:r w:rsidRPr="0059431B">
              <w:rPr>
                <w:noProof/>
                <w:kern w:val="32"/>
              </w:rPr>
              <w:t>Install before you order</w:t>
            </w:r>
          </w:p>
        </w:tc>
        <w:tc>
          <w:tcPr>
            <w:tcW w:w="2237" w:type="dxa"/>
            <w:tcBorders>
              <w:bottom w:val="single" w:sz="4" w:space="0" w:color="auto"/>
            </w:tcBorders>
            <w:shd w:val="clear" w:color="auto" w:fill="C0E3EA"/>
            <w:vAlign w:val="center"/>
          </w:tcPr>
          <w:p w:rsidR="00D02A78" w:rsidRPr="0059431B" w:rsidRDefault="00D02A78" w:rsidP="003C34B8">
            <w:pPr>
              <w:rPr>
                <w:noProof/>
                <w:kern w:val="32"/>
              </w:rPr>
            </w:pPr>
            <w:r>
              <w:rPr>
                <w:noProof/>
                <w:kern w:val="32"/>
              </w:rPr>
              <w:t>Yes</w:t>
            </w:r>
          </w:p>
        </w:tc>
        <w:tc>
          <w:tcPr>
            <w:tcW w:w="2238" w:type="dxa"/>
            <w:tcBorders>
              <w:bottom w:val="single" w:sz="4" w:space="0" w:color="auto"/>
            </w:tcBorders>
            <w:shd w:val="clear" w:color="auto" w:fill="C0E3EA"/>
            <w:vAlign w:val="center"/>
          </w:tcPr>
          <w:p w:rsidR="00D02A78" w:rsidRPr="0059431B" w:rsidRDefault="00D02A78" w:rsidP="003C34B8">
            <w:pPr>
              <w:rPr>
                <w:noProof/>
                <w:kern w:val="32"/>
              </w:rPr>
            </w:pPr>
            <w:r w:rsidRPr="0059431B">
              <w:rPr>
                <w:noProof/>
                <w:kern w:val="32"/>
              </w:rPr>
              <w:t>Yes, monthly ordering</w:t>
            </w:r>
          </w:p>
        </w:tc>
        <w:tc>
          <w:tcPr>
            <w:tcW w:w="2238" w:type="dxa"/>
            <w:tcBorders>
              <w:bottom w:val="single" w:sz="4" w:space="0" w:color="auto"/>
            </w:tcBorders>
            <w:shd w:val="clear" w:color="auto" w:fill="C0E3EA"/>
            <w:vAlign w:val="center"/>
          </w:tcPr>
          <w:p w:rsidR="00D02A78" w:rsidRPr="0059431B" w:rsidRDefault="00D02A78" w:rsidP="003C34B8">
            <w:pPr>
              <w:rPr>
                <w:noProof/>
                <w:kern w:val="32"/>
              </w:rPr>
            </w:pPr>
            <w:r w:rsidRPr="0059431B">
              <w:rPr>
                <w:noProof/>
                <w:kern w:val="32"/>
              </w:rPr>
              <w:t>No</w:t>
            </w:r>
          </w:p>
        </w:tc>
      </w:tr>
      <w:tr w:rsidR="00D02A78" w:rsidRPr="0059431B" w:rsidTr="003C34B8">
        <w:tc>
          <w:tcPr>
            <w:tcW w:w="2395" w:type="dxa"/>
            <w:tcBorders>
              <w:bottom w:val="single" w:sz="4" w:space="0" w:color="auto"/>
            </w:tcBorders>
            <w:shd w:val="clear" w:color="auto" w:fill="9DCACF"/>
            <w:vAlign w:val="center"/>
          </w:tcPr>
          <w:p w:rsidR="00D02A78" w:rsidRPr="0059431B" w:rsidRDefault="00D02A78" w:rsidP="003C34B8">
            <w:pPr>
              <w:rPr>
                <w:noProof/>
                <w:kern w:val="32"/>
              </w:rPr>
            </w:pPr>
            <w:r w:rsidRPr="0059431B">
              <w:rPr>
                <w:noProof/>
                <w:kern w:val="32"/>
              </w:rPr>
              <w:t>Online license management</w:t>
            </w:r>
          </w:p>
        </w:tc>
        <w:tc>
          <w:tcPr>
            <w:tcW w:w="2237" w:type="dxa"/>
            <w:tcBorders>
              <w:bottom w:val="single" w:sz="4" w:space="0" w:color="auto"/>
            </w:tcBorders>
            <w:shd w:val="clear" w:color="auto" w:fill="9DCACF"/>
            <w:vAlign w:val="center"/>
          </w:tcPr>
          <w:p w:rsidR="00D02A78" w:rsidRPr="0059431B" w:rsidRDefault="00D02A78" w:rsidP="003C34B8">
            <w:pPr>
              <w:rPr>
                <w:noProof/>
                <w:kern w:val="32"/>
              </w:rPr>
            </w:pPr>
            <w:r>
              <w:rPr>
                <w:noProof/>
                <w:kern w:val="32"/>
              </w:rPr>
              <w:t>Yes</w:t>
            </w:r>
          </w:p>
        </w:tc>
        <w:tc>
          <w:tcPr>
            <w:tcW w:w="2238" w:type="dxa"/>
            <w:tcBorders>
              <w:bottom w:val="single" w:sz="4" w:space="0" w:color="auto"/>
            </w:tcBorders>
            <w:shd w:val="clear" w:color="auto" w:fill="9DCACF"/>
            <w:vAlign w:val="center"/>
          </w:tcPr>
          <w:p w:rsidR="00D02A78" w:rsidRPr="0059431B" w:rsidRDefault="00D02A78" w:rsidP="003C34B8">
            <w:pPr>
              <w:rPr>
                <w:noProof/>
                <w:kern w:val="32"/>
              </w:rPr>
            </w:pPr>
            <w:r w:rsidRPr="0059431B">
              <w:rPr>
                <w:noProof/>
                <w:kern w:val="32"/>
              </w:rPr>
              <w:t>Yes</w:t>
            </w:r>
          </w:p>
        </w:tc>
        <w:tc>
          <w:tcPr>
            <w:tcW w:w="2238" w:type="dxa"/>
            <w:tcBorders>
              <w:bottom w:val="single" w:sz="4" w:space="0" w:color="auto"/>
            </w:tcBorders>
            <w:shd w:val="clear" w:color="auto" w:fill="9DCACF"/>
            <w:vAlign w:val="center"/>
          </w:tcPr>
          <w:p w:rsidR="00D02A78" w:rsidRPr="0059431B" w:rsidRDefault="00D02A78" w:rsidP="003C34B8">
            <w:pPr>
              <w:rPr>
                <w:noProof/>
                <w:kern w:val="32"/>
              </w:rPr>
            </w:pPr>
            <w:r w:rsidRPr="0059431B">
              <w:rPr>
                <w:noProof/>
                <w:kern w:val="32"/>
              </w:rPr>
              <w:t>Yes</w:t>
            </w:r>
          </w:p>
        </w:tc>
      </w:tr>
      <w:tr w:rsidR="00D02A78" w:rsidRPr="0059431B" w:rsidTr="003C34B8">
        <w:tc>
          <w:tcPr>
            <w:tcW w:w="2395" w:type="dxa"/>
            <w:tcBorders>
              <w:bottom w:val="single" w:sz="4" w:space="0" w:color="auto"/>
            </w:tcBorders>
            <w:shd w:val="clear" w:color="auto" w:fill="C0E3EA"/>
            <w:vAlign w:val="center"/>
          </w:tcPr>
          <w:p w:rsidR="00D02A78" w:rsidRPr="0059431B" w:rsidRDefault="00D02A78" w:rsidP="003C34B8">
            <w:pPr>
              <w:rPr>
                <w:noProof/>
                <w:kern w:val="32"/>
              </w:rPr>
            </w:pPr>
            <w:r w:rsidRPr="0059431B">
              <w:rPr>
                <w:noProof/>
                <w:kern w:val="32"/>
              </w:rPr>
              <w:t>Product media included</w:t>
            </w:r>
          </w:p>
        </w:tc>
        <w:tc>
          <w:tcPr>
            <w:tcW w:w="2237" w:type="dxa"/>
            <w:tcBorders>
              <w:bottom w:val="single" w:sz="4" w:space="0" w:color="auto"/>
            </w:tcBorders>
            <w:shd w:val="clear" w:color="auto" w:fill="C0E3EA"/>
          </w:tcPr>
          <w:p w:rsidR="00D02A78" w:rsidRPr="0059431B" w:rsidRDefault="00D02A78" w:rsidP="003C34B8">
            <w:pPr>
              <w:rPr>
                <w:noProof/>
                <w:kern w:val="32"/>
              </w:rPr>
            </w:pPr>
            <w:r w:rsidRPr="0059431B">
              <w:rPr>
                <w:noProof/>
                <w:kern w:val="32"/>
              </w:rPr>
              <w:t>Yes, also for new versions</w:t>
            </w:r>
          </w:p>
        </w:tc>
        <w:tc>
          <w:tcPr>
            <w:tcW w:w="2238" w:type="dxa"/>
            <w:tcBorders>
              <w:bottom w:val="single" w:sz="4" w:space="0" w:color="auto"/>
            </w:tcBorders>
            <w:shd w:val="clear" w:color="auto" w:fill="C0E3EA"/>
            <w:vAlign w:val="center"/>
          </w:tcPr>
          <w:p w:rsidR="00D02A78" w:rsidRPr="0059431B" w:rsidRDefault="00D02A78" w:rsidP="003C34B8">
            <w:pPr>
              <w:rPr>
                <w:noProof/>
                <w:kern w:val="32"/>
              </w:rPr>
            </w:pPr>
            <w:r w:rsidRPr="0059431B">
              <w:rPr>
                <w:noProof/>
                <w:kern w:val="32"/>
              </w:rPr>
              <w:t>Yes, also for new versions</w:t>
            </w:r>
          </w:p>
        </w:tc>
        <w:tc>
          <w:tcPr>
            <w:tcW w:w="2238" w:type="dxa"/>
            <w:tcBorders>
              <w:bottom w:val="single" w:sz="4" w:space="0" w:color="auto"/>
            </w:tcBorders>
            <w:shd w:val="clear" w:color="auto" w:fill="C0E3EA"/>
            <w:vAlign w:val="center"/>
          </w:tcPr>
          <w:p w:rsidR="00D02A78" w:rsidRPr="0059431B" w:rsidRDefault="00D02A78" w:rsidP="003C34B8">
            <w:pPr>
              <w:rPr>
                <w:noProof/>
                <w:kern w:val="32"/>
              </w:rPr>
            </w:pPr>
            <w:r w:rsidRPr="0059431B">
              <w:rPr>
                <w:noProof/>
                <w:kern w:val="32"/>
              </w:rPr>
              <w:t>No</w:t>
            </w:r>
          </w:p>
        </w:tc>
      </w:tr>
    </w:tbl>
    <w:p w:rsidR="00D02A78" w:rsidRPr="0059431B" w:rsidRDefault="00D02A78" w:rsidP="00D02A78">
      <w:pPr>
        <w:pStyle w:val="Heading2"/>
        <w:rPr>
          <w:noProof/>
          <w:kern w:val="32"/>
        </w:rPr>
      </w:pPr>
      <w:r w:rsidRPr="0059431B">
        <w:rPr>
          <w:noProof/>
          <w:kern w:val="32"/>
        </w:rPr>
        <w:t>Compare costs— first year and beyond</w:t>
      </w:r>
    </w:p>
    <w:p w:rsidR="00D02A78" w:rsidRPr="0059431B" w:rsidRDefault="00D02A78" w:rsidP="00D02A78">
      <w:pPr>
        <w:pStyle w:val="Heading2"/>
        <w:rPr>
          <w:noProof/>
          <w:kern w:val="32"/>
        </w:rPr>
        <w:sectPr w:rsidR="00D02A78" w:rsidRPr="0059431B" w:rsidSect="00F45589">
          <w:type w:val="continuous"/>
          <w:pgSz w:w="12240" w:h="15840"/>
          <w:pgMar w:top="1656" w:right="1800" w:bottom="1440" w:left="1440" w:header="720" w:footer="720" w:gutter="0"/>
          <w:cols w:space="720"/>
          <w:docGrid w:linePitch="360"/>
        </w:sectPr>
      </w:pPr>
    </w:p>
    <w:p w:rsidR="00D02A78" w:rsidRDefault="00D02A78" w:rsidP="00D02A78">
      <w:pPr>
        <w:spacing w:after="240"/>
        <w:rPr>
          <w:noProof/>
          <w:kern w:val="32"/>
        </w:rPr>
      </w:pPr>
      <w:r w:rsidRPr="0059431B">
        <w:rPr>
          <w:noProof/>
          <w:kern w:val="32"/>
        </w:rPr>
        <w:lastRenderedPageBreak/>
        <w:t>You can significantly reduce first-year costs with Open Value, as shown in the following graph.</w:t>
      </w:r>
    </w:p>
    <w:p w:rsidR="000760E5" w:rsidRDefault="00F834D2">
      <w:pPr>
        <w:spacing w:after="0"/>
        <w:rPr>
          <w:noProof/>
          <w:kern w:val="32"/>
        </w:rPr>
      </w:pPr>
      <w:r w:rsidRPr="00F834D2">
        <w:rPr>
          <w:noProof/>
          <w:kern w:val="32"/>
        </w:rPr>
        <w:drawing>
          <wp:inline distT="0" distB="0" distL="0" distR="0">
            <wp:extent cx="3932714" cy="1830388"/>
            <wp:effectExtent l="0" t="0" r="0" b="0"/>
            <wp:docPr id="6" name="Object 6"/>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3932714" cy="1830388"/>
                      <a:chOff x="1218406" y="2286000"/>
                      <a:chExt cx="3932714" cy="1830388"/>
                    </a:xfrm>
                  </a:grpSpPr>
                  <a:grpSp>
                    <a:nvGrpSpPr>
                      <a:cNvPr id="23" name="Group 22"/>
                      <a:cNvGrpSpPr/>
                    </a:nvGrpSpPr>
                    <a:grpSpPr>
                      <a:xfrm>
                        <a:off x="1218406" y="2286000"/>
                        <a:ext cx="3932714" cy="1830388"/>
                        <a:chOff x="1218406" y="2286000"/>
                        <a:chExt cx="3932714" cy="1830388"/>
                      </a:xfrm>
                    </a:grpSpPr>
                    <a:sp>
                      <a:nvSpPr>
                        <a:cNvPr id="6" name="Rectangle 5"/>
                        <a:cNvSpPr/>
                      </a:nvSpPr>
                      <a:spPr>
                        <a:xfrm>
                          <a:off x="1371600" y="2590800"/>
                          <a:ext cx="1143000" cy="381000"/>
                        </a:xfrm>
                        <a:prstGeom prst="rect">
                          <a:avLst/>
                        </a:prstGeom>
                        <a:solidFill>
                          <a:srgbClr val="FFC000"/>
                        </a:solidFill>
                        <a:ln>
                          <a:solidFill>
                            <a:srgbClr val="FFC000"/>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en-US" sz="1000" dirty="0" smtClean="0"/>
                              <a:t>Subscription Cost</a:t>
                            </a:r>
                            <a:endParaRPr lang="en-US" sz="1000" dirty="0"/>
                          </a:p>
                        </a:txBody>
                        <a:useSpRect/>
                      </a:txSp>
                      <a:style>
                        <a:lnRef idx="2">
                          <a:schemeClr val="accent1">
                            <a:shade val="50000"/>
                          </a:schemeClr>
                        </a:lnRef>
                        <a:fillRef idx="1">
                          <a:schemeClr val="accent1"/>
                        </a:fillRef>
                        <a:effectRef idx="0">
                          <a:schemeClr val="accent1"/>
                        </a:effectRef>
                        <a:fontRef idx="minor">
                          <a:schemeClr val="lt1"/>
                        </a:fontRef>
                      </a:style>
                    </a:sp>
                    <a:sp>
                      <a:nvSpPr>
                        <a:cNvPr id="7" name="Rectangle 6"/>
                        <a:cNvSpPr/>
                      </a:nvSpPr>
                      <a:spPr>
                        <a:xfrm>
                          <a:off x="1371600" y="3048000"/>
                          <a:ext cx="914400" cy="381000"/>
                        </a:xfrm>
                        <a:prstGeom prst="rect">
                          <a:avLst/>
                        </a:prstGeom>
                        <a:solidFill>
                          <a:schemeClr val="accent6">
                            <a:lumMod val="75000"/>
                          </a:schemeClr>
                        </a:solidFill>
                        <a:ln>
                          <a:solidFill>
                            <a:schemeClr val="accent6">
                              <a:lumMod val="75000"/>
                            </a:schemeClr>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en-US" sz="1000" dirty="0" smtClean="0"/>
                              <a:t>1/3 of License Costs</a:t>
                            </a:r>
                            <a:endParaRPr lang="en-US" sz="1000" dirty="0"/>
                          </a:p>
                        </a:txBody>
                        <a:useSpRect/>
                      </a:txSp>
                      <a:style>
                        <a:lnRef idx="2">
                          <a:schemeClr val="accent1">
                            <a:shade val="50000"/>
                          </a:schemeClr>
                        </a:lnRef>
                        <a:fillRef idx="1">
                          <a:schemeClr val="accent1"/>
                        </a:fillRef>
                        <a:effectRef idx="0">
                          <a:schemeClr val="accent1"/>
                        </a:effectRef>
                        <a:fontRef idx="minor">
                          <a:schemeClr val="lt1"/>
                        </a:fontRef>
                      </a:style>
                    </a:sp>
                    <a:sp>
                      <a:nvSpPr>
                        <a:cNvPr id="8" name="Rectangle 7"/>
                        <a:cNvSpPr/>
                      </a:nvSpPr>
                      <a:spPr>
                        <a:xfrm>
                          <a:off x="2286000" y="3048000"/>
                          <a:ext cx="838200" cy="381000"/>
                        </a:xfrm>
                        <a:prstGeom prst="rect">
                          <a:avLst/>
                        </a:prstGeom>
                        <a:solidFill>
                          <a:schemeClr val="tx2">
                            <a:lumMod val="40000"/>
                            <a:lumOff val="60000"/>
                          </a:schemeClr>
                        </a:solidFill>
                        <a:ln>
                          <a:solidFill>
                            <a:schemeClr val="tx2">
                              <a:lumMod val="40000"/>
                              <a:lumOff val="60000"/>
                            </a:schemeClr>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en-US" sz="1000" dirty="0" smtClean="0"/>
                              <a:t>Software Assurance</a:t>
                            </a:r>
                            <a:endParaRPr lang="en-US" sz="1000" dirty="0"/>
                          </a:p>
                        </a:txBody>
                        <a:useSpRect/>
                      </a:txSp>
                      <a:style>
                        <a:lnRef idx="2">
                          <a:schemeClr val="accent1">
                            <a:shade val="50000"/>
                          </a:schemeClr>
                        </a:lnRef>
                        <a:fillRef idx="1">
                          <a:schemeClr val="accent1"/>
                        </a:fillRef>
                        <a:effectRef idx="0">
                          <a:schemeClr val="accent1"/>
                        </a:effectRef>
                        <a:fontRef idx="minor">
                          <a:schemeClr val="lt1"/>
                        </a:fontRef>
                      </a:style>
                    </a:sp>
                    <a:sp>
                      <a:nvSpPr>
                        <a:cNvPr id="9" name="Rectangle 8"/>
                        <a:cNvSpPr/>
                      </a:nvSpPr>
                      <a:spPr>
                        <a:xfrm>
                          <a:off x="1371600" y="3505200"/>
                          <a:ext cx="2895600" cy="381000"/>
                        </a:xfrm>
                        <a:prstGeom prst="rect">
                          <a:avLst/>
                        </a:prstGeom>
                        <a:solidFill>
                          <a:schemeClr val="accent6">
                            <a:lumMod val="75000"/>
                          </a:schemeClr>
                        </a:solidFill>
                        <a:ln>
                          <a:solidFill>
                            <a:schemeClr val="accent6">
                              <a:lumMod val="75000"/>
                            </a:schemeClr>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en-US" sz="1000" dirty="0" smtClean="0"/>
                              <a:t>Full Up-Front Payment for Licenses</a:t>
                            </a:r>
                            <a:endParaRPr lang="en-US" sz="1000" dirty="0"/>
                          </a:p>
                        </a:txBody>
                        <a:useSpRect/>
                      </a:txSp>
                      <a:style>
                        <a:lnRef idx="2">
                          <a:schemeClr val="accent1">
                            <a:shade val="50000"/>
                          </a:schemeClr>
                        </a:lnRef>
                        <a:fillRef idx="1">
                          <a:schemeClr val="accent1"/>
                        </a:fillRef>
                        <a:effectRef idx="0">
                          <a:schemeClr val="accent1"/>
                        </a:effectRef>
                        <a:fontRef idx="minor">
                          <a:schemeClr val="lt1"/>
                        </a:fontRef>
                      </a:style>
                    </a:sp>
                    <a:sp>
                      <a:nvSpPr>
                        <a:cNvPr id="10" name="TextBox 9"/>
                        <a:cNvSpPr txBox="1"/>
                      </a:nvSpPr>
                      <a:spPr>
                        <a:xfrm>
                          <a:off x="2514600" y="2649379"/>
                          <a:ext cx="1465466" cy="246221"/>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000" dirty="0" smtClean="0">
                                <a:effectLst>
                                  <a:outerShdw blurRad="38100" dist="38100" dir="2700000" algn="tl">
                                    <a:srgbClr val="000000">
                                      <a:alpha val="43137"/>
                                    </a:srgbClr>
                                  </a:outerShdw>
                                </a:effectLst>
                              </a:rPr>
                              <a:t>Open Value Subscription</a:t>
                            </a:r>
                            <a:endParaRPr lang="en-US" sz="1000" dirty="0">
                              <a:effectLst>
                                <a:outerShdw blurRad="38100" dist="38100" dir="2700000" algn="tl">
                                  <a:srgbClr val="000000">
                                    <a:alpha val="43137"/>
                                  </a:srgbClr>
                                </a:outerShdw>
                              </a:effectLst>
                            </a:endParaRPr>
                          </a:p>
                        </a:txBody>
                        <a:useSpRect/>
                      </a:txSp>
                    </a:sp>
                    <a:sp>
                      <a:nvSpPr>
                        <a:cNvPr id="11" name="TextBox 10"/>
                        <a:cNvSpPr txBox="1"/>
                      </a:nvSpPr>
                      <a:spPr>
                        <a:xfrm>
                          <a:off x="3124200" y="3124200"/>
                          <a:ext cx="790601" cy="246221"/>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000" dirty="0" smtClean="0">
                                <a:effectLst>
                                  <a:outerShdw blurRad="38100" dist="38100" dir="2700000" algn="tl">
                                    <a:srgbClr val="000000">
                                      <a:alpha val="43137"/>
                                    </a:srgbClr>
                                  </a:outerShdw>
                                </a:effectLst>
                              </a:rPr>
                              <a:t>Open Value</a:t>
                            </a:r>
                            <a:endParaRPr lang="en-US" sz="1000" dirty="0">
                              <a:effectLst>
                                <a:outerShdw blurRad="38100" dist="38100" dir="2700000" algn="tl">
                                  <a:srgbClr val="000000">
                                    <a:alpha val="43137"/>
                                  </a:srgbClr>
                                </a:outerShdw>
                              </a:effectLst>
                            </a:endParaRPr>
                          </a:p>
                        </a:txBody>
                        <a:useSpRect/>
                      </a:txSp>
                    </a:sp>
                    <a:sp>
                      <a:nvSpPr>
                        <a:cNvPr id="12" name="TextBox 11"/>
                        <a:cNvSpPr txBox="1"/>
                      </a:nvSpPr>
                      <a:spPr>
                        <a:xfrm>
                          <a:off x="4267200" y="3581400"/>
                          <a:ext cx="880369" cy="246221"/>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000" dirty="0" smtClean="0">
                                <a:effectLst>
                                  <a:outerShdw blurRad="38100" dist="38100" dir="2700000" algn="tl">
                                    <a:srgbClr val="000000">
                                      <a:alpha val="43137"/>
                                    </a:srgbClr>
                                  </a:outerShdw>
                                </a:effectLst>
                              </a:rPr>
                              <a:t>Open License</a:t>
                            </a:r>
                            <a:endParaRPr lang="en-US" sz="1000" dirty="0">
                              <a:effectLst>
                                <a:outerShdw blurRad="38100" dist="38100" dir="2700000" algn="tl">
                                  <a:srgbClr val="000000">
                                    <a:alpha val="43137"/>
                                  </a:srgbClr>
                                </a:outerShdw>
                              </a:effectLst>
                            </a:endParaRPr>
                          </a:p>
                        </a:txBody>
                        <a:useSpRect/>
                      </a:txSp>
                    </a:sp>
                    <a:cxnSp>
                      <a:nvCxnSpPr>
                        <a:cNvPr id="17" name="Straight Connector 16"/>
                        <a:cNvCxnSpPr/>
                      </a:nvCxnSpPr>
                      <a:spPr>
                        <a:xfrm rot="5400000">
                          <a:off x="342106" y="3238500"/>
                          <a:ext cx="1753394" cy="794"/>
                        </a:xfrm>
                        <a:prstGeom prst="line">
                          <a:avLst/>
                        </a:prstGeom>
                      </a:spPr>
                      <a:style>
                        <a:lnRef idx="2">
                          <a:schemeClr val="dk1"/>
                        </a:lnRef>
                        <a:fillRef idx="0">
                          <a:schemeClr val="dk1"/>
                        </a:fillRef>
                        <a:effectRef idx="1">
                          <a:schemeClr val="dk1"/>
                        </a:effectRef>
                        <a:fontRef idx="minor">
                          <a:schemeClr val="tx1"/>
                        </a:fontRef>
                      </a:style>
                    </a:cxnSp>
                    <a:cxnSp>
                      <a:nvCxnSpPr>
                        <a:cNvPr id="19" name="Straight Connector 18"/>
                        <a:cNvCxnSpPr/>
                      </a:nvCxnSpPr>
                      <a:spPr>
                        <a:xfrm>
                          <a:off x="1219200" y="4114800"/>
                          <a:ext cx="3931920" cy="1588"/>
                        </a:xfrm>
                        <a:prstGeom prst="line">
                          <a:avLst/>
                        </a:prstGeom>
                      </a:spPr>
                      <a:style>
                        <a:lnRef idx="2">
                          <a:schemeClr val="dk1"/>
                        </a:lnRef>
                        <a:fillRef idx="0">
                          <a:schemeClr val="dk1"/>
                        </a:fillRef>
                        <a:effectRef idx="1">
                          <a:schemeClr val="dk1"/>
                        </a:effectRef>
                        <a:fontRef idx="minor">
                          <a:schemeClr val="tx1"/>
                        </a:fontRef>
                      </a:style>
                    </a:cxnSp>
                    <a:sp>
                      <a:nvSpPr>
                        <a:cNvPr id="21" name="TextBox 20"/>
                        <a:cNvSpPr txBox="1"/>
                      </a:nvSpPr>
                      <a:spPr>
                        <a:xfrm>
                          <a:off x="1219200" y="2286000"/>
                          <a:ext cx="1885453" cy="276999"/>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200" b="1" dirty="0" smtClean="0">
                                <a:effectLst>
                                  <a:outerShdw blurRad="38100" dist="38100" dir="2700000" algn="tl">
                                    <a:srgbClr val="000000">
                                      <a:alpha val="43137"/>
                                    </a:srgbClr>
                                  </a:outerShdw>
                                </a:effectLst>
                              </a:rPr>
                              <a:t>First Year Cost Comparison</a:t>
                            </a:r>
                            <a:endParaRPr lang="en-US" sz="1200" b="1" dirty="0">
                              <a:effectLst>
                                <a:outerShdw blurRad="38100" dist="38100" dir="2700000" algn="tl">
                                  <a:srgbClr val="000000">
                                    <a:alpha val="43137"/>
                                  </a:srgbClr>
                                </a:outerShdw>
                              </a:effectLst>
                            </a:endParaRPr>
                          </a:p>
                        </a:txBody>
                        <a:useSpRect/>
                      </a:txSp>
                    </a:sp>
                    <a:sp>
                      <a:nvSpPr>
                        <a:cNvPr id="22" name="Plus 21"/>
                        <a:cNvSpPr/>
                      </a:nvSpPr>
                      <a:spPr>
                        <a:xfrm>
                          <a:off x="2209800" y="3200400"/>
                          <a:ext cx="152400" cy="152400"/>
                        </a:xfrm>
                        <a:prstGeom prst="mathPlus">
                          <a:avLst/>
                        </a:prstGeom>
                        <a:solidFill>
                          <a:schemeClr val="bg1"/>
                        </a:solidFill>
                        <a:ln>
                          <a:solidFill>
                            <a:schemeClr val="bg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grpSp>
                </lc:lockedCanvas>
              </a:graphicData>
            </a:graphic>
          </wp:inline>
        </w:drawing>
      </w:r>
      <w:r w:rsidR="000760E5">
        <w:rPr>
          <w:noProof/>
          <w:kern w:val="32"/>
        </w:rPr>
        <w:br w:type="page"/>
      </w:r>
    </w:p>
    <w:p w:rsidR="00F834D2" w:rsidRPr="0059431B" w:rsidRDefault="00F834D2" w:rsidP="00F834D2">
      <w:pPr>
        <w:spacing w:after="240"/>
        <w:rPr>
          <w:noProof/>
          <w:kern w:val="32"/>
        </w:rPr>
      </w:pPr>
      <w:r w:rsidRPr="008226BD">
        <w:rPr>
          <w:noProof/>
          <w:kern w:val="32"/>
        </w:rPr>
        <w:lastRenderedPageBreak/>
        <w:t>You can significantly reduce first-year costs with Open Value. The following Lifetime Costs graph shows how costs compare within the Open Value program during the lifetime of the agreement. The graph assumes that the payments are spread throughout the agreement’s term. During the first three years, the total license cost is split between each year and is in addition to the annual cost of Software Assurance benefits. After the first three years, you own the licenses outright for the latest versions of the product. If you renew your agreement and Software Assurance benefits, you only pay the annual cost of Software Assurance and the cost to acquire any new licensed product.</w:t>
      </w:r>
    </w:p>
    <w:p w:rsidR="00F834D2" w:rsidRPr="0059431B" w:rsidRDefault="00F834D2" w:rsidP="00F834D2">
      <w:pPr>
        <w:rPr>
          <w:rFonts w:cs="Arial"/>
          <w:b/>
          <w:bCs/>
          <w:noProof/>
          <w:color w:val="4596D2"/>
          <w:kern w:val="32"/>
          <w:sz w:val="32"/>
          <w:szCs w:val="32"/>
        </w:rPr>
        <w:sectPr w:rsidR="00F834D2" w:rsidRPr="0059431B" w:rsidSect="00CB5828">
          <w:type w:val="continuous"/>
          <w:pgSz w:w="12240" w:h="15840"/>
          <w:pgMar w:top="1656" w:right="1800" w:bottom="1440" w:left="1440" w:header="720" w:footer="720" w:gutter="0"/>
          <w:cols w:space="720"/>
          <w:docGrid w:linePitch="360"/>
        </w:sectPr>
      </w:pPr>
    </w:p>
    <w:p w:rsidR="00D02A78" w:rsidRDefault="00D02A78" w:rsidP="00D02A78">
      <w:pPr>
        <w:rPr>
          <w:rFonts w:cs="Arial"/>
          <w:b/>
          <w:bCs/>
          <w:noProof/>
          <w:color w:val="4596D2"/>
          <w:kern w:val="32"/>
          <w:sz w:val="32"/>
          <w:szCs w:val="32"/>
        </w:rPr>
      </w:pPr>
      <w:r w:rsidRPr="0059431B">
        <w:rPr>
          <w:rFonts w:cs="Arial"/>
          <w:b/>
          <w:bCs/>
          <w:noProof/>
          <w:color w:val="4596D2"/>
          <w:kern w:val="32"/>
          <w:sz w:val="32"/>
          <w:szCs w:val="32"/>
        </w:rPr>
        <w:lastRenderedPageBreak/>
        <w:drawing>
          <wp:inline distT="0" distB="0" distL="0" distR="0">
            <wp:extent cx="4000500" cy="2143125"/>
            <wp:effectExtent l="0" t="0" r="0" b="0"/>
            <wp:docPr id="21" name="Picture 4" descr="OV lifetimeW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OV lifetimeWW"/>
                    <pic:cNvPicPr>
                      <a:picLocks noChangeAspect="1" noChangeArrowheads="1"/>
                    </pic:cNvPicPr>
                  </pic:nvPicPr>
                  <pic:blipFill>
                    <a:blip r:embed="rId15"/>
                    <a:srcRect b="22800"/>
                    <a:stretch>
                      <a:fillRect/>
                    </a:stretch>
                  </pic:blipFill>
                  <pic:spPr bwMode="auto">
                    <a:xfrm>
                      <a:off x="0" y="0"/>
                      <a:ext cx="4000500" cy="2143125"/>
                    </a:xfrm>
                    <a:prstGeom prst="rect">
                      <a:avLst/>
                    </a:prstGeom>
                    <a:noFill/>
                    <a:ln w="9525">
                      <a:noFill/>
                      <a:miter lim="800000"/>
                      <a:headEnd/>
                      <a:tailEnd/>
                    </a:ln>
                  </pic:spPr>
                </pic:pic>
              </a:graphicData>
            </a:graphic>
          </wp:inline>
        </w:drawing>
      </w:r>
    </w:p>
    <w:p w:rsidR="00D02A78" w:rsidRDefault="00D02A78" w:rsidP="00D02A78">
      <w:pPr>
        <w:rPr>
          <w:rFonts w:cs="Arial"/>
          <w:b/>
          <w:bCs/>
          <w:noProof/>
          <w:color w:val="4596D2"/>
          <w:kern w:val="32"/>
          <w:sz w:val="32"/>
          <w:szCs w:val="32"/>
        </w:rPr>
      </w:pPr>
      <w:r w:rsidRPr="0059431B">
        <w:rPr>
          <w:rFonts w:cs="Arial"/>
          <w:b/>
          <w:bCs/>
          <w:noProof/>
          <w:color w:val="4596D2"/>
          <w:kern w:val="32"/>
          <w:sz w:val="32"/>
          <w:szCs w:val="32"/>
        </w:rPr>
        <w:t>Ma</w:t>
      </w:r>
      <w:r>
        <w:rPr>
          <w:rFonts w:cs="Arial"/>
          <w:b/>
          <w:bCs/>
          <w:noProof/>
          <w:color w:val="4596D2"/>
          <w:kern w:val="32"/>
          <w:sz w:val="32"/>
          <w:szCs w:val="32"/>
        </w:rPr>
        <w:t>ximize</w:t>
      </w:r>
      <w:r w:rsidRPr="0059431B">
        <w:rPr>
          <w:rFonts w:cs="Arial"/>
          <w:b/>
          <w:bCs/>
          <w:noProof/>
          <w:color w:val="4596D2"/>
          <w:kern w:val="32"/>
          <w:sz w:val="32"/>
          <w:szCs w:val="32"/>
        </w:rPr>
        <w:t xml:space="preserve"> Value with Software Assurance</w:t>
      </w:r>
    </w:p>
    <w:p w:rsidR="00D02A78" w:rsidRDefault="00D02A78" w:rsidP="00D02A78">
      <w:pPr>
        <w:rPr>
          <w:noProof/>
          <w:kern w:val="32"/>
        </w:rPr>
      </w:pPr>
      <w:r w:rsidRPr="0059431B">
        <w:rPr>
          <w:noProof/>
          <w:kern w:val="32"/>
        </w:rPr>
        <w:t xml:space="preserve">Open Value includes Software Assurance, Microsoft’s comprehensive </w:t>
      </w:r>
      <w:r>
        <w:rPr>
          <w:noProof/>
          <w:kern w:val="32"/>
        </w:rPr>
        <w:t xml:space="preserve">offering </w:t>
      </w:r>
      <w:r w:rsidRPr="0059431B">
        <w:rPr>
          <w:noProof/>
          <w:kern w:val="32"/>
        </w:rPr>
        <w:t>that helps you get the most out of your software</w:t>
      </w:r>
      <w:r>
        <w:rPr>
          <w:noProof/>
          <w:kern w:val="32"/>
        </w:rPr>
        <w:t xml:space="preserve"> investment</w:t>
      </w:r>
      <w:r w:rsidRPr="0059431B">
        <w:rPr>
          <w:noProof/>
          <w:kern w:val="32"/>
        </w:rPr>
        <w:t>.</w:t>
      </w:r>
      <w:r w:rsidRPr="00F65C51">
        <w:rPr>
          <w:rFonts w:eastAsia="MS Mincho"/>
        </w:rPr>
        <w:t xml:space="preserve"> </w:t>
      </w:r>
      <w:r>
        <w:rPr>
          <w:noProof/>
          <w:kern w:val="32"/>
        </w:rPr>
        <w:t xml:space="preserve">More than just maintenance, Software Assurance is a complete solution that delivers both software and services to bring more value to your business. Software Assurance combines </w:t>
      </w:r>
      <w:r w:rsidRPr="00F65C51">
        <w:rPr>
          <w:noProof/>
          <w:kern w:val="32"/>
        </w:rPr>
        <w:t xml:space="preserve">a broad range of benefits including </w:t>
      </w:r>
      <w:r>
        <w:rPr>
          <w:noProof/>
          <w:kern w:val="32"/>
        </w:rPr>
        <w:t xml:space="preserve">rights to new software versions, </w:t>
      </w:r>
      <w:r w:rsidRPr="00F65C51">
        <w:rPr>
          <w:noProof/>
          <w:kern w:val="32"/>
        </w:rPr>
        <w:t>training, deployment services</w:t>
      </w:r>
      <w:r>
        <w:rPr>
          <w:noProof/>
          <w:kern w:val="32"/>
        </w:rPr>
        <w:t xml:space="preserve"> and support</w:t>
      </w:r>
      <w:r w:rsidRPr="00F65C51">
        <w:rPr>
          <w:noProof/>
          <w:kern w:val="32"/>
        </w:rPr>
        <w:t xml:space="preserve">. </w:t>
      </w:r>
      <w:r>
        <w:rPr>
          <w:noProof/>
          <w:kern w:val="32"/>
        </w:rPr>
        <w:t>B</w:t>
      </w:r>
      <w:r w:rsidRPr="00F65C51">
        <w:rPr>
          <w:noProof/>
          <w:kern w:val="32"/>
        </w:rPr>
        <w:t xml:space="preserve">enefits </w:t>
      </w:r>
      <w:r>
        <w:rPr>
          <w:noProof/>
          <w:kern w:val="32"/>
        </w:rPr>
        <w:t>cover all phases of the software lifecycle</w:t>
      </w:r>
      <w:r w:rsidR="007B021F" w:rsidRPr="007B021F">
        <w:rPr>
          <w:noProof/>
          <w:kern w:val="32"/>
        </w:rPr>
        <w:t>—</w:t>
      </w:r>
      <w:r>
        <w:rPr>
          <w:noProof/>
          <w:kern w:val="32"/>
        </w:rPr>
        <w:t>plan, deploy, use, maintain, and transition</w:t>
      </w:r>
      <w:r w:rsidR="007B021F">
        <w:rPr>
          <w:noProof/>
          <w:kern w:val="32"/>
        </w:rPr>
        <w:t>—</w:t>
      </w:r>
      <w:r>
        <w:rPr>
          <w:noProof/>
          <w:kern w:val="32"/>
        </w:rPr>
        <w:t xml:space="preserve">so you can get help when you need it. </w:t>
      </w:r>
      <w:r w:rsidRPr="0059431B">
        <w:rPr>
          <w:noProof/>
          <w:kern w:val="32"/>
        </w:rPr>
        <w:t xml:space="preserve">Access to </w:t>
      </w:r>
      <w:r>
        <w:rPr>
          <w:noProof/>
          <w:kern w:val="32"/>
        </w:rPr>
        <w:t xml:space="preserve">these </w:t>
      </w:r>
      <w:r w:rsidRPr="0059431B">
        <w:rPr>
          <w:noProof/>
          <w:kern w:val="32"/>
        </w:rPr>
        <w:t xml:space="preserve">valuable benefits </w:t>
      </w:r>
      <w:r>
        <w:rPr>
          <w:noProof/>
          <w:kern w:val="32"/>
        </w:rPr>
        <w:t>can help you manage costs, get the most out of new technologies, and improve employee and organizational productivity.</w:t>
      </w:r>
    </w:p>
    <w:p w:rsidR="00D02A78" w:rsidRPr="0059431B" w:rsidRDefault="00D02A78" w:rsidP="00D02A78">
      <w:pPr>
        <w:spacing w:before="240"/>
        <w:rPr>
          <w:noProof/>
          <w:kern w:val="32"/>
        </w:rPr>
      </w:pPr>
      <w:r w:rsidRPr="0059431B">
        <w:rPr>
          <w:noProof/>
          <w:kern w:val="32"/>
        </w:rPr>
        <w:t>Some of the many Software Assurance benefits are:</w:t>
      </w:r>
    </w:p>
    <w:p w:rsidR="00D02A78" w:rsidRDefault="00D02A78" w:rsidP="00D02A78">
      <w:pPr>
        <w:pStyle w:val="ListParagraph"/>
        <w:numPr>
          <w:ilvl w:val="0"/>
          <w:numId w:val="16"/>
        </w:numPr>
        <w:spacing w:before="120" w:after="120"/>
        <w:contextualSpacing w:val="0"/>
        <w:rPr>
          <w:noProof/>
          <w:kern w:val="32"/>
        </w:rPr>
      </w:pPr>
      <w:r w:rsidRPr="0059431B">
        <w:rPr>
          <w:noProof/>
          <w:kern w:val="32"/>
        </w:rPr>
        <w:t xml:space="preserve">New Version Rights </w:t>
      </w:r>
    </w:p>
    <w:p w:rsidR="00D02A78" w:rsidRPr="0059431B" w:rsidRDefault="00D02A78" w:rsidP="00D02A78">
      <w:pPr>
        <w:pStyle w:val="ListParagraph"/>
        <w:numPr>
          <w:ilvl w:val="0"/>
          <w:numId w:val="16"/>
        </w:numPr>
        <w:spacing w:before="60" w:after="120"/>
        <w:contextualSpacing w:val="0"/>
        <w:rPr>
          <w:noProof/>
          <w:kern w:val="32"/>
        </w:rPr>
      </w:pPr>
      <w:r>
        <w:rPr>
          <w:noProof/>
          <w:kern w:val="32"/>
        </w:rPr>
        <w:t>Packaged Services</w:t>
      </w:r>
    </w:p>
    <w:p w:rsidR="00D02A78" w:rsidRPr="0059431B" w:rsidRDefault="00D02A78" w:rsidP="00D02A78">
      <w:pPr>
        <w:pStyle w:val="ListParagraph"/>
        <w:numPr>
          <w:ilvl w:val="0"/>
          <w:numId w:val="15"/>
        </w:numPr>
        <w:spacing w:before="60" w:after="120"/>
        <w:contextualSpacing w:val="0"/>
        <w:rPr>
          <w:noProof/>
          <w:kern w:val="32"/>
        </w:rPr>
      </w:pPr>
      <w:r w:rsidRPr="0059431B">
        <w:rPr>
          <w:noProof/>
          <w:kern w:val="32"/>
        </w:rPr>
        <w:t>Windows Vista Enterprise</w:t>
      </w:r>
    </w:p>
    <w:p w:rsidR="00D02A78" w:rsidRPr="0059431B" w:rsidRDefault="00D02A78" w:rsidP="00D02A78">
      <w:pPr>
        <w:pStyle w:val="ListParagraph"/>
        <w:numPr>
          <w:ilvl w:val="0"/>
          <w:numId w:val="15"/>
        </w:numPr>
        <w:spacing w:before="60"/>
        <w:contextualSpacing w:val="0"/>
        <w:rPr>
          <w:noProof/>
          <w:kern w:val="32"/>
        </w:rPr>
      </w:pPr>
      <w:r w:rsidRPr="0059431B">
        <w:rPr>
          <w:noProof/>
          <w:kern w:val="32"/>
        </w:rPr>
        <w:t>Training Vouchers</w:t>
      </w:r>
    </w:p>
    <w:p w:rsidR="00D02A78" w:rsidRPr="0059431B" w:rsidRDefault="00D02A78" w:rsidP="00D02A78">
      <w:pPr>
        <w:pStyle w:val="ListParagraph"/>
        <w:numPr>
          <w:ilvl w:val="0"/>
          <w:numId w:val="15"/>
        </w:numPr>
        <w:spacing w:before="60" w:after="120"/>
        <w:contextualSpacing w:val="0"/>
        <w:rPr>
          <w:noProof/>
          <w:kern w:val="32"/>
        </w:rPr>
      </w:pPr>
      <w:r w:rsidRPr="0059431B">
        <w:rPr>
          <w:noProof/>
          <w:kern w:val="32"/>
        </w:rPr>
        <w:t xml:space="preserve">E-Learning </w:t>
      </w:r>
    </w:p>
    <w:p w:rsidR="00D02A78" w:rsidRPr="0059431B" w:rsidRDefault="00D02A78" w:rsidP="00D02A78">
      <w:pPr>
        <w:pStyle w:val="ListParagraph"/>
        <w:numPr>
          <w:ilvl w:val="0"/>
          <w:numId w:val="15"/>
        </w:numPr>
        <w:spacing w:before="60" w:after="120"/>
        <w:contextualSpacing w:val="0"/>
        <w:rPr>
          <w:noProof/>
          <w:kern w:val="32"/>
        </w:rPr>
      </w:pPr>
      <w:r w:rsidRPr="0059431B">
        <w:rPr>
          <w:noProof/>
          <w:kern w:val="32"/>
        </w:rPr>
        <w:t>Home Use Program</w:t>
      </w:r>
    </w:p>
    <w:p w:rsidR="000760E5" w:rsidRPr="00520F1A" w:rsidRDefault="00D02A78" w:rsidP="00520F1A">
      <w:pPr>
        <w:pStyle w:val="ListParagraph"/>
        <w:numPr>
          <w:ilvl w:val="0"/>
          <w:numId w:val="15"/>
        </w:numPr>
        <w:spacing w:before="60" w:after="120"/>
        <w:contextualSpacing w:val="0"/>
        <w:rPr>
          <w:noProof/>
          <w:kern w:val="32"/>
        </w:rPr>
      </w:pPr>
      <w:r w:rsidRPr="00520F1A">
        <w:rPr>
          <w:noProof/>
          <w:kern w:val="32"/>
        </w:rPr>
        <w:t>2</w:t>
      </w:r>
      <w:r w:rsidR="000B7C05">
        <w:rPr>
          <w:noProof/>
          <w:kern w:val="32"/>
        </w:rPr>
        <w:t>4x</w:t>
      </w:r>
      <w:r w:rsidRPr="00520F1A">
        <w:rPr>
          <w:noProof/>
          <w:kern w:val="32"/>
        </w:rPr>
        <w:t>7 Problem Resolution Support</w:t>
      </w:r>
      <w:r w:rsidR="000760E5" w:rsidRPr="00520F1A">
        <w:rPr>
          <w:noProof/>
          <w:kern w:val="32"/>
        </w:rPr>
        <w:br w:type="page"/>
      </w:r>
    </w:p>
    <w:p w:rsidR="00D02A78" w:rsidRPr="0059431B" w:rsidRDefault="00D02A78" w:rsidP="00D02A78">
      <w:pPr>
        <w:spacing w:before="240"/>
        <w:rPr>
          <w:rFonts w:cs="Arial"/>
          <w:b/>
          <w:bCs/>
          <w:noProof/>
          <w:color w:val="4596D2"/>
          <w:kern w:val="32"/>
          <w:sz w:val="32"/>
          <w:szCs w:val="32"/>
        </w:rPr>
      </w:pPr>
      <w:r w:rsidRPr="0059431B">
        <w:rPr>
          <w:rFonts w:cs="Arial"/>
          <w:b/>
          <w:bCs/>
          <w:noProof/>
          <w:color w:val="4596D2"/>
          <w:kern w:val="32"/>
          <w:sz w:val="32"/>
          <w:szCs w:val="32"/>
        </w:rPr>
        <w:lastRenderedPageBreak/>
        <w:t>Manage Licenses with Microsoft Volume License Services</w:t>
      </w:r>
    </w:p>
    <w:p w:rsidR="00D02A78" w:rsidRPr="0059431B" w:rsidRDefault="00D02A78" w:rsidP="00D02A78">
      <w:pPr>
        <w:rPr>
          <w:noProof/>
          <w:kern w:val="32"/>
          <w:szCs w:val="22"/>
        </w:rPr>
      </w:pPr>
      <w:r w:rsidRPr="0059431B">
        <w:rPr>
          <w:noProof/>
          <w:kern w:val="32"/>
          <w:szCs w:val="22"/>
        </w:rPr>
        <w:t xml:space="preserve">Online tracking through Microsoft Volume License Services (MVLS) can help make managing your licenses easier. The MVLS license management tool is a password-protected Web site that lets you </w:t>
      </w:r>
      <w:r>
        <w:rPr>
          <w:noProof/>
          <w:kern w:val="32"/>
          <w:szCs w:val="22"/>
        </w:rPr>
        <w:t xml:space="preserve">download licensed products, </w:t>
      </w:r>
      <w:r w:rsidRPr="0059431B">
        <w:rPr>
          <w:noProof/>
          <w:kern w:val="32"/>
          <w:szCs w:val="22"/>
        </w:rPr>
        <w:t xml:space="preserve">view your license agreements and status, online records, Software Assurance benefits, and other license information. You can access the MVLS site at: </w:t>
      </w:r>
      <w:hyperlink r:id="rId16" w:history="1">
        <w:r w:rsidRPr="0059431B">
          <w:rPr>
            <w:rStyle w:val="Hyperlink"/>
            <w:rFonts w:cs="Arial"/>
            <w:b/>
            <w:bCs/>
            <w:noProof/>
            <w:kern w:val="32"/>
            <w:szCs w:val="22"/>
          </w:rPr>
          <w:t>http://licensing.microsoft.com</w:t>
        </w:r>
      </w:hyperlink>
      <w:r w:rsidRPr="0059431B">
        <w:rPr>
          <w:noProof/>
          <w:kern w:val="32"/>
          <w:szCs w:val="22"/>
        </w:rPr>
        <w:t>/. You will need a Windows Live™ ID to access the site.</w:t>
      </w:r>
    </w:p>
    <w:p w:rsidR="00D02A78" w:rsidRPr="0059431B" w:rsidRDefault="00D02A78" w:rsidP="00D02A78">
      <w:pPr>
        <w:spacing w:before="240"/>
        <w:rPr>
          <w:rFonts w:cs="Arial"/>
          <w:b/>
          <w:bCs/>
          <w:noProof/>
          <w:color w:val="4596D2"/>
          <w:kern w:val="32"/>
          <w:sz w:val="32"/>
          <w:szCs w:val="32"/>
        </w:rPr>
      </w:pPr>
      <w:r w:rsidRPr="0059431B">
        <w:rPr>
          <w:rFonts w:cs="Arial"/>
          <w:b/>
          <w:bCs/>
          <w:noProof/>
          <w:color w:val="4596D2"/>
          <w:kern w:val="32"/>
          <w:sz w:val="32"/>
          <w:szCs w:val="32"/>
        </w:rPr>
        <w:t>Additional Resources</w:t>
      </w:r>
    </w:p>
    <w:p w:rsidR="00D02A78" w:rsidRPr="00077856" w:rsidRDefault="00D02A78" w:rsidP="00D02A78">
      <w:pPr>
        <w:spacing w:after="240"/>
        <w:rPr>
          <w:noProof/>
          <w:kern w:val="32"/>
          <w:szCs w:val="22"/>
          <w:u w:val="single"/>
        </w:rPr>
      </w:pPr>
      <w:r w:rsidRPr="00077856">
        <w:rPr>
          <w:noProof/>
          <w:kern w:val="32"/>
        </w:rPr>
        <w:t xml:space="preserve">Microsoft Volume Licensing Programs: </w:t>
      </w:r>
      <w:hyperlink r:id="rId17" w:history="1">
        <w:r w:rsidRPr="00077856">
          <w:rPr>
            <w:rStyle w:val="Hyperlink"/>
            <w:rFonts w:cs="Arial"/>
            <w:bCs/>
            <w:noProof/>
            <w:kern w:val="32"/>
            <w:szCs w:val="22"/>
          </w:rPr>
          <w:t>http://www.microsoft.com/licensing</w:t>
        </w:r>
      </w:hyperlink>
      <w:r w:rsidRPr="00077856">
        <w:rPr>
          <w:noProof/>
          <w:kern w:val="32"/>
          <w:szCs w:val="22"/>
        </w:rPr>
        <w:t>/</w:t>
      </w:r>
    </w:p>
    <w:p w:rsidR="00D02A78" w:rsidRPr="00077856" w:rsidRDefault="00D02A78" w:rsidP="00D02A78">
      <w:pPr>
        <w:spacing w:after="240"/>
        <w:rPr>
          <w:noProof/>
          <w:kern w:val="32"/>
          <w:szCs w:val="22"/>
          <w:u w:val="single"/>
        </w:rPr>
      </w:pPr>
      <w:r w:rsidRPr="0059431B">
        <w:rPr>
          <w:noProof/>
          <w:kern w:val="32"/>
        </w:rPr>
        <w:t xml:space="preserve">Microsoft Open Value: </w:t>
      </w:r>
      <w:hyperlink r:id="rId18" w:history="1">
        <w:r w:rsidRPr="00077856">
          <w:rPr>
            <w:rStyle w:val="Hyperlink"/>
            <w:rFonts w:cs="Arial"/>
            <w:bCs/>
            <w:noProof/>
            <w:kern w:val="32"/>
            <w:szCs w:val="22"/>
          </w:rPr>
          <w:t>http://www.microsoft.com/licensing/programs/open/openvalue.mspx</w:t>
        </w:r>
      </w:hyperlink>
      <w:r w:rsidRPr="00077856">
        <w:rPr>
          <w:noProof/>
          <w:kern w:val="32"/>
          <w:szCs w:val="22"/>
          <w:u w:val="single"/>
        </w:rPr>
        <w:t xml:space="preserve"> </w:t>
      </w:r>
    </w:p>
    <w:p w:rsidR="00D02A78" w:rsidRPr="00077856" w:rsidRDefault="00D02A78" w:rsidP="00D02A78">
      <w:pPr>
        <w:rPr>
          <w:noProof/>
          <w:kern w:val="32"/>
          <w:szCs w:val="22"/>
          <w:u w:val="single"/>
        </w:rPr>
      </w:pPr>
      <w:r>
        <w:rPr>
          <w:noProof/>
          <w:kern w:val="32"/>
          <w:szCs w:val="22"/>
        </w:rPr>
        <w:t xml:space="preserve">Microsoft </w:t>
      </w:r>
      <w:r w:rsidRPr="00077856">
        <w:rPr>
          <w:noProof/>
          <w:kern w:val="32"/>
          <w:szCs w:val="22"/>
        </w:rPr>
        <w:t>Software Assurance</w:t>
      </w:r>
      <w:r>
        <w:rPr>
          <w:noProof/>
          <w:kern w:val="32"/>
          <w:szCs w:val="22"/>
        </w:rPr>
        <w:t xml:space="preserve"> for Volume Licensing</w:t>
      </w:r>
      <w:r w:rsidRPr="00077856">
        <w:rPr>
          <w:noProof/>
          <w:kern w:val="32"/>
          <w:szCs w:val="22"/>
        </w:rPr>
        <w:t xml:space="preserve">: </w:t>
      </w:r>
      <w:hyperlink r:id="rId19" w:history="1">
        <w:r w:rsidRPr="00077856">
          <w:rPr>
            <w:rStyle w:val="Hyperlink"/>
            <w:rFonts w:cs="Arial"/>
            <w:bCs/>
            <w:noProof/>
            <w:kern w:val="32"/>
            <w:szCs w:val="22"/>
          </w:rPr>
          <w:t>http://www.microsoft.com/licensing/sa/</w:t>
        </w:r>
      </w:hyperlink>
      <w:r w:rsidRPr="00077856">
        <w:rPr>
          <w:noProof/>
          <w:kern w:val="32"/>
          <w:szCs w:val="22"/>
        </w:rPr>
        <w:t xml:space="preserve"> </w:t>
      </w:r>
    </w:p>
    <w:p w:rsidR="00D02A78" w:rsidRPr="0059431B" w:rsidRDefault="00D02A78" w:rsidP="00D02A78">
      <w:pPr>
        <w:rPr>
          <w:noProof/>
          <w:kern w:val="32"/>
          <w:szCs w:val="22"/>
        </w:rPr>
      </w:pPr>
    </w:p>
    <w:p w:rsidR="00D02A78" w:rsidRDefault="00D02A78" w:rsidP="00D02A78">
      <w:pPr>
        <w:spacing w:after="80" w:line="221" w:lineRule="auto"/>
        <w:rPr>
          <w:sz w:val="16"/>
          <w:szCs w:val="16"/>
        </w:rPr>
      </w:pPr>
    </w:p>
    <w:p w:rsidR="000760E5" w:rsidRDefault="000760E5" w:rsidP="00D02A78">
      <w:pPr>
        <w:spacing w:after="80" w:line="221" w:lineRule="auto"/>
        <w:rPr>
          <w:sz w:val="16"/>
          <w:szCs w:val="16"/>
        </w:rPr>
      </w:pPr>
    </w:p>
    <w:p w:rsidR="000760E5" w:rsidRDefault="000760E5" w:rsidP="00D02A78">
      <w:pPr>
        <w:spacing w:after="80" w:line="221" w:lineRule="auto"/>
        <w:rPr>
          <w:sz w:val="16"/>
          <w:szCs w:val="16"/>
        </w:rPr>
      </w:pPr>
    </w:p>
    <w:p w:rsidR="000760E5" w:rsidRDefault="000760E5" w:rsidP="00D02A78">
      <w:pPr>
        <w:spacing w:after="80" w:line="221" w:lineRule="auto"/>
        <w:rPr>
          <w:sz w:val="16"/>
          <w:szCs w:val="16"/>
        </w:rPr>
      </w:pPr>
    </w:p>
    <w:p w:rsidR="000760E5" w:rsidRDefault="000760E5" w:rsidP="00D02A78">
      <w:pPr>
        <w:spacing w:after="80" w:line="221" w:lineRule="auto"/>
        <w:rPr>
          <w:sz w:val="16"/>
          <w:szCs w:val="16"/>
        </w:rPr>
      </w:pPr>
    </w:p>
    <w:p w:rsidR="000760E5" w:rsidRDefault="00C954D5" w:rsidP="00D02A78">
      <w:pPr>
        <w:spacing w:after="80" w:line="221" w:lineRule="auto"/>
        <w:rPr>
          <w:sz w:val="16"/>
          <w:szCs w:val="16"/>
        </w:rPr>
      </w:pPr>
      <w:r>
        <w:rPr>
          <w:sz w:val="16"/>
          <w:szCs w:val="16"/>
        </w:rPr>
        <w:t>© 2008 Microsoft Corporation</w:t>
      </w:r>
    </w:p>
    <w:p w:rsidR="000760E5" w:rsidRDefault="000760E5" w:rsidP="00D02A78">
      <w:pPr>
        <w:spacing w:after="80" w:line="221" w:lineRule="auto"/>
        <w:rPr>
          <w:sz w:val="16"/>
          <w:szCs w:val="16"/>
        </w:rPr>
      </w:pPr>
    </w:p>
    <w:p w:rsidR="00D02A78" w:rsidRPr="00F75B8E" w:rsidRDefault="00D02A78" w:rsidP="00D02A78">
      <w:pPr>
        <w:spacing w:after="80" w:line="221" w:lineRule="auto"/>
        <w:rPr>
          <w:sz w:val="16"/>
          <w:szCs w:val="16"/>
        </w:rPr>
      </w:pPr>
      <w:r w:rsidRPr="00F75B8E">
        <w:rPr>
          <w:sz w:val="16"/>
          <w:szCs w:val="16"/>
        </w:rPr>
        <w:t>This document is for informational purposes only. MICROSOFT MAKES NO WARRANTIES, EXPRESS OR IMPLIED, IN THIS SUMMARY.</w:t>
      </w:r>
    </w:p>
    <w:p w:rsidR="00D02A78" w:rsidRPr="00F75B8E" w:rsidRDefault="00D02A78" w:rsidP="00D02A78">
      <w:pPr>
        <w:spacing w:after="80" w:line="221" w:lineRule="auto"/>
        <w:rPr>
          <w:sz w:val="16"/>
          <w:szCs w:val="16"/>
        </w:rPr>
      </w:pPr>
      <w:r w:rsidRPr="00F75B8E">
        <w:rPr>
          <w:sz w:val="16"/>
          <w:szCs w:val="16"/>
        </w:rPr>
        <w:t>Microsoft provides this material solely for informational and marketing purposes. Customers should refer to their agreements for a full understanding of their rights and obligations under Microsoft’s Volume Licensing programs. Microsoft software is licensed not sold. The value and benefit gained through use of Microsoft software and services may vary by customer. Customers with questions about differences between this material and the agreements should contact their reseller or Microsoft account manager.</w:t>
      </w:r>
    </w:p>
    <w:p w:rsidR="00D02A78" w:rsidRDefault="00D02A78" w:rsidP="00D02A78">
      <w:pPr>
        <w:spacing w:after="80" w:line="221" w:lineRule="auto"/>
        <w:rPr>
          <w:sz w:val="16"/>
          <w:szCs w:val="16"/>
        </w:rPr>
      </w:pPr>
      <w:r w:rsidRPr="00F75B8E">
        <w:rPr>
          <w:sz w:val="16"/>
          <w:szCs w:val="16"/>
        </w:rPr>
        <w:t xml:space="preserve">The contents of this guide are subject to change. Please contact your Microsoft account manager or </w:t>
      </w:r>
      <w:r>
        <w:rPr>
          <w:sz w:val="16"/>
          <w:szCs w:val="16"/>
        </w:rPr>
        <w:t>Reseller</w:t>
      </w:r>
      <w:r w:rsidRPr="00F75B8E">
        <w:rPr>
          <w:sz w:val="16"/>
          <w:szCs w:val="16"/>
        </w:rPr>
        <w:t xml:space="preserve"> for the most current version of this guide</w:t>
      </w:r>
      <w:r>
        <w:rPr>
          <w:sz w:val="16"/>
          <w:szCs w:val="16"/>
        </w:rPr>
        <w:t>.</w:t>
      </w:r>
    </w:p>
    <w:p w:rsidR="00C954D5" w:rsidRDefault="00C954D5" w:rsidP="00D02A78">
      <w:pPr>
        <w:spacing w:after="80" w:line="221" w:lineRule="auto"/>
        <w:rPr>
          <w:sz w:val="16"/>
          <w:szCs w:val="16"/>
        </w:rPr>
      </w:pPr>
    </w:p>
    <w:p w:rsidR="00C954D5" w:rsidRDefault="00C954D5" w:rsidP="00D02A78">
      <w:pPr>
        <w:spacing w:after="80" w:line="221" w:lineRule="auto"/>
        <w:rPr>
          <w:sz w:val="16"/>
          <w:szCs w:val="16"/>
        </w:rPr>
      </w:pPr>
      <w:r>
        <w:rPr>
          <w:sz w:val="16"/>
          <w:szCs w:val="16"/>
        </w:rPr>
        <w:t>0908</w:t>
      </w:r>
    </w:p>
    <w:p w:rsidR="00420F10" w:rsidRPr="00420F10" w:rsidRDefault="00D02A78" w:rsidP="00D02A78">
      <w:pPr>
        <w:jc w:val="right"/>
      </w:pPr>
      <w:r w:rsidRPr="0059431B">
        <w:rPr>
          <w:rFonts w:cs="Arial"/>
          <w:b/>
          <w:bCs/>
          <w:noProof/>
          <w:color w:val="4596D2"/>
          <w:kern w:val="32"/>
          <w:sz w:val="32"/>
          <w:szCs w:val="32"/>
        </w:rPr>
        <w:drawing>
          <wp:inline distT="0" distB="0" distL="0" distR="0">
            <wp:extent cx="1828800" cy="695325"/>
            <wp:effectExtent l="19050" t="0" r="0" b="0"/>
            <wp:docPr id="22" name="Picture 5" descr="Microsoft_corp_logo_bl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icrosoft_corp_logo_blk"/>
                    <pic:cNvPicPr>
                      <a:picLocks noChangeAspect="1" noChangeArrowheads="1"/>
                    </pic:cNvPicPr>
                  </pic:nvPicPr>
                  <pic:blipFill>
                    <a:blip r:embed="rId20" cstate="print"/>
                    <a:srcRect/>
                    <a:stretch>
                      <a:fillRect/>
                    </a:stretch>
                  </pic:blipFill>
                  <pic:spPr bwMode="auto">
                    <a:xfrm>
                      <a:off x="0" y="0"/>
                      <a:ext cx="1828800" cy="695325"/>
                    </a:xfrm>
                    <a:prstGeom prst="rect">
                      <a:avLst/>
                    </a:prstGeom>
                    <a:noFill/>
                    <a:ln w="9525">
                      <a:noFill/>
                      <a:miter lim="800000"/>
                      <a:headEnd/>
                      <a:tailEnd/>
                    </a:ln>
                  </pic:spPr>
                </pic:pic>
              </a:graphicData>
            </a:graphic>
          </wp:inline>
        </w:drawing>
      </w:r>
    </w:p>
    <w:sectPr w:rsidR="00420F10" w:rsidRPr="00420F10" w:rsidSect="00B303D3">
      <w:headerReference w:type="default" r:id="rId21"/>
      <w:footerReference w:type="default" r:id="rId22"/>
      <w:headerReference w:type="first" r:id="rId23"/>
      <w:footerReference w:type="first" r:id="rId24"/>
      <w:type w:val="continuous"/>
      <w:pgSz w:w="12240" w:h="15840"/>
      <w:pgMar w:top="1440" w:right="1440" w:bottom="1440" w:left="1440" w:header="432" w:footer="619"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52B8E" w:rsidRDefault="00A52B8E">
      <w:r>
        <w:separator/>
      </w:r>
    </w:p>
  </w:endnote>
  <w:endnote w:type="continuationSeparator" w:id="1">
    <w:p w:rsidR="00A52B8E" w:rsidRDefault="00A52B8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erkeley">
    <w:altName w:val="Courier New"/>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A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0D33" w:rsidRDefault="00C50D3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2A78" w:rsidRDefault="005D1646">
    <w:pPr>
      <w:pStyle w:val="Footer"/>
    </w:pPr>
    <w:r>
      <w:rPr>
        <w:rStyle w:val="PageNumber"/>
      </w:rPr>
      <w:fldChar w:fldCharType="begin"/>
    </w:r>
    <w:r w:rsidR="00D02A78">
      <w:rPr>
        <w:rStyle w:val="PageNumber"/>
      </w:rPr>
      <w:instrText xml:space="preserve"> PAGE </w:instrText>
    </w:r>
    <w:r>
      <w:rPr>
        <w:rStyle w:val="PageNumber"/>
      </w:rPr>
      <w:fldChar w:fldCharType="separate"/>
    </w:r>
    <w:r w:rsidR="00C50D33">
      <w:rPr>
        <w:rStyle w:val="PageNumber"/>
        <w:noProof/>
      </w:rPr>
      <w:t>6</w:t>
    </w:r>
    <w:r>
      <w:rPr>
        <w:rStyle w:val="PageNumber"/>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0D33" w:rsidRDefault="00C50D33">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5B4B" w:rsidRPr="00BB5AE2" w:rsidRDefault="00FB0013" w:rsidP="00BB5AE2">
    <w:pPr>
      <w:pStyle w:val="Footer"/>
      <w:tabs>
        <w:tab w:val="clear" w:pos="4320"/>
        <w:tab w:val="clear" w:pos="8640"/>
        <w:tab w:val="right" w:pos="9360"/>
      </w:tabs>
      <w:rPr>
        <w:color w:val="808080" w:themeColor="background1" w:themeShade="80"/>
        <w:szCs w:val="18"/>
      </w:rPr>
    </w:pPr>
    <w:r>
      <w:rPr>
        <w:noProof/>
        <w:color w:val="808080" w:themeColor="background1" w:themeShade="80"/>
        <w:szCs w:val="18"/>
      </w:rPr>
      <w:drawing>
        <wp:anchor distT="0" distB="0" distL="114300" distR="114300" simplePos="0" relativeHeight="251659776" behindDoc="1" locked="0" layoutInCell="1" allowOverlap="1">
          <wp:simplePos x="0" y="0"/>
          <wp:positionH relativeFrom="column">
            <wp:posOffset>-914400</wp:posOffset>
          </wp:positionH>
          <wp:positionV relativeFrom="paragraph">
            <wp:posOffset>238760</wp:posOffset>
          </wp:positionV>
          <wp:extent cx="7772400" cy="361950"/>
          <wp:effectExtent l="19050" t="0" r="0" b="0"/>
          <wp:wrapNone/>
          <wp:docPr id="5" name="Picture 3" descr="Customer_DataSheet_Foot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ustomer_DataSheet_Footer.png"/>
                  <pic:cNvPicPr/>
                </pic:nvPicPr>
                <pic:blipFill>
                  <a:blip r:embed="rId1"/>
                  <a:stretch>
                    <a:fillRect/>
                  </a:stretch>
                </pic:blipFill>
                <pic:spPr>
                  <a:xfrm>
                    <a:off x="0" y="0"/>
                    <a:ext cx="7772400" cy="361950"/>
                  </a:xfrm>
                  <a:prstGeom prst="rect">
                    <a:avLst/>
                  </a:prstGeom>
                </pic:spPr>
              </pic:pic>
            </a:graphicData>
          </a:graphic>
        </wp:anchor>
      </w:drawing>
    </w:r>
    <w:r w:rsidR="005D1646" w:rsidRPr="00BB5AE2">
      <w:rPr>
        <w:rStyle w:val="PageNumber"/>
        <w:color w:val="808080" w:themeColor="background1" w:themeShade="80"/>
        <w:sz w:val="18"/>
        <w:szCs w:val="18"/>
      </w:rPr>
      <w:fldChar w:fldCharType="begin"/>
    </w:r>
    <w:r w:rsidR="008F1618" w:rsidRPr="00BB5AE2">
      <w:rPr>
        <w:rStyle w:val="PageNumber"/>
        <w:color w:val="808080" w:themeColor="background1" w:themeShade="80"/>
        <w:sz w:val="18"/>
        <w:szCs w:val="18"/>
      </w:rPr>
      <w:instrText xml:space="preserve"> PAGE </w:instrText>
    </w:r>
    <w:r w:rsidR="005D1646" w:rsidRPr="00BB5AE2">
      <w:rPr>
        <w:rStyle w:val="PageNumber"/>
        <w:color w:val="808080" w:themeColor="background1" w:themeShade="80"/>
        <w:sz w:val="18"/>
        <w:szCs w:val="18"/>
      </w:rPr>
      <w:fldChar w:fldCharType="separate"/>
    </w:r>
    <w:r w:rsidR="00C50D33">
      <w:rPr>
        <w:rStyle w:val="PageNumber"/>
        <w:noProof/>
        <w:color w:val="808080" w:themeColor="background1" w:themeShade="80"/>
        <w:sz w:val="18"/>
        <w:szCs w:val="18"/>
      </w:rPr>
      <w:t>7</w:t>
    </w:r>
    <w:r w:rsidR="005D1646" w:rsidRPr="00BB5AE2">
      <w:rPr>
        <w:rStyle w:val="PageNumber"/>
        <w:color w:val="808080" w:themeColor="background1" w:themeShade="80"/>
        <w:sz w:val="18"/>
        <w:szCs w:val="18"/>
      </w:rPr>
      <w:fldChar w:fldCharType="end"/>
    </w:r>
    <w:r w:rsidR="00BB5AE2" w:rsidRPr="00BB5AE2">
      <w:rPr>
        <w:rStyle w:val="PageNumber"/>
        <w:color w:val="808080" w:themeColor="background1" w:themeShade="80"/>
        <w:sz w:val="18"/>
        <w:szCs w:val="18"/>
      </w:rPr>
      <w:tab/>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3421" w:rsidRDefault="005D1646">
    <w:pPr>
      <w:pStyle w:val="Footer"/>
    </w:pPr>
    <w:r w:rsidRPr="00BB5AE2">
      <w:rPr>
        <w:rStyle w:val="PageNumber"/>
        <w:color w:val="808080" w:themeColor="background1" w:themeShade="80"/>
        <w:sz w:val="18"/>
        <w:szCs w:val="18"/>
      </w:rPr>
      <w:fldChar w:fldCharType="begin"/>
    </w:r>
    <w:r w:rsidR="003E2D83" w:rsidRPr="00BB5AE2">
      <w:rPr>
        <w:rStyle w:val="PageNumber"/>
        <w:color w:val="808080" w:themeColor="background1" w:themeShade="80"/>
        <w:sz w:val="18"/>
        <w:szCs w:val="18"/>
      </w:rPr>
      <w:instrText xml:space="preserve"> PAGE </w:instrText>
    </w:r>
    <w:r w:rsidRPr="00BB5AE2">
      <w:rPr>
        <w:rStyle w:val="PageNumber"/>
        <w:color w:val="808080" w:themeColor="background1" w:themeShade="80"/>
        <w:sz w:val="18"/>
        <w:szCs w:val="18"/>
      </w:rPr>
      <w:fldChar w:fldCharType="separate"/>
    </w:r>
    <w:r w:rsidR="000760E5">
      <w:rPr>
        <w:rStyle w:val="PageNumber"/>
        <w:noProof/>
        <w:color w:val="808080" w:themeColor="background1" w:themeShade="80"/>
        <w:sz w:val="18"/>
        <w:szCs w:val="18"/>
      </w:rPr>
      <w:t>6</w:t>
    </w:r>
    <w:r w:rsidRPr="00BB5AE2">
      <w:rPr>
        <w:rStyle w:val="PageNumber"/>
        <w:color w:val="808080" w:themeColor="background1" w:themeShade="80"/>
        <w:sz w:val="18"/>
        <w:szCs w:val="18"/>
      </w:rPr>
      <w:fldChar w:fldCharType="end"/>
    </w:r>
    <w:r w:rsidR="005B3421" w:rsidRPr="005B3421">
      <w:rPr>
        <w:noProof/>
      </w:rPr>
      <w:drawing>
        <wp:anchor distT="0" distB="0" distL="114300" distR="114300" simplePos="0" relativeHeight="251661824" behindDoc="1" locked="0" layoutInCell="1" allowOverlap="1">
          <wp:simplePos x="0" y="0"/>
          <wp:positionH relativeFrom="column">
            <wp:posOffset>-914400</wp:posOffset>
          </wp:positionH>
          <wp:positionV relativeFrom="paragraph">
            <wp:posOffset>238760</wp:posOffset>
          </wp:positionV>
          <wp:extent cx="7772400" cy="361950"/>
          <wp:effectExtent l="19050" t="0" r="0" b="0"/>
          <wp:wrapNone/>
          <wp:docPr id="2" name="Picture 3" descr="Customer_DataSheet_Foot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ustomer_DataSheet_Footer.png"/>
                  <pic:cNvPicPr/>
                </pic:nvPicPr>
                <pic:blipFill>
                  <a:blip r:embed="rId1"/>
                  <a:stretch>
                    <a:fillRect/>
                  </a:stretch>
                </pic:blipFill>
                <pic:spPr>
                  <a:xfrm>
                    <a:off x="0" y="0"/>
                    <a:ext cx="7772400" cy="361950"/>
                  </a:xfrm>
                  <a:prstGeom prst="rect">
                    <a:avLst/>
                  </a:prstGeom>
                </pic:spPr>
              </pic:pic>
            </a:graphicData>
          </a:graphic>
        </wp:anchor>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52B8E" w:rsidRDefault="00A52B8E">
      <w:r>
        <w:separator/>
      </w:r>
    </w:p>
  </w:footnote>
  <w:footnote w:type="continuationSeparator" w:id="1">
    <w:p w:rsidR="00A52B8E" w:rsidRDefault="00A52B8E">
      <w:r>
        <w:continuationSeparator/>
      </w:r>
    </w:p>
  </w:footnote>
  <w:footnote w:id="2">
    <w:p w:rsidR="00D02A78" w:rsidRDefault="00D02A78" w:rsidP="00D02A78">
      <w:pPr>
        <w:pStyle w:val="FootnoteText"/>
        <w:ind w:left="90" w:right="-450" w:hanging="90"/>
      </w:pPr>
      <w:r>
        <w:rPr>
          <w:rStyle w:val="FootnoteReference"/>
        </w:rPr>
        <w:footnoteRef/>
      </w:r>
      <w:r>
        <w:t xml:space="preserve"> </w:t>
      </w:r>
      <w:r w:rsidRPr="001705D9">
        <w:t xml:space="preserve">Microsoft Open Value for Government is not available in </w:t>
      </w:r>
      <w:r>
        <w:t>all regions. Please check with your reseller regarding availability in your country</w:t>
      </w:r>
      <w:r w:rsidRPr="001705D9">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0D33" w:rsidRDefault="00C50D3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2A78" w:rsidRDefault="00CA5B1D" w:rsidP="00786036">
    <w:pPr>
      <w:pStyle w:val="Header"/>
      <w:spacing w:before="440" w:after="500"/>
      <w:rPr>
        <w:noProof/>
        <w:color w:val="FFFFFF" w:themeColor="background1"/>
        <w:sz w:val="44"/>
        <w:szCs w:val="44"/>
      </w:rPr>
    </w:pPr>
    <w:r w:rsidRPr="00786036">
      <w:rPr>
        <w:noProof/>
        <w:color w:val="FFFFFF" w:themeColor="background1"/>
        <w:sz w:val="44"/>
        <w:szCs w:val="44"/>
      </w:rPr>
      <w:drawing>
        <wp:anchor distT="0" distB="0" distL="114300" distR="114300" simplePos="0" relativeHeight="251665920" behindDoc="1" locked="0" layoutInCell="1" allowOverlap="1">
          <wp:simplePos x="0" y="0"/>
          <wp:positionH relativeFrom="column">
            <wp:posOffset>-914400</wp:posOffset>
          </wp:positionH>
          <wp:positionV relativeFrom="paragraph">
            <wp:posOffset>-476250</wp:posOffset>
          </wp:positionV>
          <wp:extent cx="7772400" cy="1714500"/>
          <wp:effectExtent l="19050" t="0" r="0" b="0"/>
          <wp:wrapNone/>
          <wp:docPr id="23" name="Picture 0" descr="Customer_DataSheet_Tit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ustomer_DataSheet_Title.png"/>
                  <pic:cNvPicPr/>
                </pic:nvPicPr>
                <pic:blipFill>
                  <a:blip r:embed="rId1"/>
                  <a:stretch>
                    <a:fillRect/>
                  </a:stretch>
                </pic:blipFill>
                <pic:spPr>
                  <a:xfrm>
                    <a:off x="0" y="0"/>
                    <a:ext cx="7772400" cy="1714500"/>
                  </a:xfrm>
                  <a:prstGeom prst="rect">
                    <a:avLst/>
                  </a:prstGeom>
                </pic:spPr>
              </pic:pic>
            </a:graphicData>
          </a:graphic>
        </wp:anchor>
      </w:drawing>
    </w:r>
    <w:r w:rsidR="00786036" w:rsidRPr="00786036">
      <w:rPr>
        <w:noProof/>
        <w:color w:val="FFFFFF" w:themeColor="background1"/>
        <w:sz w:val="44"/>
        <w:szCs w:val="44"/>
      </w:rPr>
      <w:t>Microsoft Open Value Program</w:t>
    </w:r>
  </w:p>
  <w:p w:rsidR="00786036" w:rsidRPr="00786036" w:rsidRDefault="00786036" w:rsidP="00786036">
    <w:pPr>
      <w:pStyle w:val="Header"/>
      <w:spacing w:before="440" w:after="360"/>
      <w:rPr>
        <w:color w:val="FFFFFF" w:themeColor="background1"/>
        <w:sz w:val="21"/>
        <w:szCs w:val="21"/>
      </w:rPr>
    </w:pPr>
    <w:r w:rsidRPr="00786036">
      <w:rPr>
        <w:noProof/>
        <w:color w:val="FFFFFF" w:themeColor="background1"/>
        <w:sz w:val="21"/>
        <w:szCs w:val="21"/>
      </w:rPr>
      <w:t>Program Overview</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0D33" w:rsidRDefault="00C50D33">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5F09" w:rsidRPr="00D93DC5" w:rsidRDefault="00BB5AE2" w:rsidP="00FB0013">
    <w:pPr>
      <w:pStyle w:val="Header"/>
      <w:spacing w:after="1440"/>
    </w:pPr>
    <w:r>
      <w:rPr>
        <w:noProof/>
      </w:rPr>
      <w:drawing>
        <wp:anchor distT="0" distB="0" distL="114300" distR="114300" simplePos="0" relativeHeight="251657728" behindDoc="1" locked="0" layoutInCell="1" allowOverlap="1">
          <wp:simplePos x="0" y="0"/>
          <wp:positionH relativeFrom="column">
            <wp:posOffset>-914400</wp:posOffset>
          </wp:positionH>
          <wp:positionV relativeFrom="paragraph">
            <wp:posOffset>-293370</wp:posOffset>
          </wp:positionV>
          <wp:extent cx="7772400" cy="1295400"/>
          <wp:effectExtent l="1905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tretch>
                    <a:fillRect/>
                  </a:stretch>
                </pic:blipFill>
                <pic:spPr bwMode="auto">
                  <a:xfrm>
                    <a:off x="0" y="0"/>
                    <a:ext cx="7772400" cy="1295400"/>
                  </a:xfrm>
                  <a:prstGeom prst="rect">
                    <a:avLst/>
                  </a:prstGeom>
                  <a:noFill/>
                  <a:ln w="9525">
                    <a:noFill/>
                    <a:miter lim="800000"/>
                    <a:headEnd/>
                    <a:tailEnd/>
                  </a:ln>
                </pic:spPr>
              </pic:pic>
            </a:graphicData>
          </a:graphic>
        </wp:anchor>
      </w:drawing>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1FB3" w:rsidRDefault="00EC1FB3">
    <w:pPr>
      <w:pStyle w:val="Header"/>
    </w:pPr>
    <w:r>
      <w:rPr>
        <w:noProof/>
      </w:rPr>
      <w:drawing>
        <wp:anchor distT="0" distB="0" distL="114300" distR="114300" simplePos="0" relativeHeight="251658752" behindDoc="1" locked="0" layoutInCell="1" allowOverlap="1">
          <wp:simplePos x="0" y="0"/>
          <wp:positionH relativeFrom="column">
            <wp:posOffset>-914400</wp:posOffset>
          </wp:positionH>
          <wp:positionV relativeFrom="paragraph">
            <wp:posOffset>-283845</wp:posOffset>
          </wp:positionV>
          <wp:extent cx="7772400" cy="1714500"/>
          <wp:effectExtent l="19050" t="0" r="0" b="0"/>
          <wp:wrapNone/>
          <wp:docPr id="1" name="Picture 0" descr="Customer_DataSheet_Tit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ustomer_DataSheet_Title.png"/>
                  <pic:cNvPicPr/>
                </pic:nvPicPr>
                <pic:blipFill>
                  <a:blip r:embed="rId1"/>
                  <a:stretch>
                    <a:fillRect/>
                  </a:stretch>
                </pic:blipFill>
                <pic:spPr>
                  <a:xfrm>
                    <a:off x="0" y="0"/>
                    <a:ext cx="7772400" cy="1714500"/>
                  </a:xfrm>
                  <a:prstGeom prst="rect">
                    <a:avLst/>
                  </a:prstGeom>
                </pic:spPr>
              </pic:pic>
            </a:graphicData>
          </a:graphic>
        </wp:anchor>
      </w:drawing>
    </w:r>
  </w:p>
  <w:p w:rsidR="00EC1FB3" w:rsidRPr="003E2D83" w:rsidRDefault="00D02A78" w:rsidP="004904DA">
    <w:pPr>
      <w:pStyle w:val="Header"/>
      <w:spacing w:before="440" w:after="500"/>
      <w:rPr>
        <w:color w:val="FFFFFF" w:themeColor="background1"/>
        <w:sz w:val="44"/>
        <w:szCs w:val="44"/>
      </w:rPr>
    </w:pPr>
    <w:r>
      <w:rPr>
        <w:color w:val="FFFFFF" w:themeColor="background1"/>
        <w:sz w:val="44"/>
        <w:szCs w:val="44"/>
      </w:rPr>
      <w:t>Microsoft Open Value</w:t>
    </w:r>
  </w:p>
  <w:p w:rsidR="00EC1FB3" w:rsidRPr="003E2D83" w:rsidRDefault="00EC1FB3" w:rsidP="005B3421">
    <w:pPr>
      <w:pStyle w:val="Header"/>
      <w:spacing w:before="440" w:after="360"/>
      <w:rPr>
        <w:b/>
        <w:color w:val="FFFFFF" w:themeColor="background1"/>
        <w:sz w:val="21"/>
        <w:szCs w:val="21"/>
      </w:rPr>
    </w:pPr>
    <w:r w:rsidRPr="003E2D83">
      <w:rPr>
        <w:b/>
        <w:color w:val="FFFFFF" w:themeColor="background1"/>
        <w:sz w:val="21"/>
        <w:szCs w:val="21"/>
      </w:rPr>
      <w:t>Program Overview</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2146E"/>
    <w:multiLevelType w:val="hybridMultilevel"/>
    <w:tmpl w:val="E910BD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7E7861"/>
    <w:multiLevelType w:val="multilevel"/>
    <w:tmpl w:val="7818A798"/>
    <w:lvl w:ilvl="0">
      <w:start w:val="1"/>
      <w:numFmt w:val="bullet"/>
      <w:lvlText w:val=""/>
      <w:lvlJc w:val="left"/>
      <w:pPr>
        <w:tabs>
          <w:tab w:val="num" w:pos="720"/>
        </w:tabs>
        <w:ind w:left="720" w:hanging="360"/>
      </w:pPr>
      <w:rPr>
        <w:rFonts w:ascii="Symbol" w:hAnsi="Symbol"/>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08861DDB"/>
    <w:multiLevelType w:val="multilevel"/>
    <w:tmpl w:val="EA7EA1B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11C44892"/>
    <w:multiLevelType w:val="multilevel"/>
    <w:tmpl w:val="EA7EA1B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18BE7902"/>
    <w:multiLevelType w:val="hybridMultilevel"/>
    <w:tmpl w:val="0F0A674E"/>
    <w:lvl w:ilvl="0" w:tplc="04090001">
      <w:start w:val="1"/>
      <w:numFmt w:val="bullet"/>
      <w:lvlText w:val=""/>
      <w:lvlJc w:val="left"/>
      <w:pPr>
        <w:tabs>
          <w:tab w:val="num" w:pos="720"/>
        </w:tabs>
        <w:ind w:left="720" w:hanging="360"/>
      </w:pPr>
      <w:rPr>
        <w:rFonts w:ascii="Symbol" w:hAnsi="Symbol" w:hint="default"/>
      </w:rPr>
    </w:lvl>
    <w:lvl w:ilvl="1" w:tplc="A2B8E5DA">
      <w:start w:val="1"/>
      <w:numFmt w:val="bullet"/>
      <w:lvlText w:val="-"/>
      <w:lvlJc w:val="left"/>
      <w:pPr>
        <w:tabs>
          <w:tab w:val="num" w:pos="1440"/>
        </w:tabs>
        <w:ind w:left="1440" w:hanging="360"/>
      </w:pPr>
      <w:rPr>
        <w:rFonts w:ascii="Berkeley" w:hAnsi="Berkeley"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C9F242E"/>
    <w:multiLevelType w:val="hybridMultilevel"/>
    <w:tmpl w:val="68DE828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30F43C33"/>
    <w:multiLevelType w:val="hybridMultilevel"/>
    <w:tmpl w:val="50AC6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1537FB7"/>
    <w:multiLevelType w:val="hybridMultilevel"/>
    <w:tmpl w:val="BE5C4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8CE4101"/>
    <w:multiLevelType w:val="hybridMultilevel"/>
    <w:tmpl w:val="231AEF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9A61C76"/>
    <w:multiLevelType w:val="hybridMultilevel"/>
    <w:tmpl w:val="1E527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BF8212F"/>
    <w:multiLevelType w:val="hybridMultilevel"/>
    <w:tmpl w:val="EA7EA1B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C08109B"/>
    <w:multiLevelType w:val="hybridMultilevel"/>
    <w:tmpl w:val="7818A7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60A145E7"/>
    <w:multiLevelType w:val="hybridMultilevel"/>
    <w:tmpl w:val="C526F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3B56FA1"/>
    <w:multiLevelType w:val="hybridMultilevel"/>
    <w:tmpl w:val="8DE40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E307443"/>
    <w:multiLevelType w:val="hybridMultilevel"/>
    <w:tmpl w:val="39E43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C39612C"/>
    <w:multiLevelType w:val="multilevel"/>
    <w:tmpl w:val="68DE828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
  </w:num>
  <w:num w:numId="3">
    <w:abstractNumId w:val="5"/>
  </w:num>
  <w:num w:numId="4">
    <w:abstractNumId w:val="15"/>
  </w:num>
  <w:num w:numId="5">
    <w:abstractNumId w:val="10"/>
  </w:num>
  <w:num w:numId="6">
    <w:abstractNumId w:val="3"/>
  </w:num>
  <w:num w:numId="7">
    <w:abstractNumId w:val="2"/>
  </w:num>
  <w:num w:numId="8">
    <w:abstractNumId w:val="4"/>
  </w:num>
  <w:num w:numId="9">
    <w:abstractNumId w:val="6"/>
  </w:num>
  <w:num w:numId="10">
    <w:abstractNumId w:val="9"/>
  </w:num>
  <w:num w:numId="11">
    <w:abstractNumId w:val="12"/>
  </w:num>
  <w:num w:numId="12">
    <w:abstractNumId w:val="14"/>
  </w:num>
  <w:num w:numId="13">
    <w:abstractNumId w:val="7"/>
  </w:num>
  <w:num w:numId="14">
    <w:abstractNumId w:val="8"/>
  </w:num>
  <w:num w:numId="15">
    <w:abstractNumId w:val="13"/>
  </w:num>
  <w:num w:numId="1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activeWritingStyle w:appName="MSWord" w:lang="en-US" w:vendorID="64" w:dllVersion="131078" w:nlCheck="1" w:checkStyle="0"/>
  <w:stylePaneFormatFilter w:val="3F01"/>
  <w:defaultTabStop w:val="720"/>
  <w:drawingGridHorizontalSpacing w:val="110"/>
  <w:displayHorizontalDrawingGridEvery w:val="2"/>
  <w:characterSpacingControl w:val="doNotCompress"/>
  <w:hdrShapeDefaults>
    <o:shapedefaults v:ext="edit" spidmax="57346"/>
  </w:hdrShapeDefaults>
  <w:footnotePr>
    <w:footnote w:id="0"/>
    <w:footnote w:id="1"/>
  </w:footnotePr>
  <w:endnotePr>
    <w:endnote w:id="0"/>
    <w:endnote w:id="1"/>
  </w:endnotePr>
  <w:compat/>
  <w:rsids>
    <w:rsidRoot w:val="004057A3"/>
    <w:rsid w:val="00032838"/>
    <w:rsid w:val="00056D12"/>
    <w:rsid w:val="000760E5"/>
    <w:rsid w:val="000B7C05"/>
    <w:rsid w:val="000C3B10"/>
    <w:rsid w:val="00103402"/>
    <w:rsid w:val="00104FB7"/>
    <w:rsid w:val="001155BA"/>
    <w:rsid w:val="00117D4F"/>
    <w:rsid w:val="00132DF1"/>
    <w:rsid w:val="00146F5F"/>
    <w:rsid w:val="00177A77"/>
    <w:rsid w:val="00185F09"/>
    <w:rsid w:val="001A0E6F"/>
    <w:rsid w:val="001B2D35"/>
    <w:rsid w:val="001C34F9"/>
    <w:rsid w:val="001D07E8"/>
    <w:rsid w:val="001E578F"/>
    <w:rsid w:val="002306CE"/>
    <w:rsid w:val="00233AAB"/>
    <w:rsid w:val="0024655D"/>
    <w:rsid w:val="0025021E"/>
    <w:rsid w:val="00275948"/>
    <w:rsid w:val="002949FF"/>
    <w:rsid w:val="002951A9"/>
    <w:rsid w:val="002A3D6F"/>
    <w:rsid w:val="002B1364"/>
    <w:rsid w:val="002B58DA"/>
    <w:rsid w:val="002C76DD"/>
    <w:rsid w:val="002F0570"/>
    <w:rsid w:val="0030514A"/>
    <w:rsid w:val="0031258A"/>
    <w:rsid w:val="0034254C"/>
    <w:rsid w:val="00343195"/>
    <w:rsid w:val="00350122"/>
    <w:rsid w:val="00357E56"/>
    <w:rsid w:val="00380145"/>
    <w:rsid w:val="0038017C"/>
    <w:rsid w:val="00397191"/>
    <w:rsid w:val="003A1FF2"/>
    <w:rsid w:val="003A3FA6"/>
    <w:rsid w:val="003C39F4"/>
    <w:rsid w:val="003D7A6F"/>
    <w:rsid w:val="003E214E"/>
    <w:rsid w:val="003E2D83"/>
    <w:rsid w:val="00404052"/>
    <w:rsid w:val="004057A3"/>
    <w:rsid w:val="004113A6"/>
    <w:rsid w:val="00420F10"/>
    <w:rsid w:val="004265C1"/>
    <w:rsid w:val="004571B2"/>
    <w:rsid w:val="004625DD"/>
    <w:rsid w:val="004904DA"/>
    <w:rsid w:val="00495B4B"/>
    <w:rsid w:val="004D4945"/>
    <w:rsid w:val="00520F1A"/>
    <w:rsid w:val="005265FB"/>
    <w:rsid w:val="005364AE"/>
    <w:rsid w:val="00586153"/>
    <w:rsid w:val="00586C67"/>
    <w:rsid w:val="005B3421"/>
    <w:rsid w:val="005D1646"/>
    <w:rsid w:val="005D6A00"/>
    <w:rsid w:val="005F179A"/>
    <w:rsid w:val="005F5F67"/>
    <w:rsid w:val="00616A30"/>
    <w:rsid w:val="00617946"/>
    <w:rsid w:val="006340F9"/>
    <w:rsid w:val="00672143"/>
    <w:rsid w:val="006827A9"/>
    <w:rsid w:val="00684F19"/>
    <w:rsid w:val="00693A3B"/>
    <w:rsid w:val="006A4214"/>
    <w:rsid w:val="006A7914"/>
    <w:rsid w:val="006E0036"/>
    <w:rsid w:val="006F5768"/>
    <w:rsid w:val="007179D7"/>
    <w:rsid w:val="00772E17"/>
    <w:rsid w:val="00786036"/>
    <w:rsid w:val="007B021F"/>
    <w:rsid w:val="007C643D"/>
    <w:rsid w:val="007D02AC"/>
    <w:rsid w:val="007D5FCD"/>
    <w:rsid w:val="007E67BA"/>
    <w:rsid w:val="008108EA"/>
    <w:rsid w:val="008226BD"/>
    <w:rsid w:val="00822BC9"/>
    <w:rsid w:val="00843694"/>
    <w:rsid w:val="008730EC"/>
    <w:rsid w:val="00873E4C"/>
    <w:rsid w:val="008A23C4"/>
    <w:rsid w:val="008A6177"/>
    <w:rsid w:val="008B1591"/>
    <w:rsid w:val="008D7639"/>
    <w:rsid w:val="008E15EB"/>
    <w:rsid w:val="008F1618"/>
    <w:rsid w:val="00933A84"/>
    <w:rsid w:val="009403BE"/>
    <w:rsid w:val="00952747"/>
    <w:rsid w:val="009642E4"/>
    <w:rsid w:val="00967079"/>
    <w:rsid w:val="00995573"/>
    <w:rsid w:val="009B49A4"/>
    <w:rsid w:val="009B5069"/>
    <w:rsid w:val="009B7204"/>
    <w:rsid w:val="009C4E6D"/>
    <w:rsid w:val="00A26602"/>
    <w:rsid w:val="00A52B8E"/>
    <w:rsid w:val="00A7300B"/>
    <w:rsid w:val="00A83B96"/>
    <w:rsid w:val="00AA53D7"/>
    <w:rsid w:val="00AC1442"/>
    <w:rsid w:val="00AE52F8"/>
    <w:rsid w:val="00AF22A5"/>
    <w:rsid w:val="00B018B8"/>
    <w:rsid w:val="00B303D3"/>
    <w:rsid w:val="00BB5AE2"/>
    <w:rsid w:val="00BD480D"/>
    <w:rsid w:val="00BE0CE1"/>
    <w:rsid w:val="00BE32C7"/>
    <w:rsid w:val="00C33FF7"/>
    <w:rsid w:val="00C403DA"/>
    <w:rsid w:val="00C41C4F"/>
    <w:rsid w:val="00C50D33"/>
    <w:rsid w:val="00C7373D"/>
    <w:rsid w:val="00C861C6"/>
    <w:rsid w:val="00C954D5"/>
    <w:rsid w:val="00CA5B1D"/>
    <w:rsid w:val="00CB3F3C"/>
    <w:rsid w:val="00CB5828"/>
    <w:rsid w:val="00CD0640"/>
    <w:rsid w:val="00CD0BCF"/>
    <w:rsid w:val="00CD5065"/>
    <w:rsid w:val="00CD5DA5"/>
    <w:rsid w:val="00D02A78"/>
    <w:rsid w:val="00D03C89"/>
    <w:rsid w:val="00D20FA8"/>
    <w:rsid w:val="00D357DA"/>
    <w:rsid w:val="00D35B53"/>
    <w:rsid w:val="00D475F4"/>
    <w:rsid w:val="00D477CF"/>
    <w:rsid w:val="00D714B5"/>
    <w:rsid w:val="00D71DFF"/>
    <w:rsid w:val="00D81E05"/>
    <w:rsid w:val="00D91F9E"/>
    <w:rsid w:val="00D93DC5"/>
    <w:rsid w:val="00DA04F4"/>
    <w:rsid w:val="00DA2F90"/>
    <w:rsid w:val="00DD0FFA"/>
    <w:rsid w:val="00DD1ADA"/>
    <w:rsid w:val="00DE1146"/>
    <w:rsid w:val="00E14A42"/>
    <w:rsid w:val="00E441F1"/>
    <w:rsid w:val="00EA1AC1"/>
    <w:rsid w:val="00EC1029"/>
    <w:rsid w:val="00EC1FB3"/>
    <w:rsid w:val="00EC62A1"/>
    <w:rsid w:val="00EF0C4A"/>
    <w:rsid w:val="00EF5827"/>
    <w:rsid w:val="00F1326B"/>
    <w:rsid w:val="00F45589"/>
    <w:rsid w:val="00F52407"/>
    <w:rsid w:val="00F77177"/>
    <w:rsid w:val="00F834D2"/>
    <w:rsid w:val="00F851B8"/>
    <w:rsid w:val="00FA78EF"/>
    <w:rsid w:val="00FB0013"/>
    <w:rsid w:val="00FB067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6"/>
    <o:shapelayout v:ext="edit">
      <o:idmap v:ext="edit" data="1"/>
      <o:regrouptable v:ext="edit">
        <o:entry new="1" old="0"/>
        <o:entry new="2" old="0"/>
        <o:entry new="3" old="0"/>
        <o:entry new="4" old="0"/>
        <o:entry new="5"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340F9"/>
    <w:pPr>
      <w:spacing w:after="120"/>
    </w:pPr>
    <w:rPr>
      <w:rFonts w:ascii="Arial" w:hAnsi="Arial"/>
      <w:sz w:val="22"/>
      <w:szCs w:val="24"/>
    </w:rPr>
  </w:style>
  <w:style w:type="paragraph" w:styleId="Heading1">
    <w:name w:val="heading 1"/>
    <w:basedOn w:val="Normal"/>
    <w:next w:val="Normal"/>
    <w:link w:val="Heading1Char"/>
    <w:qFormat/>
    <w:rsid w:val="00177A77"/>
    <w:pPr>
      <w:keepNext/>
      <w:spacing w:before="240" w:after="60"/>
      <w:outlineLvl w:val="0"/>
    </w:pPr>
    <w:rPr>
      <w:rFonts w:cs="Arial"/>
      <w:b/>
      <w:bCs/>
      <w:caps/>
      <w:color w:val="4F81BD" w:themeColor="accent1"/>
      <w:kern w:val="32"/>
      <w:sz w:val="32"/>
      <w:szCs w:val="32"/>
    </w:rPr>
  </w:style>
  <w:style w:type="paragraph" w:styleId="Heading2">
    <w:name w:val="heading 2"/>
    <w:basedOn w:val="Normal"/>
    <w:next w:val="Normal"/>
    <w:qFormat/>
    <w:rsid w:val="00684F19"/>
    <w:pPr>
      <w:keepNext/>
      <w:spacing w:before="240" w:after="60"/>
      <w:outlineLvl w:val="1"/>
    </w:pPr>
    <w:rPr>
      <w:rFonts w:cs="Arial"/>
      <w:b/>
      <w:bCs/>
      <w:iCs/>
      <w:sz w:val="28"/>
      <w:szCs w:val="28"/>
    </w:rPr>
  </w:style>
  <w:style w:type="paragraph" w:styleId="Heading3">
    <w:name w:val="heading 3"/>
    <w:basedOn w:val="Normal"/>
    <w:next w:val="Normal"/>
    <w:qFormat/>
    <w:rsid w:val="00177A77"/>
    <w:pPr>
      <w:keepNext/>
      <w:spacing w:before="240" w:after="60"/>
      <w:outlineLvl w:val="2"/>
    </w:pPr>
    <w:rPr>
      <w:rFonts w:cs="Arial"/>
      <w:b/>
      <w:bCs/>
      <w:color w:val="4F81BD" w:themeColor="accent1"/>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85F09"/>
    <w:pPr>
      <w:tabs>
        <w:tab w:val="center" w:pos="4320"/>
        <w:tab w:val="right" w:pos="8640"/>
      </w:tabs>
    </w:pPr>
  </w:style>
  <w:style w:type="paragraph" w:styleId="Footer">
    <w:name w:val="footer"/>
    <w:basedOn w:val="Normal"/>
    <w:link w:val="FooterChar"/>
    <w:uiPriority w:val="99"/>
    <w:rsid w:val="00420F10"/>
    <w:pPr>
      <w:tabs>
        <w:tab w:val="center" w:pos="4320"/>
        <w:tab w:val="right" w:pos="8640"/>
      </w:tabs>
    </w:pPr>
    <w:rPr>
      <w:sz w:val="18"/>
    </w:rPr>
  </w:style>
  <w:style w:type="character" w:customStyle="1" w:styleId="Footnote">
    <w:name w:val="Footnote"/>
    <w:basedOn w:val="DefaultParagraphFont"/>
    <w:rsid w:val="00952747"/>
    <w:rPr>
      <w:rFonts w:ascii="Arial" w:hAnsi="Arial"/>
      <w:sz w:val="16"/>
    </w:rPr>
  </w:style>
  <w:style w:type="paragraph" w:styleId="BalloonText">
    <w:name w:val="Balloon Text"/>
    <w:basedOn w:val="Normal"/>
    <w:semiHidden/>
    <w:rsid w:val="00F77177"/>
    <w:rPr>
      <w:rFonts w:ascii="Tahoma" w:hAnsi="Tahoma" w:cs="Tahoma"/>
      <w:sz w:val="16"/>
      <w:szCs w:val="16"/>
    </w:rPr>
  </w:style>
  <w:style w:type="character" w:styleId="PageNumber">
    <w:name w:val="page number"/>
    <w:basedOn w:val="DefaultParagraphFont"/>
    <w:rsid w:val="008F1618"/>
    <w:rPr>
      <w:rFonts w:ascii="Arial" w:hAnsi="Arial"/>
      <w:sz w:val="16"/>
    </w:rPr>
  </w:style>
  <w:style w:type="character" w:styleId="Hyperlink">
    <w:name w:val="Hyperlink"/>
    <w:basedOn w:val="DefaultParagraphFont"/>
    <w:rsid w:val="00CD5065"/>
    <w:rPr>
      <w:color w:val="0000FF"/>
      <w:u w:val="single"/>
    </w:rPr>
  </w:style>
  <w:style w:type="character" w:customStyle="1" w:styleId="Heading1Char">
    <w:name w:val="Heading 1 Char"/>
    <w:basedOn w:val="DefaultParagraphFont"/>
    <w:link w:val="Heading1"/>
    <w:rsid w:val="00177A77"/>
    <w:rPr>
      <w:rFonts w:ascii="Arial" w:hAnsi="Arial" w:cs="Arial"/>
      <w:b/>
      <w:bCs/>
      <w:caps/>
      <w:color w:val="4F81BD" w:themeColor="accent1"/>
      <w:kern w:val="32"/>
      <w:sz w:val="32"/>
      <w:szCs w:val="32"/>
    </w:rPr>
  </w:style>
  <w:style w:type="paragraph" w:styleId="FootnoteText">
    <w:name w:val="footnote text"/>
    <w:basedOn w:val="Normal"/>
    <w:link w:val="FootnoteTextChar"/>
    <w:rsid w:val="00D02A78"/>
    <w:pPr>
      <w:spacing w:after="0"/>
    </w:pPr>
    <w:rPr>
      <w:sz w:val="20"/>
      <w:szCs w:val="20"/>
    </w:rPr>
  </w:style>
  <w:style w:type="character" w:customStyle="1" w:styleId="FootnoteTextChar">
    <w:name w:val="Footnote Text Char"/>
    <w:basedOn w:val="DefaultParagraphFont"/>
    <w:link w:val="FootnoteText"/>
    <w:rsid w:val="00D02A78"/>
    <w:rPr>
      <w:rFonts w:ascii="Arial" w:hAnsi="Arial"/>
    </w:rPr>
  </w:style>
  <w:style w:type="character" w:styleId="FootnoteReference">
    <w:name w:val="footnote reference"/>
    <w:basedOn w:val="DefaultParagraphFont"/>
    <w:rsid w:val="00D02A78"/>
    <w:rPr>
      <w:vertAlign w:val="superscript"/>
    </w:rPr>
  </w:style>
  <w:style w:type="paragraph" w:styleId="ListParagraph">
    <w:name w:val="List Paragraph"/>
    <w:basedOn w:val="Normal"/>
    <w:uiPriority w:val="34"/>
    <w:qFormat/>
    <w:rsid w:val="00D02A78"/>
    <w:pPr>
      <w:spacing w:after="0"/>
      <w:ind w:left="720"/>
      <w:contextualSpacing/>
    </w:pPr>
  </w:style>
  <w:style w:type="character" w:customStyle="1" w:styleId="FooterChar">
    <w:name w:val="Footer Char"/>
    <w:basedOn w:val="DefaultParagraphFont"/>
    <w:link w:val="Footer"/>
    <w:uiPriority w:val="99"/>
    <w:rsid w:val="00D02A78"/>
    <w:rPr>
      <w:rFonts w:ascii="Arial" w:hAnsi="Arial"/>
      <w:sz w:val="18"/>
      <w:szCs w:val="24"/>
    </w:rPr>
  </w:style>
  <w:style w:type="character" w:styleId="CommentReference">
    <w:name w:val="annotation reference"/>
    <w:basedOn w:val="DefaultParagraphFont"/>
    <w:rsid w:val="00D02A78"/>
    <w:rPr>
      <w:sz w:val="16"/>
      <w:szCs w:val="16"/>
    </w:rPr>
  </w:style>
  <w:style w:type="paragraph" w:styleId="CommentText">
    <w:name w:val="annotation text"/>
    <w:basedOn w:val="Normal"/>
    <w:link w:val="CommentTextChar"/>
    <w:rsid w:val="00D02A78"/>
    <w:pPr>
      <w:spacing w:after="0"/>
    </w:pPr>
    <w:rPr>
      <w:sz w:val="20"/>
      <w:szCs w:val="20"/>
    </w:rPr>
  </w:style>
  <w:style w:type="character" w:customStyle="1" w:styleId="CommentTextChar">
    <w:name w:val="Comment Text Char"/>
    <w:basedOn w:val="DefaultParagraphFont"/>
    <w:link w:val="CommentText"/>
    <w:rsid w:val="00D02A78"/>
    <w:rPr>
      <w:rFonts w:ascii="Arial" w:hAnsi="Arial"/>
    </w:rPr>
  </w:style>
  <w:style w:type="paragraph" w:styleId="CommentSubject">
    <w:name w:val="annotation subject"/>
    <w:basedOn w:val="CommentText"/>
    <w:next w:val="CommentText"/>
    <w:link w:val="CommentSubjectChar"/>
    <w:rsid w:val="009C4E6D"/>
    <w:pPr>
      <w:spacing w:after="120"/>
    </w:pPr>
    <w:rPr>
      <w:b/>
      <w:bCs/>
    </w:rPr>
  </w:style>
  <w:style w:type="character" w:customStyle="1" w:styleId="CommentSubjectChar">
    <w:name w:val="Comment Subject Char"/>
    <w:basedOn w:val="CommentTextChar"/>
    <w:link w:val="CommentSubject"/>
    <w:rsid w:val="009C4E6D"/>
    <w:rPr>
      <w:b/>
      <w:bCs/>
    </w:rPr>
  </w:style>
</w:styles>
</file>

<file path=word/webSettings.xml><?xml version="1.0" encoding="utf-8"?>
<w:webSettings xmlns:r="http://schemas.openxmlformats.org/officeDocument/2006/relationships" xmlns:w="http://schemas.openxmlformats.org/wordprocessingml/2006/main">
  <w:divs>
    <w:div w:id="1038974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2.png"/><Relationship Id="rId18" Type="http://schemas.openxmlformats.org/officeDocument/2006/relationships/hyperlink" Target="http://www.microsoft.com/licensing/programs/open/openvalue.mspx"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eader" Target="header4.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yperlink" Target="http://www.microsoft.com/licensing"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licensing.microsoft.com" TargetMode="External"/><Relationship Id="rId20" Type="http://schemas.openxmlformats.org/officeDocument/2006/relationships/image" Target="media/image5.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footer" Target="footer5.xml"/><Relationship Id="rId5" Type="http://schemas.openxmlformats.org/officeDocument/2006/relationships/footnotes" Target="footnotes.xml"/><Relationship Id="rId15" Type="http://schemas.openxmlformats.org/officeDocument/2006/relationships/image" Target="media/image4.png"/><Relationship Id="rId23" Type="http://schemas.openxmlformats.org/officeDocument/2006/relationships/header" Target="header5.xml"/><Relationship Id="rId10" Type="http://schemas.openxmlformats.org/officeDocument/2006/relationships/footer" Target="footer2.xml"/><Relationship Id="rId19" Type="http://schemas.openxmlformats.org/officeDocument/2006/relationships/hyperlink" Target="http://www.microsoft.com/licensing/sa/"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3.png"/><Relationship Id="rId22" Type="http://schemas.openxmlformats.org/officeDocument/2006/relationships/footer" Target="footer4.xml"/></Relationships>
</file>

<file path=word/_rels/footer4.xml.rels><?xml version="1.0" encoding="UTF-8" standalone="yes"?>
<Relationships xmlns="http://schemas.openxmlformats.org/package/2006/relationships"><Relationship Id="rId1" Type="http://schemas.openxmlformats.org/officeDocument/2006/relationships/image" Target="media/image7.png"/></Relationships>
</file>

<file path=word/_rels/footer5.xml.rels><?xml version="1.0" encoding="UTF-8" standalone="yes"?>
<Relationships xmlns="http://schemas.openxmlformats.org/package/2006/relationships"><Relationship Id="rId1" Type="http://schemas.openxmlformats.org/officeDocument/2006/relationships/image" Target="media/image7.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6.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1656</Words>
  <Characters>9444</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Microsoft Volume Licensing datasheet template for customers</vt:lpstr>
    </vt:vector>
  </TitlesOfParts>
  <LinksUpToDate>false</LinksUpToDate>
  <CharactersWithSpaces>11078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Corporation</dc:creator>
  <cp:lastModifiedBy/>
  <cp:revision>1</cp:revision>
  <dcterms:created xsi:type="dcterms:W3CDTF">2008-09-23T18:48:00Z</dcterms:created>
  <dcterms:modified xsi:type="dcterms:W3CDTF">2008-09-23T18:48:00Z</dcterms:modified>
</cp:coreProperties>
</file>