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6739" w:rsidRDefault="006F3DCA">
      <w:pPr>
        <w:pStyle w:val="Heading4"/>
        <w:keepNext w:val="0"/>
        <w:widowControl w:val="0"/>
        <w:tabs>
          <w:tab w:val="left" w:pos="4590"/>
        </w:tabs>
        <w:spacing w:after="120"/>
        <w:jc w:val="center"/>
        <w:rPr>
          <w:rFonts w:cs="Arial"/>
          <w:color w:val="auto"/>
          <w:position w:val="6"/>
          <w:sz w:val="28"/>
          <w:szCs w:val="28"/>
        </w:rPr>
      </w:pPr>
      <w:r>
        <w:rPr>
          <w:rFonts w:cs="Arial"/>
          <w:color w:val="auto"/>
          <w:position w:val="6"/>
          <w:sz w:val="28"/>
          <w:szCs w:val="28"/>
        </w:rPr>
        <w:t>Network Service Providers for the Microsoft Communications Sector</w:t>
      </w:r>
    </w:p>
    <w:p w:rsidR="00036739" w:rsidRDefault="006F3DCA">
      <w:pPr>
        <w:jc w:val="center"/>
        <w:rPr>
          <w:rFonts w:ascii="Arial" w:hAnsi="Arial" w:cs="Arial"/>
          <w:b/>
          <w:position w:val="6"/>
          <w:sz w:val="20"/>
          <w:szCs w:val="20"/>
        </w:rPr>
      </w:pPr>
      <w:r>
        <w:rPr>
          <w:rFonts w:ascii="Arial" w:hAnsi="Arial" w:cs="Arial"/>
          <w:b/>
          <w:position w:val="6"/>
          <w:sz w:val="20"/>
          <w:szCs w:val="20"/>
        </w:rPr>
        <w:t xml:space="preserve">Fact Sheet </w:t>
      </w:r>
    </w:p>
    <w:p w:rsidR="00036739" w:rsidRDefault="00D64F32">
      <w:pPr>
        <w:jc w:val="center"/>
        <w:rPr>
          <w:rFonts w:ascii="Arial" w:hAnsi="Arial" w:cs="Arial"/>
          <w:b/>
          <w:sz w:val="20"/>
          <w:szCs w:val="20"/>
        </w:rPr>
      </w:pPr>
      <w:r>
        <w:rPr>
          <w:rFonts w:ascii="Arial" w:hAnsi="Arial" w:cs="Arial"/>
          <w:b/>
          <w:position w:val="6"/>
          <w:sz w:val="20"/>
          <w:szCs w:val="20"/>
        </w:rPr>
        <w:t>May</w:t>
      </w:r>
      <w:r w:rsidR="006F3DCA">
        <w:rPr>
          <w:rFonts w:ascii="Arial" w:hAnsi="Arial" w:cs="Arial"/>
          <w:b/>
          <w:position w:val="6"/>
          <w:sz w:val="20"/>
          <w:szCs w:val="20"/>
        </w:rPr>
        <w:t xml:space="preserve"> 2008</w:t>
      </w:r>
    </w:p>
    <w:p w:rsidR="00036739" w:rsidRDefault="00036739">
      <w:pPr>
        <w:rPr>
          <w:rFonts w:ascii="Arial" w:hAnsi="Arial" w:cs="Arial"/>
          <w:sz w:val="20"/>
          <w:szCs w:val="20"/>
          <w:lang w:bidi="he-IL"/>
        </w:rPr>
      </w:pPr>
    </w:p>
    <w:p w:rsidR="00036739" w:rsidRDefault="006F3DCA">
      <w:pPr>
        <w:rPr>
          <w:rFonts w:ascii="Arial" w:hAnsi="Arial" w:cs="Arial"/>
          <w:b/>
        </w:rPr>
      </w:pPr>
      <w:r>
        <w:rPr>
          <w:rFonts w:ascii="Arial" w:hAnsi="Arial" w:cs="Arial"/>
          <w:b/>
        </w:rPr>
        <w:t>Communications Sector Mission for Network Service Providers</w:t>
      </w:r>
    </w:p>
    <w:p w:rsidR="00036739" w:rsidRDefault="006F3DCA">
      <w:pPr>
        <w:rPr>
          <w:rFonts w:ascii="Arial" w:hAnsi="Arial" w:cs="Arial"/>
          <w:sz w:val="20"/>
          <w:szCs w:val="20"/>
        </w:rPr>
      </w:pPr>
      <w:r>
        <w:rPr>
          <w:rFonts w:ascii="Arial" w:hAnsi="Arial" w:cs="Arial"/>
          <w:sz w:val="20"/>
          <w:szCs w:val="20"/>
        </w:rPr>
        <w:t xml:space="preserve">Microsoft Corp.’s mission in the communications industry is to help service providers and industry partners develop and deploy rich, end-to-end network solutions and services. With its strengths in software and services and its partner ecosystem, Microsoft empowers service providers to </w:t>
      </w:r>
      <w:r>
        <w:rPr>
          <w:rFonts w:ascii="Arial" w:hAnsi="Arial" w:cs="Arial"/>
          <w:bCs/>
          <w:sz w:val="20"/>
          <w:szCs w:val="20"/>
          <w:lang w:val="en-GB"/>
        </w:rPr>
        <w:t>increase efficiency, rapidly create and deliver innovative new services, and improve the customer experience.</w:t>
      </w:r>
    </w:p>
    <w:p w:rsidR="00036739" w:rsidRDefault="00036739">
      <w:pPr>
        <w:rPr>
          <w:rFonts w:ascii="Arial" w:hAnsi="Arial" w:cs="Arial"/>
          <w:sz w:val="20"/>
          <w:szCs w:val="20"/>
        </w:rPr>
      </w:pPr>
    </w:p>
    <w:p w:rsidR="00036739" w:rsidRDefault="006F3DCA">
      <w:pPr>
        <w:rPr>
          <w:rFonts w:ascii="Arial" w:hAnsi="Arial" w:cs="Arial"/>
          <w:b/>
        </w:rPr>
      </w:pPr>
      <w:r>
        <w:rPr>
          <w:rFonts w:ascii="Arial" w:hAnsi="Arial" w:cs="Arial"/>
          <w:b/>
        </w:rPr>
        <w:t>Microsoft’s Telco 2.0 Vision</w:t>
      </w:r>
    </w:p>
    <w:p w:rsidR="00036739" w:rsidRDefault="006F3DCA">
      <w:pPr>
        <w:rPr>
          <w:rFonts w:ascii="Arial" w:hAnsi="Arial" w:cs="Arial"/>
          <w:bCs/>
          <w:sz w:val="20"/>
          <w:szCs w:val="20"/>
        </w:rPr>
      </w:pPr>
      <w:r>
        <w:rPr>
          <w:rFonts w:ascii="Arial" w:hAnsi="Arial" w:cs="Arial"/>
          <w:sz w:val="20"/>
          <w:szCs w:val="20"/>
        </w:rPr>
        <w:t xml:space="preserve">The power and ubiquity of today’s wireline, wireless and cable networks open the door for service providers to attract new customers, reduce churn and, most important, derive revenue from innovative new services. These new services, which bring together </w:t>
      </w:r>
      <w:r>
        <w:rPr>
          <w:rFonts w:ascii="Arial" w:hAnsi="Arial" w:cs="Arial"/>
          <w:bCs/>
          <w:sz w:val="20"/>
          <w:szCs w:val="20"/>
        </w:rPr>
        <w:t>Web 2.0-type applications and traditional telecommunications offerings such as voice and short message service (SMS), form the basis for a new era, which we call Telco 2.0.</w:t>
      </w:r>
    </w:p>
    <w:p w:rsidR="00036739" w:rsidRDefault="00036739">
      <w:pPr>
        <w:rPr>
          <w:rFonts w:ascii="Arial" w:hAnsi="Arial" w:cs="Arial"/>
          <w:bCs/>
          <w:sz w:val="20"/>
          <w:szCs w:val="20"/>
        </w:rPr>
      </w:pPr>
    </w:p>
    <w:p w:rsidR="00036739" w:rsidRDefault="006F3DCA">
      <w:pPr>
        <w:rPr>
          <w:rFonts w:ascii="Arial" w:hAnsi="Arial" w:cs="Arial"/>
          <w:sz w:val="20"/>
          <w:szCs w:val="20"/>
        </w:rPr>
      </w:pPr>
      <w:r>
        <w:rPr>
          <w:rFonts w:ascii="Arial" w:hAnsi="Arial" w:cs="Arial"/>
          <w:sz w:val="20"/>
          <w:szCs w:val="20"/>
        </w:rPr>
        <w:t xml:space="preserve">Although the potential for Telco 2.0 is immense, the road to creating and delivering hundreds, if not thousands, of new services requires a whole new approach by service providers. Microsoft’s mission is to use its software expertise to help smooth the transition and provide the enabling technologies to make Telco 2.0 a reality. </w:t>
      </w:r>
    </w:p>
    <w:p w:rsidR="00036739" w:rsidRDefault="00036739">
      <w:pPr>
        <w:rPr>
          <w:rFonts w:ascii="Arial" w:hAnsi="Arial" w:cs="Arial"/>
          <w:bCs/>
          <w:sz w:val="20"/>
          <w:szCs w:val="20"/>
        </w:rPr>
      </w:pPr>
    </w:p>
    <w:p w:rsidR="00036739" w:rsidRDefault="006F3DCA">
      <w:pPr>
        <w:rPr>
          <w:rFonts w:ascii="Arial" w:hAnsi="Arial" w:cs="Arial"/>
          <w:b/>
          <w:bCs/>
        </w:rPr>
      </w:pPr>
      <w:r>
        <w:rPr>
          <w:rFonts w:ascii="Arial" w:hAnsi="Arial" w:cs="Arial"/>
          <w:b/>
          <w:bCs/>
        </w:rPr>
        <w:t>Enabling Telco 2.0</w:t>
      </w:r>
    </w:p>
    <w:p w:rsidR="00036739" w:rsidRDefault="006F3DCA">
      <w:pPr>
        <w:rPr>
          <w:rFonts w:ascii="Arial" w:hAnsi="Arial" w:cs="Arial"/>
          <w:bCs/>
          <w:sz w:val="20"/>
          <w:szCs w:val="20"/>
        </w:rPr>
      </w:pPr>
      <w:r>
        <w:rPr>
          <w:rFonts w:ascii="Arial" w:hAnsi="Arial" w:cs="Arial"/>
          <w:bCs/>
          <w:sz w:val="20"/>
          <w:szCs w:val="20"/>
        </w:rPr>
        <w:t>Microsoft provides three components critical to the development of Telco 2.0: screens, services and service delivery:</w:t>
      </w:r>
    </w:p>
    <w:p w:rsidR="00036739" w:rsidRDefault="00036739">
      <w:pPr>
        <w:rPr>
          <w:rFonts w:ascii="Arial" w:hAnsi="Arial" w:cs="Arial"/>
          <w:bCs/>
          <w:sz w:val="20"/>
          <w:szCs w:val="20"/>
        </w:rPr>
      </w:pPr>
    </w:p>
    <w:p w:rsidR="00036739" w:rsidRDefault="006F3DCA">
      <w:pPr>
        <w:ind w:left="720"/>
        <w:rPr>
          <w:rFonts w:ascii="Arial" w:hAnsi="Arial" w:cs="Arial"/>
          <w:color w:val="000000" w:themeColor="text1"/>
          <w:szCs w:val="20"/>
        </w:rPr>
      </w:pPr>
      <w:r>
        <w:rPr>
          <w:rFonts w:ascii="Arial" w:hAnsi="Arial" w:cs="Arial"/>
          <w:b/>
          <w:color w:val="000000" w:themeColor="text1"/>
          <w:sz w:val="20"/>
          <w:szCs w:val="20"/>
        </w:rPr>
        <w:t>Screens</w:t>
      </w:r>
    </w:p>
    <w:p w:rsidR="00036739" w:rsidRDefault="006F3DCA">
      <w:pPr>
        <w:ind w:left="720"/>
        <w:rPr>
          <w:rFonts w:ascii="Arial" w:hAnsi="Arial" w:cs="Arial"/>
          <w:color w:val="000000" w:themeColor="text1"/>
          <w:sz w:val="20"/>
          <w:szCs w:val="20"/>
        </w:rPr>
      </w:pPr>
      <w:r>
        <w:rPr>
          <w:rFonts w:ascii="Arial" w:hAnsi="Arial" w:cs="Arial"/>
          <w:color w:val="000000" w:themeColor="text1"/>
          <w:sz w:val="20"/>
          <w:szCs w:val="20"/>
        </w:rPr>
        <w:t>Microsoft provides the operating platforms that deliver a ubiquitous experience across all the “screens” in a user’s life, including PCs, TVs and mobile devices. Solutions include the following:</w:t>
      </w:r>
    </w:p>
    <w:p w:rsidR="00036739" w:rsidRDefault="006F3DCA">
      <w:pPr>
        <w:numPr>
          <w:ilvl w:val="1"/>
          <w:numId w:val="16"/>
        </w:numPr>
        <w:ind w:left="1080"/>
        <w:rPr>
          <w:rFonts w:ascii="Arial" w:hAnsi="Arial" w:cs="Arial"/>
          <w:color w:val="000000" w:themeColor="text1"/>
          <w:sz w:val="20"/>
          <w:szCs w:val="20"/>
        </w:rPr>
      </w:pPr>
      <w:r>
        <w:rPr>
          <w:rFonts w:ascii="Arial" w:hAnsi="Arial" w:cs="Arial"/>
          <w:color w:val="000000" w:themeColor="text1"/>
          <w:sz w:val="20"/>
          <w:szCs w:val="20"/>
        </w:rPr>
        <w:t>Windows Vista and Microsoft’s Subscription Computing Program</w:t>
      </w:r>
    </w:p>
    <w:p w:rsidR="00036739" w:rsidRDefault="006F3DCA">
      <w:pPr>
        <w:numPr>
          <w:ilvl w:val="1"/>
          <w:numId w:val="16"/>
        </w:numPr>
        <w:ind w:left="1080"/>
        <w:rPr>
          <w:rFonts w:ascii="Arial" w:hAnsi="Arial" w:cs="Arial"/>
          <w:color w:val="000000" w:themeColor="text1"/>
          <w:sz w:val="20"/>
          <w:szCs w:val="20"/>
        </w:rPr>
      </w:pPr>
      <w:r>
        <w:rPr>
          <w:rFonts w:ascii="Arial" w:hAnsi="Arial" w:cs="Arial"/>
          <w:color w:val="000000" w:themeColor="text1"/>
          <w:sz w:val="20"/>
          <w:szCs w:val="20"/>
        </w:rPr>
        <w:t>Microsoft Mediaroom</w:t>
      </w:r>
    </w:p>
    <w:p w:rsidR="00036739" w:rsidRDefault="006F3DCA">
      <w:pPr>
        <w:numPr>
          <w:ilvl w:val="1"/>
          <w:numId w:val="16"/>
        </w:numPr>
        <w:ind w:left="1080"/>
        <w:rPr>
          <w:rFonts w:ascii="Arial" w:hAnsi="Arial" w:cs="Arial"/>
          <w:color w:val="000000" w:themeColor="text1"/>
          <w:sz w:val="20"/>
          <w:szCs w:val="20"/>
        </w:rPr>
      </w:pPr>
      <w:r>
        <w:rPr>
          <w:rFonts w:ascii="Arial" w:hAnsi="Arial" w:cs="Arial"/>
          <w:color w:val="000000" w:themeColor="text1"/>
          <w:sz w:val="20"/>
          <w:szCs w:val="20"/>
        </w:rPr>
        <w:t>Windows Mobile</w:t>
      </w:r>
    </w:p>
    <w:p w:rsidR="00036739" w:rsidRDefault="00036739">
      <w:pPr>
        <w:ind w:left="720"/>
        <w:rPr>
          <w:rFonts w:ascii="Arial" w:hAnsi="Arial" w:cs="Arial"/>
          <w:color w:val="000000" w:themeColor="text1"/>
          <w:sz w:val="20"/>
          <w:szCs w:val="20"/>
        </w:rPr>
      </w:pPr>
    </w:p>
    <w:p w:rsidR="00036739" w:rsidRDefault="006F3DCA">
      <w:pPr>
        <w:ind w:left="720"/>
        <w:rPr>
          <w:rFonts w:ascii="Arial" w:hAnsi="Arial" w:cs="Arial"/>
          <w:color w:val="000000" w:themeColor="text1"/>
          <w:szCs w:val="20"/>
        </w:rPr>
      </w:pPr>
      <w:r>
        <w:rPr>
          <w:rFonts w:ascii="Arial" w:hAnsi="Arial" w:cs="Arial"/>
          <w:b/>
          <w:color w:val="000000" w:themeColor="text1"/>
          <w:sz w:val="20"/>
          <w:szCs w:val="20"/>
        </w:rPr>
        <w:t>Services</w:t>
      </w:r>
    </w:p>
    <w:p w:rsidR="00036739" w:rsidRDefault="006F3DCA">
      <w:pPr>
        <w:ind w:left="720"/>
        <w:rPr>
          <w:rFonts w:ascii="Arial" w:hAnsi="Arial" w:cs="Arial"/>
          <w:b/>
          <w:color w:val="000000" w:themeColor="text1"/>
          <w:sz w:val="20"/>
          <w:szCs w:val="20"/>
        </w:rPr>
      </w:pPr>
      <w:r>
        <w:rPr>
          <w:rFonts w:ascii="Arial" w:hAnsi="Arial" w:cs="Arial"/>
          <w:color w:val="000000" w:themeColor="text1"/>
          <w:sz w:val="20"/>
          <w:szCs w:val="20"/>
        </w:rPr>
        <w:t>Microsoft provides the applications that service providers can easily turn into services to drive new, high-margin revenue streams, including the following:</w:t>
      </w:r>
    </w:p>
    <w:p w:rsidR="00036739" w:rsidRDefault="006F3DCA">
      <w:pPr>
        <w:numPr>
          <w:ilvl w:val="1"/>
          <w:numId w:val="16"/>
        </w:numPr>
        <w:ind w:left="1080"/>
        <w:rPr>
          <w:rFonts w:ascii="Arial" w:hAnsi="Arial" w:cs="Arial"/>
          <w:b/>
          <w:color w:val="000000" w:themeColor="text1"/>
          <w:sz w:val="20"/>
          <w:szCs w:val="20"/>
        </w:rPr>
      </w:pPr>
      <w:r>
        <w:rPr>
          <w:rFonts w:ascii="Arial" w:hAnsi="Arial" w:cs="Arial"/>
          <w:color w:val="000000" w:themeColor="text1"/>
          <w:sz w:val="20"/>
          <w:szCs w:val="20"/>
        </w:rPr>
        <w:t>Business services</w:t>
      </w:r>
    </w:p>
    <w:p w:rsidR="00036739" w:rsidRDefault="006F3DCA">
      <w:pPr>
        <w:numPr>
          <w:ilvl w:val="2"/>
          <w:numId w:val="15"/>
        </w:numPr>
        <w:ind w:left="1440"/>
        <w:rPr>
          <w:rFonts w:ascii="Arial" w:hAnsi="Arial" w:cs="Arial"/>
          <w:b/>
          <w:color w:val="000000" w:themeColor="text1"/>
          <w:sz w:val="20"/>
          <w:szCs w:val="20"/>
        </w:rPr>
      </w:pPr>
      <w:r>
        <w:rPr>
          <w:rFonts w:ascii="Arial" w:hAnsi="Arial" w:cs="Arial"/>
          <w:color w:val="000000" w:themeColor="text1"/>
          <w:sz w:val="20"/>
          <w:szCs w:val="20"/>
        </w:rPr>
        <w:t>Microsoft Solution for Hosted Messaging and Collaboration</w:t>
      </w:r>
    </w:p>
    <w:p w:rsidR="00036739" w:rsidRDefault="006F3DCA">
      <w:pPr>
        <w:numPr>
          <w:ilvl w:val="2"/>
          <w:numId w:val="15"/>
        </w:numPr>
        <w:ind w:left="1440"/>
        <w:rPr>
          <w:rFonts w:ascii="Arial" w:hAnsi="Arial" w:cs="Arial"/>
          <w:b/>
          <w:color w:val="000000" w:themeColor="text1"/>
          <w:sz w:val="20"/>
          <w:szCs w:val="20"/>
        </w:rPr>
      </w:pPr>
      <w:r>
        <w:rPr>
          <w:rFonts w:ascii="Arial" w:hAnsi="Arial" w:cs="Arial"/>
          <w:color w:val="000000" w:themeColor="text1"/>
          <w:sz w:val="20"/>
          <w:szCs w:val="20"/>
        </w:rPr>
        <w:t>Hosted Microsoft Dynamics CRM</w:t>
      </w:r>
    </w:p>
    <w:p w:rsidR="00036739" w:rsidRDefault="006F3DCA">
      <w:pPr>
        <w:numPr>
          <w:ilvl w:val="2"/>
          <w:numId w:val="15"/>
        </w:numPr>
        <w:ind w:left="1440"/>
        <w:rPr>
          <w:rFonts w:ascii="Arial" w:hAnsi="Arial" w:cs="Arial"/>
          <w:b/>
          <w:color w:val="000000" w:themeColor="text1"/>
          <w:sz w:val="20"/>
          <w:szCs w:val="20"/>
        </w:rPr>
      </w:pPr>
      <w:r>
        <w:rPr>
          <w:rFonts w:ascii="Arial" w:hAnsi="Arial" w:cs="Arial"/>
          <w:color w:val="000000" w:themeColor="text1"/>
          <w:sz w:val="20"/>
          <w:szCs w:val="20"/>
        </w:rPr>
        <w:t>Microsoft Exchange Hosted Services</w:t>
      </w:r>
    </w:p>
    <w:p w:rsidR="00036739" w:rsidRDefault="006F3DCA">
      <w:pPr>
        <w:numPr>
          <w:ilvl w:val="2"/>
          <w:numId w:val="15"/>
        </w:numPr>
        <w:ind w:left="1440"/>
        <w:rPr>
          <w:rFonts w:ascii="Arial" w:hAnsi="Arial" w:cs="Arial"/>
          <w:b/>
          <w:color w:val="000000" w:themeColor="text1"/>
          <w:sz w:val="20"/>
          <w:szCs w:val="20"/>
        </w:rPr>
      </w:pPr>
      <w:r>
        <w:rPr>
          <w:rFonts w:ascii="Arial" w:hAnsi="Arial" w:cs="Arial"/>
          <w:color w:val="000000" w:themeColor="text1"/>
          <w:sz w:val="20"/>
          <w:szCs w:val="20"/>
        </w:rPr>
        <w:t>Hosted Microsoft Live Meeting</w:t>
      </w:r>
    </w:p>
    <w:p w:rsidR="00036739" w:rsidRDefault="006F3DCA">
      <w:pPr>
        <w:numPr>
          <w:ilvl w:val="2"/>
          <w:numId w:val="15"/>
        </w:numPr>
        <w:ind w:left="1440"/>
        <w:rPr>
          <w:rFonts w:ascii="Arial" w:hAnsi="Arial" w:cs="Arial"/>
          <w:b/>
          <w:color w:val="000000" w:themeColor="text1"/>
          <w:sz w:val="20"/>
          <w:szCs w:val="20"/>
        </w:rPr>
      </w:pPr>
      <w:r>
        <w:rPr>
          <w:rFonts w:ascii="Arial" w:hAnsi="Arial" w:cs="Arial"/>
          <w:color w:val="000000" w:themeColor="text1"/>
          <w:sz w:val="20"/>
          <w:szCs w:val="20"/>
        </w:rPr>
        <w:t xml:space="preserve">Microsoft </w:t>
      </w:r>
      <w:r w:rsidR="00D64F32">
        <w:rPr>
          <w:rFonts w:ascii="Arial" w:hAnsi="Arial" w:cs="Arial"/>
          <w:color w:val="000000" w:themeColor="text1"/>
          <w:sz w:val="20"/>
          <w:szCs w:val="20"/>
        </w:rPr>
        <w:t>Online</w:t>
      </w:r>
      <w:r>
        <w:rPr>
          <w:rFonts w:ascii="Arial" w:hAnsi="Arial" w:cs="Arial"/>
          <w:color w:val="000000" w:themeColor="text1"/>
          <w:sz w:val="20"/>
          <w:szCs w:val="20"/>
        </w:rPr>
        <w:t xml:space="preserve"> </w:t>
      </w:r>
      <w:r w:rsidR="00D64F32">
        <w:rPr>
          <w:rFonts w:ascii="Arial" w:hAnsi="Arial" w:cs="Arial"/>
          <w:color w:val="000000" w:themeColor="text1"/>
          <w:sz w:val="20"/>
          <w:szCs w:val="20"/>
        </w:rPr>
        <w:t>Services</w:t>
      </w:r>
    </w:p>
    <w:p w:rsidR="00036739" w:rsidRDefault="00036739">
      <w:pPr>
        <w:ind w:left="1440"/>
        <w:rPr>
          <w:rFonts w:ascii="Arial" w:hAnsi="Arial" w:cs="Arial"/>
          <w:b/>
          <w:color w:val="000000" w:themeColor="text1"/>
          <w:sz w:val="20"/>
          <w:szCs w:val="20"/>
        </w:rPr>
      </w:pPr>
    </w:p>
    <w:p w:rsidR="00036739" w:rsidRDefault="006F3DCA">
      <w:pPr>
        <w:numPr>
          <w:ilvl w:val="1"/>
          <w:numId w:val="16"/>
        </w:numPr>
        <w:ind w:left="1080"/>
        <w:rPr>
          <w:rFonts w:ascii="Arial" w:hAnsi="Arial" w:cs="Arial"/>
          <w:b/>
          <w:color w:val="000000" w:themeColor="text1"/>
          <w:sz w:val="20"/>
          <w:szCs w:val="20"/>
        </w:rPr>
      </w:pPr>
      <w:r>
        <w:rPr>
          <w:rFonts w:ascii="Arial" w:hAnsi="Arial" w:cs="Arial"/>
          <w:color w:val="000000" w:themeColor="text1"/>
          <w:sz w:val="20"/>
          <w:szCs w:val="20"/>
        </w:rPr>
        <w:t>Consumer services</w:t>
      </w:r>
    </w:p>
    <w:p w:rsidR="00036739" w:rsidRDefault="006F3DCA">
      <w:pPr>
        <w:numPr>
          <w:ilvl w:val="2"/>
          <w:numId w:val="15"/>
        </w:numPr>
        <w:ind w:left="1440"/>
        <w:rPr>
          <w:rFonts w:ascii="Arial" w:hAnsi="Arial" w:cs="Arial"/>
          <w:color w:val="000000" w:themeColor="text1"/>
          <w:sz w:val="20"/>
          <w:szCs w:val="20"/>
        </w:rPr>
      </w:pPr>
      <w:r>
        <w:rPr>
          <w:rFonts w:ascii="Arial" w:hAnsi="Arial" w:cs="Arial"/>
          <w:color w:val="000000" w:themeColor="text1"/>
          <w:sz w:val="20"/>
          <w:szCs w:val="20"/>
        </w:rPr>
        <w:t>Microsoft Mediaroom</w:t>
      </w:r>
    </w:p>
    <w:p w:rsidR="00036739" w:rsidRDefault="006F3DCA">
      <w:pPr>
        <w:numPr>
          <w:ilvl w:val="2"/>
          <w:numId w:val="15"/>
        </w:numPr>
        <w:ind w:left="1440"/>
        <w:rPr>
          <w:rFonts w:ascii="Arial" w:hAnsi="Arial" w:cs="Arial"/>
          <w:color w:val="000000" w:themeColor="text1"/>
          <w:sz w:val="20"/>
          <w:szCs w:val="20"/>
        </w:rPr>
      </w:pPr>
      <w:r>
        <w:rPr>
          <w:rFonts w:ascii="Arial" w:hAnsi="Arial" w:cs="Arial"/>
          <w:color w:val="000000" w:themeColor="text1"/>
          <w:sz w:val="20"/>
          <w:szCs w:val="20"/>
        </w:rPr>
        <w:t>Windows Live, including Live@net and Live@mobile</w:t>
      </w:r>
    </w:p>
    <w:p w:rsidR="00036739" w:rsidRDefault="006F3DCA">
      <w:pPr>
        <w:numPr>
          <w:ilvl w:val="2"/>
          <w:numId w:val="15"/>
        </w:numPr>
        <w:ind w:left="1440"/>
        <w:rPr>
          <w:rFonts w:ascii="Arial" w:hAnsi="Arial" w:cs="Arial"/>
          <w:color w:val="000000" w:themeColor="text1"/>
          <w:sz w:val="20"/>
          <w:szCs w:val="20"/>
        </w:rPr>
      </w:pPr>
      <w:r>
        <w:rPr>
          <w:rFonts w:ascii="Arial" w:hAnsi="Arial" w:cs="Arial"/>
          <w:color w:val="000000" w:themeColor="text1"/>
          <w:sz w:val="20"/>
          <w:szCs w:val="20"/>
        </w:rPr>
        <w:t>Xbox LIVE</w:t>
      </w:r>
    </w:p>
    <w:p w:rsidR="00036739" w:rsidRDefault="006F3DCA">
      <w:pPr>
        <w:numPr>
          <w:ilvl w:val="2"/>
          <w:numId w:val="15"/>
        </w:numPr>
        <w:ind w:left="1440"/>
        <w:rPr>
          <w:rFonts w:ascii="Arial" w:hAnsi="Arial" w:cs="Arial"/>
          <w:color w:val="000000" w:themeColor="text1"/>
          <w:sz w:val="20"/>
          <w:szCs w:val="20"/>
        </w:rPr>
      </w:pPr>
      <w:r>
        <w:rPr>
          <w:rFonts w:ascii="Arial" w:hAnsi="Arial" w:cs="Arial"/>
          <w:color w:val="000000" w:themeColor="text1"/>
          <w:sz w:val="20"/>
          <w:szCs w:val="20"/>
        </w:rPr>
        <w:t>Windows Live OneCare</w:t>
      </w:r>
    </w:p>
    <w:p w:rsidR="00036739" w:rsidRDefault="00036739">
      <w:pPr>
        <w:ind w:left="720"/>
        <w:rPr>
          <w:rFonts w:ascii="Arial" w:hAnsi="Arial" w:cs="Arial"/>
          <w:b/>
          <w:color w:val="000000" w:themeColor="text1"/>
          <w:sz w:val="20"/>
          <w:szCs w:val="20"/>
        </w:rPr>
      </w:pPr>
    </w:p>
    <w:p w:rsidR="00036739" w:rsidRDefault="006F3DCA">
      <w:pPr>
        <w:ind w:left="720"/>
        <w:rPr>
          <w:rFonts w:ascii="Arial" w:hAnsi="Arial" w:cs="Arial"/>
          <w:color w:val="000000" w:themeColor="text1"/>
          <w:szCs w:val="20"/>
        </w:rPr>
      </w:pPr>
      <w:r>
        <w:rPr>
          <w:rFonts w:ascii="Arial" w:hAnsi="Arial" w:cs="Arial"/>
          <w:b/>
          <w:color w:val="000000" w:themeColor="text1"/>
          <w:sz w:val="20"/>
          <w:szCs w:val="20"/>
        </w:rPr>
        <w:t>Service Delivery</w:t>
      </w:r>
    </w:p>
    <w:p w:rsidR="00036739" w:rsidRDefault="006F3DCA">
      <w:pPr>
        <w:ind w:left="720"/>
        <w:rPr>
          <w:rFonts w:ascii="Arial" w:hAnsi="Arial" w:cs="Arial"/>
          <w:sz w:val="20"/>
          <w:szCs w:val="20"/>
        </w:rPr>
      </w:pPr>
      <w:r>
        <w:rPr>
          <w:rFonts w:ascii="Arial" w:hAnsi="Arial" w:cs="Arial"/>
          <w:color w:val="000000" w:themeColor="text1"/>
          <w:sz w:val="20"/>
          <w:szCs w:val="20"/>
        </w:rPr>
        <w:t>Microsoft provides</w:t>
      </w:r>
      <w:r>
        <w:rPr>
          <w:rFonts w:ascii="Arial" w:hAnsi="Arial" w:cs="Arial"/>
          <w:sz w:val="20"/>
          <w:szCs w:val="20"/>
        </w:rPr>
        <w:t xml:space="preserve"> the foundational platforms that enable service providers to create, aggregate and manage services over any network and any device. These core platforms support a number of business support applications such as customer care and billing, to ensure a robust, scalable </w:t>
      </w:r>
      <w:r>
        <w:rPr>
          <w:rFonts w:ascii="Arial" w:hAnsi="Arial" w:cs="Arial"/>
          <w:sz w:val="20"/>
          <w:szCs w:val="20"/>
        </w:rPr>
        <w:lastRenderedPageBreak/>
        <w:t>and flexible business infrastructure that</w:t>
      </w:r>
      <w:r>
        <w:rPr>
          <w:rFonts w:ascii="Arial" w:hAnsi="Arial" w:cs="Arial"/>
          <w:bCs/>
          <w:sz w:val="20"/>
          <w:szCs w:val="20"/>
        </w:rPr>
        <w:t xml:space="preserve"> helps service providers improve their overall performance</w:t>
      </w:r>
      <w:r>
        <w:rPr>
          <w:rFonts w:ascii="Arial" w:hAnsi="Arial" w:cs="Arial"/>
          <w:sz w:val="20"/>
          <w:szCs w:val="20"/>
        </w:rPr>
        <w:t xml:space="preserve">. </w:t>
      </w:r>
    </w:p>
    <w:p w:rsidR="00036739" w:rsidRDefault="00036739">
      <w:pPr>
        <w:ind w:left="720"/>
        <w:rPr>
          <w:rFonts w:ascii="Arial" w:hAnsi="Arial" w:cs="Arial"/>
          <w:sz w:val="20"/>
          <w:szCs w:val="20"/>
        </w:rPr>
      </w:pPr>
    </w:p>
    <w:p w:rsidR="00036739" w:rsidRDefault="006F3DCA">
      <w:pPr>
        <w:ind w:left="720"/>
        <w:rPr>
          <w:rFonts w:ascii="Arial" w:hAnsi="Arial" w:cs="Arial"/>
          <w:b/>
          <w:sz w:val="20"/>
          <w:szCs w:val="20"/>
        </w:rPr>
      </w:pPr>
      <w:r>
        <w:rPr>
          <w:rFonts w:ascii="Arial" w:hAnsi="Arial" w:cs="Arial"/>
          <w:sz w:val="20"/>
          <w:szCs w:val="20"/>
        </w:rPr>
        <w:t>Microsoft solutions and initiatives include the following:</w:t>
      </w:r>
    </w:p>
    <w:p w:rsidR="00036739" w:rsidRDefault="00D64F32">
      <w:pPr>
        <w:numPr>
          <w:ilvl w:val="1"/>
          <w:numId w:val="16"/>
        </w:numPr>
        <w:ind w:left="1080"/>
        <w:rPr>
          <w:rFonts w:ascii="Arial" w:hAnsi="Arial" w:cs="Arial"/>
          <w:color w:val="000000" w:themeColor="text1"/>
          <w:sz w:val="20"/>
          <w:szCs w:val="20"/>
        </w:rPr>
      </w:pPr>
      <w:r>
        <w:rPr>
          <w:rFonts w:ascii="Arial" w:hAnsi="Arial" w:cs="Arial"/>
          <w:color w:val="000000" w:themeColor="text1"/>
          <w:sz w:val="20"/>
          <w:szCs w:val="20"/>
        </w:rPr>
        <w:t xml:space="preserve">Microsoft </w:t>
      </w:r>
      <w:r w:rsidR="006F3DCA">
        <w:rPr>
          <w:rFonts w:ascii="Arial" w:hAnsi="Arial" w:cs="Arial"/>
          <w:color w:val="000000" w:themeColor="text1"/>
          <w:sz w:val="20"/>
          <w:szCs w:val="20"/>
        </w:rPr>
        <w:t>Connected Services Framework</w:t>
      </w:r>
    </w:p>
    <w:p w:rsidR="00036739" w:rsidRDefault="006F3DCA">
      <w:pPr>
        <w:numPr>
          <w:ilvl w:val="1"/>
          <w:numId w:val="16"/>
        </w:numPr>
        <w:ind w:left="1080"/>
        <w:rPr>
          <w:rFonts w:ascii="Arial" w:hAnsi="Arial" w:cs="Arial"/>
          <w:color w:val="000000" w:themeColor="text1"/>
          <w:sz w:val="20"/>
          <w:szCs w:val="20"/>
        </w:rPr>
      </w:pPr>
      <w:r>
        <w:rPr>
          <w:rFonts w:ascii="Arial" w:hAnsi="Arial" w:cs="Arial"/>
          <w:color w:val="000000" w:themeColor="text1"/>
          <w:sz w:val="20"/>
          <w:szCs w:val="20"/>
        </w:rPr>
        <w:t>Microsoft Connected Services Sandbox</w:t>
      </w:r>
    </w:p>
    <w:p w:rsidR="00036739" w:rsidRDefault="006F3DCA">
      <w:pPr>
        <w:numPr>
          <w:ilvl w:val="1"/>
          <w:numId w:val="16"/>
        </w:numPr>
        <w:ind w:left="1080"/>
        <w:rPr>
          <w:rFonts w:ascii="Arial" w:hAnsi="Arial" w:cs="Arial"/>
          <w:color w:val="000000" w:themeColor="text1"/>
          <w:sz w:val="20"/>
          <w:szCs w:val="20"/>
        </w:rPr>
      </w:pPr>
      <w:r>
        <w:rPr>
          <w:rFonts w:ascii="Arial" w:hAnsi="Arial" w:cs="Arial"/>
          <w:color w:val="000000" w:themeColor="text1"/>
          <w:sz w:val="20"/>
          <w:szCs w:val="20"/>
        </w:rPr>
        <w:t>Microsoft Customer Care Framework</w:t>
      </w:r>
    </w:p>
    <w:p w:rsidR="00036739" w:rsidRDefault="006F3DCA">
      <w:pPr>
        <w:numPr>
          <w:ilvl w:val="1"/>
          <w:numId w:val="16"/>
        </w:numPr>
        <w:ind w:left="1080"/>
        <w:rPr>
          <w:rFonts w:ascii="Arial" w:hAnsi="Arial" w:cs="Arial"/>
          <w:color w:val="000000" w:themeColor="text1"/>
          <w:sz w:val="20"/>
          <w:szCs w:val="20"/>
        </w:rPr>
      </w:pPr>
      <w:r>
        <w:rPr>
          <w:rFonts w:ascii="Arial" w:hAnsi="Arial" w:cs="Arial"/>
          <w:color w:val="000000" w:themeColor="text1"/>
          <w:sz w:val="20"/>
          <w:szCs w:val="20"/>
        </w:rPr>
        <w:t>Microsoft Dynamics CRM</w:t>
      </w:r>
    </w:p>
    <w:p w:rsidR="00036739" w:rsidRDefault="006F3DCA">
      <w:pPr>
        <w:numPr>
          <w:ilvl w:val="1"/>
          <w:numId w:val="16"/>
        </w:numPr>
        <w:ind w:left="1080"/>
        <w:rPr>
          <w:rFonts w:ascii="Arial" w:hAnsi="Arial" w:cs="Arial"/>
          <w:color w:val="000000" w:themeColor="text1"/>
        </w:rPr>
      </w:pPr>
      <w:r>
        <w:rPr>
          <w:rFonts w:ascii="Arial" w:hAnsi="Arial" w:cs="Arial"/>
          <w:color w:val="000000" w:themeColor="text1"/>
          <w:sz w:val="20"/>
          <w:szCs w:val="20"/>
        </w:rPr>
        <w:t xml:space="preserve">Microsoft </w:t>
      </w:r>
      <w:r w:rsidR="00D64F32">
        <w:rPr>
          <w:rFonts w:ascii="Arial" w:hAnsi="Arial" w:cs="Arial"/>
          <w:color w:val="000000" w:themeColor="text1"/>
          <w:sz w:val="20"/>
          <w:szCs w:val="20"/>
        </w:rPr>
        <w:t>a</w:t>
      </w:r>
      <w:r>
        <w:rPr>
          <w:rFonts w:ascii="Arial" w:hAnsi="Arial" w:cs="Arial"/>
          <w:color w:val="000000" w:themeColor="text1"/>
          <w:sz w:val="20"/>
          <w:szCs w:val="20"/>
        </w:rPr>
        <w:t xml:space="preserve">pplication </w:t>
      </w:r>
      <w:r w:rsidR="00D64F32">
        <w:rPr>
          <w:rFonts w:ascii="Arial" w:hAnsi="Arial" w:cs="Arial"/>
          <w:color w:val="000000" w:themeColor="text1"/>
          <w:sz w:val="20"/>
          <w:szCs w:val="20"/>
        </w:rPr>
        <w:t>p</w:t>
      </w:r>
      <w:r>
        <w:rPr>
          <w:rFonts w:ascii="Arial" w:hAnsi="Arial" w:cs="Arial"/>
          <w:color w:val="000000" w:themeColor="text1"/>
          <w:sz w:val="20"/>
          <w:szCs w:val="20"/>
        </w:rPr>
        <w:t xml:space="preserve">latform for billing </w:t>
      </w:r>
    </w:p>
    <w:p w:rsidR="00036739" w:rsidRDefault="006F3DCA">
      <w:pPr>
        <w:numPr>
          <w:ilvl w:val="1"/>
          <w:numId w:val="16"/>
        </w:numPr>
        <w:ind w:left="1080"/>
        <w:rPr>
          <w:rFonts w:ascii="Arial" w:hAnsi="Arial" w:cs="Arial"/>
        </w:rPr>
      </w:pPr>
      <w:r>
        <w:rPr>
          <w:rFonts w:ascii="Arial" w:hAnsi="Arial" w:cs="Arial"/>
          <w:color w:val="000000" w:themeColor="text1"/>
          <w:sz w:val="20"/>
          <w:szCs w:val="20"/>
        </w:rPr>
        <w:t>Microsoft business intelligence software</w:t>
      </w:r>
    </w:p>
    <w:p w:rsidR="00036739" w:rsidRDefault="00036739">
      <w:pPr>
        <w:rPr>
          <w:rFonts w:ascii="Arial" w:hAnsi="Arial" w:cs="Arial"/>
          <w:b/>
          <w:sz w:val="22"/>
          <w:szCs w:val="20"/>
        </w:rPr>
      </w:pPr>
    </w:p>
    <w:p w:rsidR="00036739" w:rsidRDefault="006F3DCA">
      <w:pPr>
        <w:rPr>
          <w:rFonts w:ascii="Arial" w:hAnsi="Arial" w:cs="Arial"/>
          <w:b/>
        </w:rPr>
      </w:pPr>
      <w:r>
        <w:rPr>
          <w:rFonts w:ascii="Arial" w:hAnsi="Arial" w:cs="Arial"/>
          <w:b/>
        </w:rPr>
        <w:t>The Telco 2.0 Ecosystem</w:t>
      </w:r>
    </w:p>
    <w:p w:rsidR="00036739" w:rsidRDefault="006F3DCA">
      <w:pPr>
        <w:rPr>
          <w:rFonts w:ascii="Arial" w:hAnsi="Arial" w:cs="Arial"/>
          <w:sz w:val="20"/>
          <w:szCs w:val="20"/>
        </w:rPr>
      </w:pPr>
      <w:r>
        <w:rPr>
          <w:rFonts w:ascii="Arial" w:hAnsi="Arial" w:cs="Arial"/>
          <w:sz w:val="20"/>
          <w:szCs w:val="20"/>
        </w:rPr>
        <w:t>As the telecommunications world faces increasing pressure from Web companies, new hybrid services that bring together communications applications and content from a variety of sources will help accelerate the transformation to Telco 2.0. With programs such as the Microsoft SaaS On-Ramp Program, the SaaS Incubation Center Program and the Sandbox, Microsoft is helping to build a solid partner ecosystem for the Telco 2.0 era.</w:t>
      </w:r>
    </w:p>
    <w:p w:rsidR="00036739" w:rsidRDefault="00036739">
      <w:pPr>
        <w:rPr>
          <w:rFonts w:ascii="Arial" w:hAnsi="Arial" w:cs="Arial"/>
          <w:sz w:val="20"/>
          <w:szCs w:val="20"/>
        </w:rPr>
      </w:pPr>
    </w:p>
    <w:p w:rsidR="00036739" w:rsidRDefault="006F3DCA">
      <w:pPr>
        <w:rPr>
          <w:rFonts w:ascii="Arial" w:hAnsi="Arial" w:cs="Arial"/>
          <w:sz w:val="20"/>
          <w:szCs w:val="20"/>
        </w:rPr>
      </w:pPr>
      <w:r>
        <w:rPr>
          <w:rFonts w:ascii="Arial" w:hAnsi="Arial" w:cs="Arial"/>
          <w:sz w:val="20"/>
          <w:szCs w:val="20"/>
        </w:rPr>
        <w:t>The Connected Services Sandbox helps service providers rapidly deploy, test and commercialize a range of innovative new services. Through the Sandbox, participants can take their core network assets and combine them with technologies and applications from the Web 2.0 world. Following are examples of new service combinations or “managed network mashups” created in the Sandbox:</w:t>
      </w:r>
    </w:p>
    <w:p w:rsidR="00036739" w:rsidRDefault="00036739">
      <w:pPr>
        <w:rPr>
          <w:rFonts w:ascii="Arial" w:hAnsi="Arial" w:cs="Arial"/>
          <w:sz w:val="20"/>
          <w:szCs w:val="20"/>
        </w:rPr>
      </w:pPr>
    </w:p>
    <w:p w:rsidR="00036739" w:rsidRDefault="006F3DCA">
      <w:pPr>
        <w:ind w:left="720"/>
        <w:rPr>
          <w:rFonts w:ascii="Arial" w:hAnsi="Arial" w:cs="Arial"/>
          <w:b/>
          <w:sz w:val="20"/>
          <w:szCs w:val="20"/>
        </w:rPr>
      </w:pPr>
      <w:r>
        <w:rPr>
          <w:rFonts w:ascii="Arial" w:hAnsi="Arial" w:cs="Arial"/>
          <w:b/>
          <w:sz w:val="20"/>
          <w:szCs w:val="20"/>
        </w:rPr>
        <w:t>Optimizing Transportation Operations</w:t>
      </w:r>
    </w:p>
    <w:p w:rsidR="00036739" w:rsidRDefault="006F3DCA">
      <w:pPr>
        <w:ind w:left="720"/>
        <w:rPr>
          <w:rFonts w:ascii="Arial" w:hAnsi="Arial" w:cs="Arial"/>
          <w:sz w:val="20"/>
          <w:szCs w:val="20"/>
        </w:rPr>
      </w:pPr>
      <w:r>
        <w:rPr>
          <w:rFonts w:ascii="Arial" w:hAnsi="Arial" w:cs="Arial"/>
          <w:sz w:val="20"/>
          <w:szCs w:val="20"/>
        </w:rPr>
        <w:t>Using mapping and text messaging, among other services, this mashup allows truck drivers to broadcast their truck capacity, so that small and midsize businesses (SMBs) can use available space to ship their products. Thus, truck drivers who know their vehicle is not full can communicate their available space to SMB subscribers. By sharing truck capacity, SMBs can cut the high costs of less-than-truckload shipments and empty back hauls.</w:t>
      </w:r>
    </w:p>
    <w:p w:rsidR="00036739" w:rsidRDefault="00036739">
      <w:pPr>
        <w:ind w:left="720"/>
        <w:rPr>
          <w:rFonts w:ascii="Arial" w:hAnsi="Arial" w:cs="Arial"/>
          <w:b/>
          <w:sz w:val="20"/>
          <w:szCs w:val="20"/>
        </w:rPr>
      </w:pPr>
    </w:p>
    <w:p w:rsidR="00036739" w:rsidRDefault="006F3DCA">
      <w:pPr>
        <w:ind w:left="720"/>
        <w:rPr>
          <w:rFonts w:ascii="Arial" w:hAnsi="Arial" w:cs="Arial"/>
          <w:sz w:val="20"/>
          <w:szCs w:val="20"/>
        </w:rPr>
      </w:pPr>
      <w:r>
        <w:rPr>
          <w:rFonts w:ascii="Arial" w:hAnsi="Arial" w:cs="Arial"/>
          <w:b/>
          <w:sz w:val="20"/>
          <w:szCs w:val="20"/>
        </w:rPr>
        <w:t>Buddy Finder Service</w:t>
      </w:r>
    </w:p>
    <w:p w:rsidR="00036739" w:rsidRDefault="006F3DCA">
      <w:pPr>
        <w:ind w:left="720"/>
        <w:rPr>
          <w:rFonts w:ascii="Arial" w:hAnsi="Arial" w:cs="Arial"/>
          <w:sz w:val="20"/>
          <w:szCs w:val="20"/>
        </w:rPr>
      </w:pPr>
      <w:r>
        <w:rPr>
          <w:rFonts w:ascii="Arial" w:hAnsi="Arial" w:cs="Arial"/>
          <w:sz w:val="20"/>
          <w:szCs w:val="20"/>
        </w:rPr>
        <w:t>Want to see if one of your friends can meet for a quick drink at a local bar? Or see if one of your buddies is nearby to catch a ride home? Find out which of your friends is near by locating their presence. This value-added service combining location, mapping, voice and/or instant messaging allows users to easily track their buddies using their mobile phone.</w:t>
      </w:r>
    </w:p>
    <w:p w:rsidR="00036739" w:rsidRDefault="00036739">
      <w:pPr>
        <w:rPr>
          <w:rFonts w:ascii="Arial" w:hAnsi="Arial" w:cs="Arial"/>
          <w:sz w:val="20"/>
          <w:szCs w:val="20"/>
        </w:rPr>
      </w:pPr>
    </w:p>
    <w:p w:rsidR="00036739" w:rsidRDefault="006F3DCA">
      <w:pPr>
        <w:rPr>
          <w:rFonts w:ascii="Arial" w:hAnsi="Arial" w:cs="Arial"/>
          <w:b/>
        </w:rPr>
      </w:pPr>
      <w:r>
        <w:rPr>
          <w:rFonts w:ascii="Arial" w:hAnsi="Arial" w:cs="Arial"/>
          <w:b/>
        </w:rPr>
        <w:t>Network Service Provider Customers</w:t>
      </w:r>
    </w:p>
    <w:p w:rsidR="00036739" w:rsidRDefault="006F3DCA">
      <w:pPr>
        <w:rPr>
          <w:rFonts w:ascii="Arial" w:hAnsi="Arial" w:cs="Arial"/>
          <w:sz w:val="20"/>
          <w:szCs w:val="20"/>
          <w:lang w:bidi="he-IL"/>
        </w:rPr>
      </w:pPr>
      <w:r>
        <w:rPr>
          <w:rFonts w:ascii="Arial" w:hAnsi="Arial" w:cs="Arial"/>
          <w:sz w:val="20"/>
          <w:szCs w:val="20"/>
          <w:lang w:bidi="he-IL"/>
        </w:rPr>
        <w:t xml:space="preserve">Microsoft partners with the world’s leading operators in the areas of screens, services and service delivery. Customers include 18 of the top 20 service providers worldwide (as defined by revenues) including AT&amp;T Inc., Bell Canada, BT, China Mobile Ltd., Deutsche Telekom AG, France Telecom, KPN International, </w:t>
      </w:r>
      <w:r w:rsidR="00D64F32">
        <w:rPr>
          <w:rFonts w:ascii="Arial" w:hAnsi="Arial" w:cs="Arial"/>
          <w:sz w:val="20"/>
          <w:szCs w:val="20"/>
        </w:rPr>
        <w:t>NTT</w:t>
      </w:r>
      <w:r>
        <w:rPr>
          <w:rFonts w:ascii="Arial" w:hAnsi="Arial" w:cs="Arial"/>
          <w:sz w:val="20"/>
          <w:szCs w:val="20"/>
          <w:lang w:bidi="he-IL"/>
        </w:rPr>
        <w:t>, Qwest Communications International Inc., Sprin</w:t>
      </w:r>
      <w:r w:rsidR="00D64F32">
        <w:rPr>
          <w:rFonts w:ascii="Arial" w:hAnsi="Arial" w:cs="Arial"/>
          <w:sz w:val="20"/>
          <w:szCs w:val="20"/>
          <w:lang w:bidi="he-IL"/>
        </w:rPr>
        <w:t>t, Telecom Italia, Telefónica</w:t>
      </w:r>
      <w:r>
        <w:rPr>
          <w:rFonts w:ascii="Arial" w:hAnsi="Arial" w:cs="Arial"/>
          <w:sz w:val="20"/>
          <w:szCs w:val="20"/>
          <w:lang w:bidi="he-IL"/>
        </w:rPr>
        <w:t>, Telstra Corp. Ltd., Verizon and Vodafone.</w:t>
      </w:r>
    </w:p>
    <w:p w:rsidR="00036739" w:rsidRDefault="00036739">
      <w:pPr>
        <w:rPr>
          <w:rFonts w:ascii="Arial" w:hAnsi="Arial" w:cs="Arial"/>
          <w:color w:val="FF0000"/>
          <w:sz w:val="20"/>
          <w:szCs w:val="20"/>
          <w:lang w:bidi="he-IL"/>
        </w:rPr>
      </w:pPr>
    </w:p>
    <w:p w:rsidR="00036739" w:rsidRDefault="006F3DCA">
      <w:pPr>
        <w:rPr>
          <w:rFonts w:ascii="Arial" w:hAnsi="Arial" w:cs="Arial"/>
          <w:b/>
        </w:rPr>
      </w:pPr>
      <w:r>
        <w:rPr>
          <w:rFonts w:ascii="Arial" w:hAnsi="Arial" w:cs="Arial"/>
          <w:b/>
        </w:rPr>
        <w:t>Network Service Provider Partners</w:t>
      </w:r>
    </w:p>
    <w:p w:rsidR="00036739" w:rsidRDefault="006F3DCA">
      <w:pPr>
        <w:rPr>
          <w:rFonts w:ascii="Arial" w:hAnsi="Arial" w:cs="Arial"/>
          <w:bCs/>
          <w:iCs/>
          <w:sz w:val="20"/>
          <w:szCs w:val="20"/>
        </w:rPr>
      </w:pPr>
      <w:r>
        <w:rPr>
          <w:rFonts w:ascii="Arial" w:hAnsi="Arial" w:cs="Arial"/>
          <w:bCs/>
          <w:iCs/>
          <w:sz w:val="20"/>
          <w:szCs w:val="20"/>
        </w:rPr>
        <w:t xml:space="preserve">Microsoft is committed to its partners and has created a comprehensive partner and developer ecosystem that is dedicated to developing integrated, custom solutions for communications organizations. The Communications Sector Partner Network is specifically designed to help realize the potential of partner relationships and empower partners to increase their delivery capabilities and grow their businesses. Microsoft provides innovative software-based solutions, content and infrastructure, and by partnering with system integrators and independent software vendors, network service providers can deliver their own specific, targeted offerings. </w:t>
      </w:r>
    </w:p>
    <w:p w:rsidR="00036739" w:rsidRDefault="00036739">
      <w:pPr>
        <w:rPr>
          <w:rFonts w:ascii="Arial" w:hAnsi="Arial" w:cs="Arial"/>
          <w:bCs/>
          <w:iCs/>
          <w:sz w:val="20"/>
          <w:szCs w:val="20"/>
        </w:rPr>
      </w:pPr>
    </w:p>
    <w:p w:rsidR="00036739" w:rsidRDefault="006F3DCA">
      <w:pPr>
        <w:rPr>
          <w:rFonts w:ascii="Arial" w:hAnsi="Arial" w:cs="Arial"/>
          <w:bCs/>
          <w:iCs/>
          <w:sz w:val="20"/>
          <w:szCs w:val="20"/>
        </w:rPr>
      </w:pPr>
      <w:r>
        <w:rPr>
          <w:rFonts w:ascii="Arial" w:hAnsi="Arial" w:cs="Arial"/>
          <w:bCs/>
          <w:iCs/>
          <w:sz w:val="20"/>
          <w:szCs w:val="20"/>
        </w:rPr>
        <w:t>More information about the Communications Sector Partner Network can be found at</w:t>
      </w:r>
    </w:p>
    <w:p w:rsidR="00036739" w:rsidRDefault="004B3FD0">
      <w:pPr>
        <w:rPr>
          <w:rFonts w:ascii="Arial" w:hAnsi="Arial" w:cs="Arial"/>
          <w:bCs/>
          <w:iCs/>
          <w:sz w:val="20"/>
          <w:szCs w:val="20"/>
        </w:rPr>
      </w:pPr>
      <w:hyperlink r:id="rId7" w:history="1">
        <w:r w:rsidR="006F3DCA">
          <w:rPr>
            <w:rStyle w:val="Hyperlink"/>
            <w:rFonts w:ascii="Arial" w:hAnsi="Arial" w:cs="Arial"/>
            <w:sz w:val="20"/>
            <w:szCs w:val="20"/>
          </w:rPr>
          <w:t>http://www.microsoft.com/serviceproviders/partners.mspx</w:t>
        </w:r>
      </w:hyperlink>
      <w:r w:rsidR="006F3DCA">
        <w:rPr>
          <w:rFonts w:ascii="Arial" w:hAnsi="Arial" w:cs="Arial"/>
          <w:sz w:val="20"/>
          <w:szCs w:val="20"/>
        </w:rPr>
        <w:t>.</w:t>
      </w:r>
    </w:p>
    <w:p w:rsidR="00036739" w:rsidRDefault="00036739">
      <w:pPr>
        <w:rPr>
          <w:rFonts w:ascii="Arial" w:hAnsi="Arial" w:cs="Arial"/>
          <w:sz w:val="20"/>
          <w:szCs w:val="20"/>
        </w:rPr>
      </w:pPr>
    </w:p>
    <w:p w:rsidR="00036739" w:rsidRDefault="006F3DCA">
      <w:pPr>
        <w:jc w:val="center"/>
        <w:rPr>
          <w:rFonts w:ascii="Arial" w:hAnsi="Arial" w:cs="Arial"/>
          <w:i/>
          <w:sz w:val="20"/>
          <w:szCs w:val="20"/>
          <w:lang w:bidi="he-IL"/>
        </w:rPr>
      </w:pPr>
      <w:r>
        <w:rPr>
          <w:rFonts w:ascii="Arial" w:hAnsi="Arial" w:cs="Arial"/>
          <w:i/>
          <w:sz w:val="20"/>
          <w:szCs w:val="20"/>
          <w:lang w:bidi="he-IL"/>
        </w:rPr>
        <w:lastRenderedPageBreak/>
        <w:t>#########</w:t>
      </w:r>
    </w:p>
    <w:p w:rsidR="00036739" w:rsidRDefault="00036739">
      <w:pPr>
        <w:rPr>
          <w:rFonts w:ascii="Arial" w:hAnsi="Arial" w:cs="Arial"/>
          <w:sz w:val="20"/>
          <w:szCs w:val="20"/>
        </w:rPr>
      </w:pPr>
    </w:p>
    <w:p w:rsidR="00036739" w:rsidRDefault="006F3DCA">
      <w:pPr>
        <w:pStyle w:val="Solutionbody"/>
        <w:ind w:right="0"/>
        <w:rPr>
          <w:rFonts w:cs="Arial"/>
          <w:b/>
          <w:bCs/>
          <w:color w:val="auto"/>
          <w:sz w:val="20"/>
        </w:rPr>
      </w:pPr>
      <w:r>
        <w:rPr>
          <w:rFonts w:cs="Arial"/>
          <w:b/>
          <w:bCs/>
          <w:color w:val="auto"/>
          <w:sz w:val="20"/>
        </w:rPr>
        <w:t>For more information, press only:</w:t>
      </w:r>
    </w:p>
    <w:p w:rsidR="00036739" w:rsidRDefault="006F3DCA">
      <w:pPr>
        <w:pStyle w:val="Quotee"/>
        <w:ind w:left="1440" w:hanging="720"/>
        <w:rPr>
          <w:rFonts w:ascii="Arial" w:hAnsi="Arial" w:cs="Arial"/>
          <w:color w:val="auto"/>
          <w:sz w:val="20"/>
        </w:rPr>
      </w:pPr>
      <w:r>
        <w:rPr>
          <w:rFonts w:ascii="Arial" w:hAnsi="Arial" w:cs="Arial"/>
          <w:color w:val="auto"/>
          <w:sz w:val="20"/>
        </w:rPr>
        <w:t>Microsoft Communications Sector Team, Weber Shandwick Worldwide, (425) 452-5400, mscsglobal@webershandwick.com</w:t>
      </w:r>
    </w:p>
    <w:p w:rsidR="00036739" w:rsidRDefault="00036739">
      <w:pPr>
        <w:jc w:val="center"/>
        <w:rPr>
          <w:rFonts w:ascii="Arial" w:hAnsi="Arial" w:cs="Arial"/>
          <w:b/>
          <w:sz w:val="20"/>
          <w:szCs w:val="20"/>
        </w:rPr>
      </w:pPr>
    </w:p>
    <w:p w:rsidR="00036739" w:rsidRDefault="006F3DCA">
      <w:pPr>
        <w:pStyle w:val="Solutionbody"/>
        <w:ind w:right="0"/>
        <w:rPr>
          <w:rFonts w:cs="Arial"/>
          <w:b/>
          <w:bCs/>
          <w:color w:val="auto"/>
          <w:sz w:val="20"/>
        </w:rPr>
      </w:pPr>
      <w:r>
        <w:rPr>
          <w:rFonts w:cs="Arial"/>
          <w:b/>
          <w:bCs/>
          <w:color w:val="auto"/>
          <w:sz w:val="20"/>
        </w:rPr>
        <w:t>For more information about Microsoft Communications Sector:</w:t>
      </w:r>
    </w:p>
    <w:p w:rsidR="00036739" w:rsidRDefault="006F3DCA">
      <w:pPr>
        <w:pStyle w:val="Quotee"/>
        <w:spacing w:line="240" w:lineRule="auto"/>
        <w:ind w:left="720"/>
        <w:rPr>
          <w:rFonts w:ascii="Arial" w:hAnsi="Arial" w:cs="Arial"/>
          <w:noProof/>
          <w:color w:val="auto"/>
          <w:sz w:val="20"/>
        </w:rPr>
      </w:pPr>
      <w:r>
        <w:rPr>
          <w:rFonts w:ascii="Arial" w:hAnsi="Arial" w:cs="Arial"/>
          <w:noProof/>
          <w:color w:val="auto"/>
          <w:sz w:val="20"/>
        </w:rPr>
        <w:t xml:space="preserve">Visit </w:t>
      </w:r>
      <w:hyperlink r:id="rId8" w:history="1">
        <w:r>
          <w:rPr>
            <w:rStyle w:val="Hyperlink"/>
          </w:rPr>
          <w:t>http://www.microsoft.com/serviceproviders</w:t>
        </w:r>
      </w:hyperlink>
      <w:r>
        <w:rPr>
          <w:rFonts w:ascii="Arial" w:hAnsi="Arial" w:cs="Arial"/>
          <w:noProof/>
          <w:color w:val="auto"/>
          <w:sz w:val="20"/>
        </w:rPr>
        <w:t xml:space="preserve"> and </w:t>
      </w:r>
      <w:hyperlink r:id="rId9" w:history="1">
        <w:r>
          <w:rPr>
            <w:rStyle w:val="Hyperlink"/>
          </w:rPr>
          <w:t>http://www.microsoft.com/resources/mediaandentertainment</w:t>
        </w:r>
      </w:hyperlink>
      <w:r>
        <w:rPr>
          <w:rFonts w:ascii="Arial" w:hAnsi="Arial" w:cs="Arial"/>
          <w:noProof/>
          <w:color w:val="auto"/>
          <w:sz w:val="20"/>
        </w:rPr>
        <w:t>.</w:t>
      </w:r>
    </w:p>
    <w:p w:rsidR="00036739" w:rsidRDefault="00036739">
      <w:pPr>
        <w:rPr>
          <w:rFonts w:ascii="Arial" w:hAnsi="Arial" w:cs="Arial"/>
          <w:sz w:val="20"/>
          <w:szCs w:val="20"/>
        </w:rPr>
      </w:pPr>
    </w:p>
    <w:sectPr w:rsidR="00036739" w:rsidSect="00036739">
      <w:headerReference w:type="even" r:id="rId10"/>
      <w:headerReference w:type="default" r:id="rId11"/>
      <w:footerReference w:type="even" r:id="rId12"/>
      <w:footerReference w:type="default" r:id="rId13"/>
      <w:headerReference w:type="first" r:id="rId14"/>
      <w:footerReference w:type="first" r:id="rId15"/>
      <w:type w:val="continuous"/>
      <w:pgSz w:w="12240" w:h="15840" w:code="1"/>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B1C31" w:rsidRDefault="002B1C31">
      <w:r>
        <w:separator/>
      </w:r>
    </w:p>
  </w:endnote>
  <w:endnote w:type="continuationSeparator" w:id="1">
    <w:p w:rsidR="002B1C31" w:rsidRDefault="002B1C3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hicago">
    <w:altName w:val="Arial"/>
    <w:panose1 w:val="00000000000000000000"/>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26F2" w:rsidRDefault="003926F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Arial" w:hAnsi="Arial" w:cs="Arial"/>
        <w:i/>
        <w:sz w:val="20"/>
        <w:szCs w:val="20"/>
      </w:rPr>
      <w:id w:val="28008293"/>
      <w:docPartObj>
        <w:docPartGallery w:val="Page Numbers (Bottom of Page)"/>
        <w:docPartUnique/>
      </w:docPartObj>
    </w:sdtPr>
    <w:sdtContent>
      <w:sdt>
        <w:sdtPr>
          <w:rPr>
            <w:rFonts w:ascii="Arial" w:hAnsi="Arial" w:cs="Arial"/>
            <w:i/>
            <w:sz w:val="20"/>
            <w:szCs w:val="20"/>
          </w:rPr>
          <w:id w:val="28008294"/>
          <w:docPartObj>
            <w:docPartGallery w:val="Page Numbers (Top of Page)"/>
            <w:docPartUnique/>
          </w:docPartObj>
        </w:sdtPr>
        <w:sdtContent>
          <w:p w:rsidR="00036739" w:rsidRDefault="006F3DCA">
            <w:pPr>
              <w:pStyle w:val="Footer"/>
              <w:jc w:val="center"/>
              <w:rPr>
                <w:rFonts w:ascii="Arial" w:hAnsi="Arial" w:cs="Arial"/>
                <w:i/>
                <w:sz w:val="20"/>
                <w:szCs w:val="20"/>
              </w:rPr>
            </w:pPr>
            <w:r>
              <w:rPr>
                <w:rFonts w:ascii="Arial" w:hAnsi="Arial" w:cs="Arial"/>
                <w:i/>
                <w:sz w:val="20"/>
                <w:szCs w:val="20"/>
              </w:rPr>
              <w:t xml:space="preserve">Page </w:t>
            </w:r>
            <w:r w:rsidR="004B3FD0">
              <w:rPr>
                <w:rFonts w:ascii="Arial" w:hAnsi="Arial" w:cs="Arial"/>
                <w:i/>
                <w:sz w:val="20"/>
                <w:szCs w:val="20"/>
              </w:rPr>
              <w:fldChar w:fldCharType="begin"/>
            </w:r>
            <w:r>
              <w:rPr>
                <w:rFonts w:ascii="Arial" w:hAnsi="Arial" w:cs="Arial"/>
                <w:i/>
                <w:sz w:val="20"/>
                <w:szCs w:val="20"/>
              </w:rPr>
              <w:instrText xml:space="preserve"> PAGE </w:instrText>
            </w:r>
            <w:r w:rsidR="004B3FD0">
              <w:rPr>
                <w:rFonts w:ascii="Arial" w:hAnsi="Arial" w:cs="Arial"/>
                <w:i/>
                <w:sz w:val="20"/>
                <w:szCs w:val="20"/>
              </w:rPr>
              <w:fldChar w:fldCharType="separate"/>
            </w:r>
            <w:r w:rsidR="003926F2">
              <w:rPr>
                <w:rFonts w:ascii="Arial" w:hAnsi="Arial" w:cs="Arial"/>
                <w:i/>
                <w:noProof/>
                <w:sz w:val="20"/>
                <w:szCs w:val="20"/>
              </w:rPr>
              <w:t>3</w:t>
            </w:r>
            <w:r w:rsidR="004B3FD0">
              <w:rPr>
                <w:rFonts w:ascii="Arial" w:hAnsi="Arial" w:cs="Arial"/>
                <w:i/>
                <w:sz w:val="20"/>
                <w:szCs w:val="20"/>
              </w:rPr>
              <w:fldChar w:fldCharType="end"/>
            </w:r>
            <w:r>
              <w:rPr>
                <w:rFonts w:ascii="Arial" w:hAnsi="Arial" w:cs="Arial"/>
                <w:i/>
                <w:sz w:val="20"/>
                <w:szCs w:val="20"/>
              </w:rPr>
              <w:t xml:space="preserve"> of </w:t>
            </w:r>
            <w:r w:rsidR="004B3FD0">
              <w:rPr>
                <w:rFonts w:ascii="Arial" w:hAnsi="Arial" w:cs="Arial"/>
                <w:i/>
                <w:sz w:val="20"/>
                <w:szCs w:val="20"/>
              </w:rPr>
              <w:fldChar w:fldCharType="begin"/>
            </w:r>
            <w:r>
              <w:rPr>
                <w:rFonts w:ascii="Arial" w:hAnsi="Arial" w:cs="Arial"/>
                <w:i/>
                <w:sz w:val="20"/>
                <w:szCs w:val="20"/>
              </w:rPr>
              <w:instrText xml:space="preserve"> NUMPAGES  </w:instrText>
            </w:r>
            <w:r w:rsidR="004B3FD0">
              <w:rPr>
                <w:rFonts w:ascii="Arial" w:hAnsi="Arial" w:cs="Arial"/>
                <w:i/>
                <w:sz w:val="20"/>
                <w:szCs w:val="20"/>
              </w:rPr>
              <w:fldChar w:fldCharType="separate"/>
            </w:r>
            <w:r w:rsidR="003926F2">
              <w:rPr>
                <w:rFonts w:ascii="Arial" w:hAnsi="Arial" w:cs="Arial"/>
                <w:i/>
                <w:noProof/>
                <w:sz w:val="20"/>
                <w:szCs w:val="20"/>
              </w:rPr>
              <w:t>3</w:t>
            </w:r>
            <w:r w:rsidR="004B3FD0">
              <w:rPr>
                <w:rFonts w:ascii="Arial" w:hAnsi="Arial" w:cs="Arial"/>
                <w:i/>
                <w:sz w:val="20"/>
                <w:szCs w:val="20"/>
              </w:rPr>
              <w:fldChar w:fldCharType="end"/>
            </w:r>
          </w:p>
        </w:sdtContent>
      </w:sdt>
    </w:sdtContent>
  </w:sdt>
  <w:p w:rsidR="00036739" w:rsidRDefault="0003673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Arial" w:hAnsi="Arial" w:cs="Arial"/>
        <w:i/>
        <w:sz w:val="20"/>
        <w:szCs w:val="20"/>
      </w:rPr>
      <w:id w:val="28008282"/>
      <w:docPartObj>
        <w:docPartGallery w:val="Page Numbers (Bottom of Page)"/>
        <w:docPartUnique/>
      </w:docPartObj>
    </w:sdtPr>
    <w:sdtContent>
      <w:sdt>
        <w:sdtPr>
          <w:rPr>
            <w:rFonts w:ascii="Arial" w:hAnsi="Arial" w:cs="Arial"/>
            <w:i/>
            <w:sz w:val="20"/>
            <w:szCs w:val="20"/>
          </w:rPr>
          <w:id w:val="98381352"/>
          <w:docPartObj>
            <w:docPartGallery w:val="Page Numbers (Top of Page)"/>
            <w:docPartUnique/>
          </w:docPartObj>
        </w:sdtPr>
        <w:sdtContent>
          <w:p w:rsidR="00036739" w:rsidRDefault="006F3DCA">
            <w:pPr>
              <w:pStyle w:val="Footer"/>
              <w:jc w:val="center"/>
              <w:rPr>
                <w:rFonts w:ascii="Arial" w:hAnsi="Arial" w:cs="Arial"/>
                <w:i/>
                <w:sz w:val="20"/>
                <w:szCs w:val="20"/>
              </w:rPr>
            </w:pPr>
            <w:r>
              <w:rPr>
                <w:rFonts w:ascii="Arial" w:hAnsi="Arial" w:cs="Arial"/>
                <w:i/>
                <w:sz w:val="20"/>
                <w:szCs w:val="20"/>
              </w:rPr>
              <w:t xml:space="preserve">Page </w:t>
            </w:r>
            <w:r w:rsidR="004B3FD0">
              <w:rPr>
                <w:rFonts w:ascii="Arial" w:hAnsi="Arial" w:cs="Arial"/>
                <w:i/>
                <w:sz w:val="20"/>
                <w:szCs w:val="20"/>
              </w:rPr>
              <w:fldChar w:fldCharType="begin"/>
            </w:r>
            <w:r>
              <w:rPr>
                <w:rFonts w:ascii="Arial" w:hAnsi="Arial" w:cs="Arial"/>
                <w:i/>
                <w:sz w:val="20"/>
                <w:szCs w:val="20"/>
              </w:rPr>
              <w:instrText xml:space="preserve"> PAGE </w:instrText>
            </w:r>
            <w:r w:rsidR="004B3FD0">
              <w:rPr>
                <w:rFonts w:ascii="Arial" w:hAnsi="Arial" w:cs="Arial"/>
                <w:i/>
                <w:sz w:val="20"/>
                <w:szCs w:val="20"/>
              </w:rPr>
              <w:fldChar w:fldCharType="separate"/>
            </w:r>
            <w:r w:rsidR="003926F2">
              <w:rPr>
                <w:rFonts w:ascii="Arial" w:hAnsi="Arial" w:cs="Arial"/>
                <w:i/>
                <w:noProof/>
                <w:sz w:val="20"/>
                <w:szCs w:val="20"/>
              </w:rPr>
              <w:t>1</w:t>
            </w:r>
            <w:r w:rsidR="004B3FD0">
              <w:rPr>
                <w:rFonts w:ascii="Arial" w:hAnsi="Arial" w:cs="Arial"/>
                <w:i/>
                <w:sz w:val="20"/>
                <w:szCs w:val="20"/>
              </w:rPr>
              <w:fldChar w:fldCharType="end"/>
            </w:r>
            <w:r>
              <w:rPr>
                <w:rFonts w:ascii="Arial" w:hAnsi="Arial" w:cs="Arial"/>
                <w:i/>
                <w:sz w:val="20"/>
                <w:szCs w:val="20"/>
              </w:rPr>
              <w:t xml:space="preserve"> of </w:t>
            </w:r>
            <w:r w:rsidR="004B3FD0">
              <w:rPr>
                <w:rFonts w:ascii="Arial" w:hAnsi="Arial" w:cs="Arial"/>
                <w:i/>
                <w:sz w:val="20"/>
                <w:szCs w:val="20"/>
              </w:rPr>
              <w:fldChar w:fldCharType="begin"/>
            </w:r>
            <w:r>
              <w:rPr>
                <w:rFonts w:ascii="Arial" w:hAnsi="Arial" w:cs="Arial"/>
                <w:i/>
                <w:sz w:val="20"/>
                <w:szCs w:val="20"/>
              </w:rPr>
              <w:instrText xml:space="preserve"> NUMPAGES  </w:instrText>
            </w:r>
            <w:r w:rsidR="004B3FD0">
              <w:rPr>
                <w:rFonts w:ascii="Arial" w:hAnsi="Arial" w:cs="Arial"/>
                <w:i/>
                <w:sz w:val="20"/>
                <w:szCs w:val="20"/>
              </w:rPr>
              <w:fldChar w:fldCharType="separate"/>
            </w:r>
            <w:r w:rsidR="003926F2">
              <w:rPr>
                <w:rFonts w:ascii="Arial" w:hAnsi="Arial" w:cs="Arial"/>
                <w:i/>
                <w:noProof/>
                <w:sz w:val="20"/>
                <w:szCs w:val="20"/>
              </w:rPr>
              <w:t>3</w:t>
            </w:r>
            <w:r w:rsidR="004B3FD0">
              <w:rPr>
                <w:rFonts w:ascii="Arial" w:hAnsi="Arial" w:cs="Arial"/>
                <w:i/>
                <w:sz w:val="20"/>
                <w:szCs w:val="20"/>
              </w:rPr>
              <w:fldChar w:fldCharType="end"/>
            </w:r>
          </w:p>
        </w:sdtContent>
      </w:sdt>
    </w:sdtContent>
  </w:sdt>
  <w:p w:rsidR="00036739" w:rsidRDefault="00036739">
    <w:pPr>
      <w:pStyle w:val="Footer"/>
      <w:rPr>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B1C31" w:rsidRDefault="002B1C31">
      <w:r>
        <w:separator/>
      </w:r>
    </w:p>
  </w:footnote>
  <w:footnote w:type="continuationSeparator" w:id="1">
    <w:p w:rsidR="002B1C31" w:rsidRDefault="002B1C3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26F2" w:rsidRDefault="003926F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26F2" w:rsidRDefault="003926F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6739" w:rsidRDefault="0003673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790527"/>
    <w:multiLevelType w:val="hybridMultilevel"/>
    <w:tmpl w:val="C8D2D904"/>
    <w:lvl w:ilvl="0" w:tplc="04090001">
      <w:start w:val="1"/>
      <w:numFmt w:val="bullet"/>
      <w:lvlText w:val=""/>
      <w:lvlJc w:val="left"/>
      <w:pPr>
        <w:ind w:left="720" w:hanging="360"/>
      </w:pPr>
      <w:rPr>
        <w:rFonts w:ascii="Symbol" w:hAnsi="Symbol" w:hint="default"/>
      </w:rPr>
    </w:lvl>
    <w:lvl w:ilvl="1" w:tplc="C124F6E4">
      <w:start w:val="1"/>
      <w:numFmt w:val="bullet"/>
      <w:lvlText w:val=""/>
      <w:lvlJc w:val="left"/>
      <w:pPr>
        <w:ind w:left="1440" w:hanging="360"/>
      </w:pPr>
      <w:rPr>
        <w:rFonts w:ascii="Symbol" w:hAnsi="Symbol" w:hint="default"/>
        <w:sz w:val="2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39029B2"/>
    <w:multiLevelType w:val="hybridMultilevel"/>
    <w:tmpl w:val="924CDD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52E3027"/>
    <w:multiLevelType w:val="hybridMultilevel"/>
    <w:tmpl w:val="1C02F9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2F40520"/>
    <w:multiLevelType w:val="hybridMultilevel"/>
    <w:tmpl w:val="87AA2D56"/>
    <w:lvl w:ilvl="0" w:tplc="E2DA66DE">
      <w:start w:val="1"/>
      <w:numFmt w:val="bullet"/>
      <w:lvlText w:val=""/>
      <w:lvlJc w:val="left"/>
      <w:pPr>
        <w:tabs>
          <w:tab w:val="num" w:pos="720"/>
        </w:tabs>
        <w:ind w:left="720" w:hanging="360"/>
      </w:pPr>
      <w:rPr>
        <w:rFonts w:ascii="Symbol" w:hAnsi="Symbol" w:hint="default"/>
        <w:sz w:val="24"/>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7B14768"/>
    <w:multiLevelType w:val="hybridMultilevel"/>
    <w:tmpl w:val="B62AE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46C239B3"/>
    <w:multiLevelType w:val="hybridMultilevel"/>
    <w:tmpl w:val="8A14A402"/>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483E24DB"/>
    <w:multiLevelType w:val="hybridMultilevel"/>
    <w:tmpl w:val="F80EC838"/>
    <w:lvl w:ilvl="0" w:tplc="06A65164">
      <w:start w:val="1"/>
      <w:numFmt w:val="upperRoman"/>
      <w:lvlText w:val="%1."/>
      <w:lvlJc w:val="left"/>
      <w:pPr>
        <w:tabs>
          <w:tab w:val="num" w:pos="720"/>
        </w:tabs>
        <w:ind w:left="720" w:hanging="72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nsid w:val="49F8621A"/>
    <w:multiLevelType w:val="hybridMultilevel"/>
    <w:tmpl w:val="B762CC20"/>
    <w:lvl w:ilvl="0" w:tplc="04090001">
      <w:start w:val="1"/>
      <w:numFmt w:val="bullet"/>
      <w:lvlText w:val=""/>
      <w:lvlJc w:val="left"/>
      <w:pPr>
        <w:ind w:left="720" w:hanging="360"/>
      </w:pPr>
      <w:rPr>
        <w:rFonts w:ascii="Symbol" w:hAnsi="Symbol" w:hint="default"/>
      </w:rPr>
    </w:lvl>
    <w:lvl w:ilvl="1" w:tplc="96388F50">
      <w:start w:val="1"/>
      <w:numFmt w:val="bullet"/>
      <w:lvlText w:val=""/>
      <w:lvlJc w:val="left"/>
      <w:pPr>
        <w:ind w:left="1440" w:hanging="360"/>
      </w:pPr>
      <w:rPr>
        <w:rFonts w:ascii="Symbol" w:hAnsi="Symbol" w:hint="default"/>
        <w:sz w:val="2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9C63FC8"/>
    <w:multiLevelType w:val="hybridMultilevel"/>
    <w:tmpl w:val="494A18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63B56FAE"/>
    <w:multiLevelType w:val="hybridMultilevel"/>
    <w:tmpl w:val="7AEACA1C"/>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64A85662"/>
    <w:multiLevelType w:val="hybridMultilevel"/>
    <w:tmpl w:val="5672EC6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CC21413"/>
    <w:multiLevelType w:val="hybridMultilevel"/>
    <w:tmpl w:val="7E5AD8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F711FE2"/>
    <w:multiLevelType w:val="hybridMultilevel"/>
    <w:tmpl w:val="A992C9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75DB1E72"/>
    <w:multiLevelType w:val="hybridMultilevel"/>
    <w:tmpl w:val="44C6E73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nsid w:val="78407F5B"/>
    <w:multiLevelType w:val="hybridMultilevel"/>
    <w:tmpl w:val="2874610E"/>
    <w:lvl w:ilvl="0" w:tplc="26E452B4">
      <w:start w:val="1"/>
      <w:numFmt w:val="bullet"/>
      <w:lvlText w:val=""/>
      <w:lvlJc w:val="left"/>
      <w:pPr>
        <w:ind w:left="360" w:hanging="360"/>
      </w:pPr>
      <w:rPr>
        <w:rFonts w:ascii="Symbol" w:hAnsi="Symbol" w:hint="default"/>
        <w:color w:val="auto"/>
        <w:sz w:val="24"/>
      </w:rPr>
    </w:lvl>
    <w:lvl w:ilvl="1" w:tplc="26E452B4">
      <w:start w:val="1"/>
      <w:numFmt w:val="bullet"/>
      <w:lvlText w:val=""/>
      <w:lvlJc w:val="left"/>
      <w:pPr>
        <w:ind w:left="1080" w:hanging="360"/>
      </w:pPr>
      <w:rPr>
        <w:rFonts w:ascii="Symbol" w:hAnsi="Symbol" w:hint="default"/>
        <w:color w:val="auto"/>
        <w:sz w:val="24"/>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79B97402"/>
    <w:multiLevelType w:val="hybridMultilevel"/>
    <w:tmpl w:val="6FFEEC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2"/>
  </w:num>
  <w:num w:numId="3">
    <w:abstractNumId w:val="8"/>
  </w:num>
  <w:num w:numId="4">
    <w:abstractNumId w:val="1"/>
  </w:num>
  <w:num w:numId="5">
    <w:abstractNumId w:val="15"/>
  </w:num>
  <w:num w:numId="6">
    <w:abstractNumId w:val="13"/>
  </w:num>
  <w:num w:numId="7">
    <w:abstractNumId w:val="3"/>
  </w:num>
  <w:num w:numId="8">
    <w:abstractNumId w:val="5"/>
  </w:num>
  <w:num w:numId="9">
    <w:abstractNumId w:val="12"/>
  </w:num>
  <w:num w:numId="10">
    <w:abstractNumId w:val="14"/>
  </w:num>
  <w:num w:numId="11">
    <w:abstractNumId w:val="4"/>
  </w:num>
  <w:num w:numId="12">
    <w:abstractNumId w:val="11"/>
  </w:num>
  <w:num w:numId="13">
    <w:abstractNumId w:val="10"/>
  </w:num>
  <w:num w:numId="14">
    <w:abstractNumId w:val="0"/>
  </w:num>
  <w:num w:numId="15">
    <w:abstractNumId w:val="9"/>
  </w:num>
  <w:num w:numId="16">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displayBackgroundShape/>
  <w:activeWritingStyle w:appName="MSWord" w:lang="en-US" w:vendorID="64" w:dllVersion="131078" w:nlCheck="1" w:checkStyle="1"/>
  <w:stylePaneFormatFilter w:val="3F01"/>
  <w:defaultTabStop w:val="720"/>
  <w:characterSpacingControl w:val="doNotCompress"/>
  <w:hdrShapeDefaults>
    <o:shapedefaults v:ext="edit" spidmax="3074">
      <o:colormenu v:ext="edit" fillcolor="none"/>
    </o:shapedefaults>
  </w:hdrShapeDefaults>
  <w:footnotePr>
    <w:footnote w:id="0"/>
    <w:footnote w:id="1"/>
  </w:footnotePr>
  <w:endnotePr>
    <w:endnote w:id="0"/>
    <w:endnote w:id="1"/>
  </w:endnotePr>
  <w:compat/>
  <w:rsids>
    <w:rsidRoot w:val="00036739"/>
    <w:rsid w:val="00036739"/>
    <w:rsid w:val="001B69AF"/>
    <w:rsid w:val="002B1C31"/>
    <w:rsid w:val="003926F2"/>
    <w:rsid w:val="004B3FD0"/>
    <w:rsid w:val="006F3DCA"/>
    <w:rsid w:val="00D64F3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colormenu v:ext="edit" fill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36739"/>
    <w:rPr>
      <w:sz w:val="24"/>
      <w:szCs w:val="24"/>
      <w:lang w:val="en-US" w:eastAsia="en-US"/>
    </w:rPr>
  </w:style>
  <w:style w:type="paragraph" w:styleId="Heading4">
    <w:name w:val="heading 4"/>
    <w:basedOn w:val="Normal"/>
    <w:next w:val="Normal"/>
    <w:qFormat/>
    <w:rsid w:val="00036739"/>
    <w:pPr>
      <w:keepNext/>
      <w:outlineLvl w:val="3"/>
    </w:pPr>
    <w:rPr>
      <w:rFonts w:ascii="Arial" w:hAnsi="Arial"/>
      <w:b/>
      <w:color w:val="FFFFFF"/>
      <w:szCs w:val="20"/>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CharCharCharCharCharCharCharChar">
    <w:name w:val="Char Char Char Char Char Char Char Char Char Char Char Char"/>
    <w:basedOn w:val="Normal"/>
    <w:rsid w:val="00036739"/>
    <w:pPr>
      <w:spacing w:after="160" w:line="240" w:lineRule="exact"/>
    </w:pPr>
    <w:rPr>
      <w:rFonts w:ascii="Tahoma" w:hAnsi="Tahoma"/>
      <w:sz w:val="20"/>
      <w:szCs w:val="20"/>
      <w:lang w:val="en-GB"/>
    </w:rPr>
  </w:style>
  <w:style w:type="character" w:styleId="CommentReference">
    <w:name w:val="annotation reference"/>
    <w:basedOn w:val="DefaultParagraphFont"/>
    <w:semiHidden/>
    <w:rsid w:val="00036739"/>
    <w:rPr>
      <w:sz w:val="16"/>
      <w:szCs w:val="16"/>
    </w:rPr>
  </w:style>
  <w:style w:type="paragraph" w:styleId="CommentText">
    <w:name w:val="annotation text"/>
    <w:basedOn w:val="Normal"/>
    <w:semiHidden/>
    <w:rsid w:val="00036739"/>
    <w:rPr>
      <w:sz w:val="20"/>
      <w:szCs w:val="20"/>
    </w:rPr>
  </w:style>
  <w:style w:type="paragraph" w:styleId="CommentSubject">
    <w:name w:val="annotation subject"/>
    <w:basedOn w:val="CommentText"/>
    <w:next w:val="CommentText"/>
    <w:semiHidden/>
    <w:rsid w:val="00036739"/>
    <w:rPr>
      <w:b/>
      <w:bCs/>
    </w:rPr>
  </w:style>
  <w:style w:type="paragraph" w:styleId="BalloonText">
    <w:name w:val="Balloon Text"/>
    <w:basedOn w:val="Normal"/>
    <w:semiHidden/>
    <w:rsid w:val="00036739"/>
    <w:rPr>
      <w:rFonts w:ascii="Tahoma" w:hAnsi="Tahoma" w:cs="Tahoma"/>
      <w:sz w:val="16"/>
      <w:szCs w:val="16"/>
    </w:rPr>
  </w:style>
  <w:style w:type="paragraph" w:customStyle="1" w:styleId="Char">
    <w:name w:val="Char"/>
    <w:basedOn w:val="Normal"/>
    <w:rsid w:val="00036739"/>
    <w:pPr>
      <w:spacing w:after="160" w:line="240" w:lineRule="exact"/>
    </w:pPr>
    <w:rPr>
      <w:rFonts w:ascii="Tahoma" w:hAnsi="Tahoma"/>
      <w:sz w:val="20"/>
      <w:szCs w:val="20"/>
      <w:lang w:val="en-GB"/>
    </w:rPr>
  </w:style>
  <w:style w:type="paragraph" w:customStyle="1" w:styleId="Solutionbody">
    <w:name w:val="Solution body"/>
    <w:next w:val="Normal"/>
    <w:rsid w:val="00036739"/>
    <w:pPr>
      <w:spacing w:line="180" w:lineRule="atLeast"/>
      <w:ind w:right="81"/>
    </w:pPr>
    <w:rPr>
      <w:rFonts w:ascii="Arial" w:hAnsi="Arial"/>
      <w:color w:val="000000"/>
      <w:sz w:val="16"/>
      <w:lang w:val="en-US" w:eastAsia="en-US" w:bidi="he-IL"/>
    </w:rPr>
  </w:style>
  <w:style w:type="paragraph" w:customStyle="1" w:styleId="Quotee">
    <w:name w:val="Quotee"/>
    <w:rsid w:val="00036739"/>
    <w:pPr>
      <w:spacing w:line="200" w:lineRule="atLeast"/>
    </w:pPr>
    <w:rPr>
      <w:rFonts w:ascii="Chicago" w:hAnsi="Chicago"/>
      <w:color w:val="000000"/>
      <w:sz w:val="16"/>
      <w:lang w:val="en-US" w:eastAsia="en-US" w:bidi="he-IL"/>
    </w:rPr>
  </w:style>
  <w:style w:type="character" w:styleId="Hyperlink">
    <w:name w:val="Hyperlink"/>
    <w:basedOn w:val="DefaultParagraphFont"/>
    <w:rsid w:val="00036739"/>
    <w:rPr>
      <w:color w:val="0000FF"/>
      <w:u w:val="single"/>
    </w:rPr>
  </w:style>
  <w:style w:type="paragraph" w:styleId="Header">
    <w:name w:val="header"/>
    <w:basedOn w:val="Normal"/>
    <w:rsid w:val="00036739"/>
    <w:pPr>
      <w:tabs>
        <w:tab w:val="center" w:pos="4320"/>
        <w:tab w:val="right" w:pos="8640"/>
      </w:tabs>
    </w:pPr>
  </w:style>
  <w:style w:type="paragraph" w:styleId="Footer">
    <w:name w:val="footer"/>
    <w:basedOn w:val="Normal"/>
    <w:link w:val="FooterChar"/>
    <w:uiPriority w:val="99"/>
    <w:rsid w:val="00036739"/>
    <w:pPr>
      <w:tabs>
        <w:tab w:val="center" w:pos="4320"/>
        <w:tab w:val="right" w:pos="8640"/>
      </w:tabs>
    </w:pPr>
  </w:style>
  <w:style w:type="character" w:styleId="PageNumber">
    <w:name w:val="page number"/>
    <w:basedOn w:val="DefaultParagraphFont"/>
    <w:rsid w:val="00036739"/>
  </w:style>
  <w:style w:type="paragraph" w:styleId="ListParagraph">
    <w:name w:val="List Paragraph"/>
    <w:basedOn w:val="Normal"/>
    <w:uiPriority w:val="34"/>
    <w:qFormat/>
    <w:rsid w:val="00036739"/>
    <w:pPr>
      <w:ind w:left="720"/>
    </w:pPr>
    <w:rPr>
      <w:rFonts w:ascii="Comic Sans MS" w:eastAsia="Calibri" w:hAnsi="Comic Sans MS"/>
      <w:color w:val="4F81BD"/>
      <w:sz w:val="20"/>
      <w:szCs w:val="20"/>
    </w:rPr>
  </w:style>
  <w:style w:type="character" w:customStyle="1" w:styleId="FooterChar">
    <w:name w:val="Footer Char"/>
    <w:basedOn w:val="DefaultParagraphFont"/>
    <w:link w:val="Footer"/>
    <w:uiPriority w:val="99"/>
    <w:rsid w:val="00036739"/>
    <w:rPr>
      <w:sz w:val="24"/>
      <w:szCs w:val="24"/>
      <w:lang w:val="en-US" w:eastAsia="en-US"/>
    </w:rPr>
  </w:style>
  <w:style w:type="character" w:styleId="FollowedHyperlink">
    <w:name w:val="FollowedHyperlink"/>
    <w:basedOn w:val="DefaultParagraphFont"/>
    <w:rsid w:val="00036739"/>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126047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crosoft.com/serviceproviders"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microsoft.com/serviceproviders/partners.mspx"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microsoft.com/resources/mediaandentertainment"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962</Words>
  <Characters>5487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NSP Fact Sheet</vt:lpstr>
    </vt:vector>
  </TitlesOfParts>
  <LinksUpToDate>false</LinksUpToDate>
  <CharactersWithSpaces>6437</CharactersWithSpaces>
  <SharedDoc>false</SharedDoc>
  <HLinks>
    <vt:vector size="6" baseType="variant">
      <vt:variant>
        <vt:i4>7405667</vt:i4>
      </vt:variant>
      <vt:variant>
        <vt:i4>0</vt:i4>
      </vt:variant>
      <vt:variant>
        <vt:i4>0</vt:i4>
      </vt:variant>
      <vt:variant>
        <vt:i4>5</vt:i4>
      </vt:variant>
      <vt:variant>
        <vt:lpwstr>http://www.microsoft.com/serviceproviders/partners.mspx</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2008-05-21T19:09:00Z</dcterms:created>
  <dcterms:modified xsi:type="dcterms:W3CDTF">2008-05-21T19:09:00Z</dcterms:modified>
</cp:coreProperties>
</file>